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7FE" w:rsidRPr="004756FC" w:rsidRDefault="008925E9" w:rsidP="00B900F7">
      <w:pPr>
        <w:spacing w:after="0" w:line="240" w:lineRule="auto"/>
        <w:ind w:left="-360"/>
        <w:rPr>
          <w:rFonts w:ascii="Palatino Linotype" w:hAnsi="Palatino Linotype" w:cs="Times New Roman"/>
          <w:sz w:val="20"/>
          <w:szCs w:val="20"/>
        </w:rPr>
      </w:pPr>
      <w:r w:rsidRPr="004756FC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107BDD" w:rsidRPr="004756FC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="004756FC" w:rsidRPr="004756FC">
        <w:rPr>
          <w:rFonts w:ascii="Palatino Linotype" w:hAnsi="Palatino Linotype" w:cs="Times New Roman"/>
          <w:b/>
          <w:bCs/>
          <w:sz w:val="20"/>
          <w:szCs w:val="20"/>
        </w:rPr>
        <w:t>3</w:t>
      </w:r>
      <w:r w:rsidR="00CA17FE" w:rsidRPr="004756FC">
        <w:rPr>
          <w:rFonts w:ascii="Palatino Linotype" w:hAnsi="Palatino Linotype" w:cs="Times New Roman"/>
          <w:b/>
          <w:bCs/>
          <w:sz w:val="20"/>
          <w:szCs w:val="20"/>
        </w:rPr>
        <w:t>.</w:t>
      </w:r>
      <w:r w:rsidR="00CA17FE" w:rsidRPr="004756FC">
        <w:rPr>
          <w:rFonts w:ascii="Palatino Linotype" w:hAnsi="Palatino Linotype" w:cs="Times New Roman"/>
          <w:sz w:val="20"/>
          <w:szCs w:val="20"/>
        </w:rPr>
        <w:t xml:space="preserve"> Traits and trait states analysed in the present study, description with data sources  and references.</w:t>
      </w:r>
    </w:p>
    <w:p w:rsidR="00CA17FE" w:rsidRPr="004756FC" w:rsidRDefault="00CA17FE" w:rsidP="00CA17FE">
      <w:pPr>
        <w:spacing w:after="0" w:line="240" w:lineRule="auto"/>
        <w:rPr>
          <w:rFonts w:ascii="Palatino Linotype" w:hAnsi="Palatino Linotype" w:cs="Times New Roman"/>
          <w:b/>
          <w:bCs/>
          <w:sz w:val="20"/>
          <w:szCs w:val="20"/>
        </w:rPr>
      </w:pPr>
    </w:p>
    <w:tbl>
      <w:tblPr>
        <w:tblW w:w="5130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40"/>
        <w:gridCol w:w="5225"/>
        <w:gridCol w:w="7446"/>
        <w:gridCol w:w="13248"/>
        <w:gridCol w:w="3667"/>
      </w:tblGrid>
      <w:tr w:rsidR="00CA17FE" w:rsidRPr="004756FC" w:rsidTr="00B900F7">
        <w:trPr>
          <w:gridAfter w:val="1"/>
          <w:wAfter w:w="591" w:type="pct"/>
          <w:trHeight w:val="484"/>
          <w:jc w:val="center"/>
        </w:trPr>
        <w:tc>
          <w:tcPr>
            <w:tcW w:w="232" w:type="pct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tabs>
                <w:tab w:val="left" w:pos="290"/>
              </w:tabs>
              <w:spacing w:after="0" w:line="240" w:lineRule="auto"/>
              <w:ind w:left="290" w:hanging="120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sz w:val="20"/>
                <w:szCs w:val="20"/>
              </w:rPr>
              <w:t>Trait</w:t>
            </w:r>
          </w:p>
        </w:tc>
        <w:tc>
          <w:tcPr>
            <w:tcW w:w="842" w:type="pct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 w:hanging="100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sz w:val="20"/>
                <w:szCs w:val="20"/>
              </w:rPr>
              <w:t>Trait state</w:t>
            </w:r>
          </w:p>
        </w:tc>
        <w:tc>
          <w:tcPr>
            <w:tcW w:w="1200" w:type="pct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42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sz w:val="20"/>
                <w:szCs w:val="20"/>
              </w:rPr>
              <w:t>Description</w:t>
            </w:r>
          </w:p>
        </w:tc>
        <w:tc>
          <w:tcPr>
            <w:tcW w:w="2135" w:type="pct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85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sz w:val="20"/>
                <w:szCs w:val="20"/>
              </w:rPr>
              <w:t>Data source</w:t>
            </w: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 w:right="-4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Life span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 w:right="-3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Annual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-405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Life span of each species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Pignatti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(1982), Klotz et al. (2002); checked and supplemented by field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  <w:jc w:val="center"/>
        </w:trPr>
        <w:tc>
          <w:tcPr>
            <w:tcW w:w="232" w:type="pct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 w:right="-3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Perennial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Storage organ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Presence of belowground storage organs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Occurrence and type of storage organ identified following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Krumbiegel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(2002) and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Klimešová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&amp; de Bello (2009). The presence of storage organs is in most cases closely related to the capacity for vegetative reproduction and spread.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Klotz et al. (2002),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Klimešová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and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(2006), checked and supplemented by field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Absence of belowground storage organs</w:t>
            </w:r>
          </w:p>
        </w:tc>
        <w:tc>
          <w:tcPr>
            <w:tcW w:w="1200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Rhizome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Bulb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Root tuber/stem tuber/shoot tuber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Tap root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Vegetative propagation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Presence of vegetative propagation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Type of vegetative propagation, identified following Bell (1991),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Krumbiegel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(2002), and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Klimešová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&amp; de Bello (2009)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6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Klotz et al. (2002),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Klimešová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&amp;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Klimeš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(2006), checked and supplemented by field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Absence of vegetative propagation</w:t>
            </w:r>
          </w:p>
        </w:tc>
        <w:tc>
          <w:tcPr>
            <w:tcW w:w="1200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Bulbils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Root tuber/stem tuber/root splitter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Runner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Rhizome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/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Leaf persistence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Persistent green leaves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Classification of how long a leaf persists on a plant from emergence until cast, according the categories indicated in Klotz &amp;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Kühn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(2002)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6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Klotz et al. (2002); checked and supplemented by field observations made during the year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Summer green leaves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Spring green leaves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Overwintering green leaves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Leaf anatomy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Succulent leaves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Main structures within the leaves to fulfil specific tasks (e.g., aeration, supporting tissues, water storage), identified following Klotz &amp;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Kühn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(2002) and Küster et al. (2010). Species may have more than one type of leaf anatomy (e.g.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scleromorphic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/ mesomorphic; mesomorphic/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hygromorphic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). Each combination of leaf anatomy types was considered in statistical elaborations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Klotz et al. (2002); checked and supplemented by authors’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Succulent/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hygromorphic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leaves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Mesomorphic/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hygromorphic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leaves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Mesomorphic leaves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Scleromorphic</w:t>
            </w:r>
            <w:proofErr w:type="spellEnd"/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Scleromorphic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/mesomorphic leaves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Horizontal space occupation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Absence of horizontal architecture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Classification of horizontal growth form, according to the categories indicated in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Krumbiegel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(2002)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Pignatti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(1982), Klotz et al. (2002); checked and supplemented by authors’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 w:right="-63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Caespitose</w:t>
            </w:r>
          </w:p>
        </w:tc>
        <w:tc>
          <w:tcPr>
            <w:tcW w:w="1200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Pleiocorm</w:t>
            </w:r>
            <w:proofErr w:type="spellEnd"/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Reptant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Rosulate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Vertical space</w:t>
            </w:r>
          </w:p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occupation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Sedge (no leafy stem, narrow basal leaves)</w:t>
            </w:r>
          </w:p>
        </w:tc>
        <w:tc>
          <w:tcPr>
            <w:tcW w:w="1200" w:type="pct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Classification based on the width of leaves and on their position along the stem (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Liira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&amp; Zobel 2000 and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Krumbiegel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2002, modified)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Pignatti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(1982), Klotz et al. (2002); checked and supplemented by authors’ observations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Grass (leafy stem, narrow leaves)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Hemirosulate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upright forb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Erosulate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upright forb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Rosette forb (no leafy stem, broad basal leaves)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Prostrate forb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bCs/>
                <w:iCs/>
                <w:sz w:val="20"/>
                <w:szCs w:val="20"/>
                <w:lang w:val="en-US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Plant height</w:t>
            </w:r>
          </w:p>
        </w:tc>
        <w:tc>
          <w:tcPr>
            <w:tcW w:w="84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iCs/>
                <w:sz w:val="20"/>
                <w:szCs w:val="20"/>
                <w:lang w:val="en-US"/>
              </w:rPr>
              <w:t>≤ 20 cm</w:t>
            </w:r>
          </w:p>
        </w:tc>
        <w:tc>
          <w:tcPr>
            <w:tcW w:w="1200" w:type="pct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Plant height categorized in five classes of the same amplitude.</w:t>
            </w:r>
          </w:p>
        </w:tc>
        <w:tc>
          <w:tcPr>
            <w:tcW w:w="2135" w:type="pct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Field measurements and measurements taken on specimens stored in </w:t>
            </w:r>
            <w:r w:rsidRPr="004756FC">
              <w:rPr>
                <w:rFonts w:ascii="Palatino Linotype" w:hAnsi="Palatino Linotype" w:cs="Times New Roman"/>
                <w:i/>
                <w:sz w:val="20"/>
                <w:szCs w:val="20"/>
              </w:rPr>
              <w:t>Herbarium</w:t>
            </w:r>
            <w:r w:rsidR="002B44F2" w:rsidRPr="004756F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 w:rsidRPr="004756F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Universitatis </w:t>
            </w:r>
            <w:proofErr w:type="spellStart"/>
            <w:r w:rsidRPr="004756FC">
              <w:rPr>
                <w:rFonts w:ascii="Palatino Linotype" w:hAnsi="Palatino Linotype" w:cs="Times New Roman"/>
                <w:i/>
                <w:sz w:val="20"/>
                <w:szCs w:val="20"/>
              </w:rPr>
              <w:t>Camerinensis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 xml:space="preserve"> (CAME)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bCs/>
                <w:iCs/>
                <w:sz w:val="20"/>
                <w:szCs w:val="20"/>
                <w:lang w:val="en-US"/>
              </w:rPr>
              <w:t>21-40 cm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bCs/>
                <w:iCs/>
                <w:sz w:val="20"/>
                <w:szCs w:val="20"/>
                <w:lang w:val="en-US"/>
              </w:rPr>
            </w:pPr>
            <w:r w:rsidRPr="004756FC">
              <w:rPr>
                <w:rFonts w:ascii="Palatino Linotype" w:hAnsi="Palatino Linotype" w:cs="Times New Roman"/>
                <w:bCs/>
                <w:iCs/>
                <w:sz w:val="20"/>
                <w:szCs w:val="20"/>
                <w:lang w:val="en-US"/>
              </w:rPr>
              <w:t>41-60 cm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81-100 cm</w:t>
            </w:r>
          </w:p>
        </w:tc>
        <w:tc>
          <w:tcPr>
            <w:tcW w:w="12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tabs>
                <w:tab w:val="left" w:pos="7316"/>
              </w:tabs>
              <w:spacing w:after="0" w:line="240" w:lineRule="auto"/>
              <w:ind w:left="7290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2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Seed mass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≤ 0.20 mg</w:t>
            </w:r>
          </w:p>
        </w:tc>
        <w:tc>
          <w:tcPr>
            <w:tcW w:w="12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380" w:right="39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Seed weight categorized in classes on a logarithmic scale (Hodgson et al. 1995, modified).</w:t>
            </w:r>
          </w:p>
        </w:tc>
        <w:tc>
          <w:tcPr>
            <w:tcW w:w="21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0.21-0.50 mg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0.51-1.00 mg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1.01-2.00 mg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:rsidR="00CA17FE" w:rsidRPr="004756FC" w:rsidRDefault="00CA17FE" w:rsidP="00B900F7">
            <w:pPr>
              <w:spacing w:after="0" w:line="240" w:lineRule="auto"/>
              <w:ind w:left="201" w:right="168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  <w:lang w:val="it-IT"/>
              </w:rPr>
              <w:t>Grime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  <w:lang w:val="it-IT"/>
              </w:rPr>
              <w:t xml:space="preserve"> et al. (1988); </w:t>
            </w:r>
            <w:proofErr w:type="spellStart"/>
            <w:r w:rsidRPr="004756FC">
              <w:rPr>
                <w:rFonts w:ascii="Palatino Linotype" w:hAnsi="Palatino Linotype" w:cs="Times New Roman"/>
                <w:sz w:val="20"/>
                <w:szCs w:val="20"/>
                <w:lang w:val="it-IT"/>
              </w:rPr>
              <w:t>Klotz</w:t>
            </w:r>
            <w:proofErr w:type="spellEnd"/>
            <w:r w:rsidRPr="004756FC">
              <w:rPr>
                <w:rFonts w:ascii="Palatino Linotype" w:hAnsi="Palatino Linotype" w:cs="Times New Roman"/>
                <w:sz w:val="20"/>
                <w:szCs w:val="20"/>
                <w:lang w:val="it-IT"/>
              </w:rPr>
              <w:t xml:space="preserve"> et al. </w:t>
            </w: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(2002); collection and weighing of the seeds in the laboratory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2.01-4.00 mg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4.01-10.00 mg</w:t>
            </w:r>
          </w:p>
        </w:tc>
        <w:tc>
          <w:tcPr>
            <w:tcW w:w="1200" w:type="pct"/>
            <w:vMerge/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0F7" w:rsidRPr="004756FC" w:rsidTr="00B90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2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CA17FE">
            <w:pPr>
              <w:spacing w:after="0" w:line="240" w:lineRule="auto"/>
              <w:ind w:left="10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756FC">
              <w:rPr>
                <w:rFonts w:ascii="Palatino Linotype" w:hAnsi="Palatino Linotype" w:cs="Times New Roman"/>
                <w:sz w:val="20"/>
                <w:szCs w:val="20"/>
              </w:rPr>
              <w:t>&gt; 10.00 mg</w:t>
            </w:r>
          </w:p>
        </w:tc>
        <w:tc>
          <w:tcPr>
            <w:tcW w:w="12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EB186B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13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7FE" w:rsidRPr="004756FC" w:rsidRDefault="00CA17FE" w:rsidP="00050F7E">
            <w:pPr>
              <w:spacing w:after="0" w:line="240" w:lineRule="auto"/>
              <w:ind w:left="476" w:right="168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CA17FE" w:rsidRPr="004756FC" w:rsidRDefault="00CA17FE" w:rsidP="00EB186B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:rsidR="003C3447" w:rsidRPr="004756FC" w:rsidRDefault="003C3447" w:rsidP="00CA17FE">
      <w:pPr>
        <w:ind w:right="630"/>
        <w:rPr>
          <w:rFonts w:ascii="Palatino Linotype" w:hAnsi="Palatino Linotype" w:cs="Times New Roman"/>
          <w:sz w:val="20"/>
          <w:szCs w:val="20"/>
        </w:rPr>
      </w:pPr>
    </w:p>
    <w:p w:rsidR="002F5D48" w:rsidRPr="004756FC" w:rsidRDefault="002F5D48" w:rsidP="002F5D48">
      <w:pPr>
        <w:ind w:left="-360"/>
        <w:rPr>
          <w:rFonts w:ascii="Palatino Linotype" w:hAnsi="Palatino Linotype" w:cs="Times New Roman"/>
          <w:b/>
          <w:sz w:val="20"/>
          <w:szCs w:val="20"/>
        </w:rPr>
      </w:pPr>
      <w:r w:rsidRPr="004756FC">
        <w:rPr>
          <w:rFonts w:ascii="Palatino Linotype" w:hAnsi="Palatino Linotype" w:cs="Times New Roman"/>
          <w:b/>
          <w:sz w:val="20"/>
          <w:szCs w:val="20"/>
        </w:rPr>
        <w:t>References</w:t>
      </w:r>
      <w:bookmarkStart w:id="0" w:name="_GoBack"/>
      <w:bookmarkEnd w:id="0"/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sz w:val="20"/>
          <w:szCs w:val="20"/>
          <w:lang w:val="de-DE"/>
        </w:rPr>
      </w:pPr>
      <w:r w:rsidRPr="004756FC">
        <w:rPr>
          <w:rFonts w:ascii="Palatino Linotype" w:hAnsi="Palatino Linotype" w:cs="Times New Roman"/>
          <w:sz w:val="20"/>
          <w:szCs w:val="20"/>
          <w:lang w:val="de-DE"/>
        </w:rPr>
        <w:t xml:space="preserve">Bell, A.D. 1991. Plant Form. An illustrated guide to flowering plant morphology. Oxford University Press, Oxford, UK. 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sz w:val="20"/>
          <w:szCs w:val="20"/>
          <w:lang w:val="de-DE"/>
        </w:rPr>
      </w:pPr>
      <w:r w:rsidRPr="004756FC">
        <w:rPr>
          <w:rFonts w:ascii="Palatino Linotype" w:hAnsi="Palatino Linotype" w:cs="Times New Roman"/>
          <w:sz w:val="20"/>
          <w:szCs w:val="20"/>
          <w:lang w:val="de-DE"/>
        </w:rPr>
        <w:t>Grime, J.P., Hodgson, J.G., Hunt, R. 1988. Comparative plant ecology. A functional approach to common British species. Unwin Hyman, London, UK.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sz w:val="20"/>
          <w:szCs w:val="20"/>
          <w:lang w:val="de-DE"/>
        </w:rPr>
      </w:pPr>
      <w:r w:rsidRPr="004756FC">
        <w:rPr>
          <w:rFonts w:ascii="Palatino Linotype" w:hAnsi="Palatino Linotype" w:cs="Times New Roman"/>
          <w:sz w:val="20"/>
          <w:szCs w:val="20"/>
          <w:lang w:val="de-DE"/>
        </w:rPr>
        <w:t>Hodgson, J.G., Grime J.P., Hunt, R., Thompson, K. 1995. The electronic comparative plant ecology. Chapman &amp; Hall, London, UK.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sz w:val="20"/>
          <w:szCs w:val="20"/>
          <w:lang w:val="de-DE"/>
        </w:rPr>
      </w:pPr>
      <w:r w:rsidRPr="004756FC">
        <w:rPr>
          <w:rFonts w:ascii="Palatino Linotype" w:hAnsi="Palatino Linotype" w:cs="Times New Roman"/>
          <w:sz w:val="20"/>
          <w:szCs w:val="20"/>
          <w:lang w:val="de-DE"/>
        </w:rPr>
        <w:t>Klimešová, J.,&amp; de Bello, F. (2009). Clo-Pla: the database of clonal and bud bank traits of Central European flora</w:t>
      </w:r>
      <w:r w:rsidRPr="004756FC">
        <w:rPr>
          <w:rFonts w:ascii="Palatino Linotype" w:hAnsi="Palatino Linotype" w:cs="Times New Roman"/>
          <w:i/>
          <w:sz w:val="20"/>
          <w:szCs w:val="20"/>
          <w:lang w:val="de-DE"/>
        </w:rPr>
        <w:t>. Journal of Vegetation Science</w:t>
      </w:r>
      <w:r w:rsidRPr="004756FC">
        <w:rPr>
          <w:rFonts w:ascii="Palatino Linotype" w:hAnsi="Palatino Linotype" w:cs="Times New Roman"/>
          <w:sz w:val="20"/>
          <w:szCs w:val="20"/>
          <w:lang w:val="de-DE"/>
        </w:rPr>
        <w:t>, 20, 511</w:t>
      </w:r>
      <w:r w:rsidRPr="004756FC">
        <w:rPr>
          <w:rFonts w:ascii="Palatino Linotype" w:hAnsi="Palatino Linotype" w:cs="Times New Roman"/>
          <w:sz w:val="20"/>
          <w:szCs w:val="20"/>
        </w:rPr>
        <w:t>–</w:t>
      </w:r>
      <w:r w:rsidRPr="004756FC">
        <w:rPr>
          <w:rFonts w:ascii="Palatino Linotype" w:hAnsi="Palatino Linotype" w:cs="Times New Roman"/>
          <w:sz w:val="20"/>
          <w:szCs w:val="20"/>
          <w:lang w:val="de-DE"/>
        </w:rPr>
        <w:t>516.</w:t>
      </w:r>
    </w:p>
    <w:p w:rsidR="002F5D48" w:rsidRPr="004756FC" w:rsidRDefault="002F5D48" w:rsidP="002F5D48">
      <w:pPr>
        <w:tabs>
          <w:tab w:val="left" w:pos="283"/>
          <w:tab w:val="left" w:pos="567"/>
        </w:tabs>
        <w:spacing w:after="0" w:line="240" w:lineRule="auto"/>
        <w:ind w:left="-90" w:hanging="28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val="de-DE"/>
        </w:rPr>
      </w:pPr>
      <w:proofErr w:type="spellStart"/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</w:rPr>
        <w:t>Klimešová</w:t>
      </w:r>
      <w:proofErr w:type="spellEnd"/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</w:rPr>
        <w:t xml:space="preserve">, J., </w:t>
      </w:r>
      <w:proofErr w:type="spellStart"/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</w:rPr>
        <w:t>Klimeš</w:t>
      </w:r>
      <w:proofErr w:type="spellEnd"/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</w:rPr>
        <w:t xml:space="preserve">, L. (2006). CLO-PLA3: a database of clonal growth </w:t>
      </w:r>
      <w:r w:rsidRPr="004756FC">
        <w:rPr>
          <w:rFonts w:ascii="Palatino Linotype" w:eastAsia="AdvTimes" w:hAnsi="Palatino Linotype" w:cs="Times New Roman"/>
          <w:color w:val="000000"/>
          <w:sz w:val="20"/>
          <w:szCs w:val="20"/>
        </w:rPr>
        <w:t xml:space="preserve">architecture of Central European plants.  </w:t>
      </w:r>
      <w:r w:rsidRPr="004756FC">
        <w:rPr>
          <w:rFonts w:ascii="Palatino Linotype" w:eastAsia="AdvTimes" w:hAnsi="Palatino Linotype" w:cs="Times New Roman"/>
          <w:color w:val="000000"/>
          <w:sz w:val="20"/>
          <w:szCs w:val="20"/>
          <w:lang w:val="de-DE"/>
        </w:rPr>
        <w:t>http://clopla.butbn.cas.cz.</w:t>
      </w:r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  <w:lang w:val="de-DE"/>
        </w:rPr>
        <w:t xml:space="preserve"> Accessed 20 May 2019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bCs/>
          <w:iCs/>
          <w:sz w:val="20"/>
          <w:szCs w:val="20"/>
          <w:lang w:val="pl-PL"/>
        </w:rPr>
      </w:pPr>
      <w:r w:rsidRPr="004756FC">
        <w:rPr>
          <w:rFonts w:ascii="Palatino Linotype" w:hAnsi="Palatino Linotype" w:cs="Times New Roman"/>
          <w:sz w:val="20"/>
          <w:szCs w:val="20"/>
          <w:lang w:val="pl-PL"/>
        </w:rPr>
        <w:t xml:space="preserve">Klotz, S. &amp; Kühn, I. (2002). Blattmerkmale. In S. Klotz, I. Kühn, W. Durka (Eds.) </w:t>
      </w:r>
      <w:r w:rsidRPr="004756FC">
        <w:rPr>
          <w:rFonts w:ascii="Palatino Linotype" w:hAnsi="Palatino Linotype" w:cs="Times New Roman"/>
          <w:i/>
          <w:sz w:val="20"/>
          <w:szCs w:val="20"/>
          <w:lang w:val="pl-PL"/>
        </w:rPr>
        <w:t>Biolflor: Eine Datenbank zu biologisch-ökologischen Merkmalen der Gefäßpflanzen in Deutschland</w:t>
      </w:r>
      <w:r w:rsidRPr="004756FC">
        <w:rPr>
          <w:rFonts w:ascii="Palatino Linotype" w:hAnsi="Palatino Linotype" w:cs="Times New Roman"/>
          <w:sz w:val="20"/>
          <w:szCs w:val="20"/>
          <w:lang w:val="pl-PL"/>
        </w:rPr>
        <w:t>, Schriftenreihe für Vegetationskunde 38 (pp. 119–126). Bonn, DE.</w:t>
      </w:r>
    </w:p>
    <w:p w:rsidR="002F5D48" w:rsidRPr="004756FC" w:rsidRDefault="002F5D48" w:rsidP="002F5D48">
      <w:pPr>
        <w:tabs>
          <w:tab w:val="left" w:pos="283"/>
          <w:tab w:val="left" w:pos="567"/>
        </w:tabs>
        <w:spacing w:after="0" w:line="240" w:lineRule="auto"/>
        <w:ind w:left="-90" w:hanging="28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val="pl-PL"/>
        </w:rPr>
      </w:pPr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  <w:lang w:val="pl-PL"/>
        </w:rPr>
        <w:t>Klotz, S., Kühn, I., &amp; Durka, W. (2002).</w:t>
      </w:r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  <w:lang w:val="de-DE"/>
        </w:rPr>
        <w:t xml:space="preserve">Biolflor: Eine Datenbank zu biologisch-ökologischen Merkmalen der Gefäßpflanzen in Deutschland. Schriftenreihe für Vegetationskunde 38. Bonn, Bundesamt für Naturschutz. </w:t>
      </w:r>
      <w:r w:rsidRPr="004756FC">
        <w:rPr>
          <w:rStyle w:val="Hyperlink"/>
          <w:rFonts w:ascii="Palatino Linotype" w:eastAsia="Times New Roman" w:hAnsi="Palatino Linotype" w:cs="Times New Roman"/>
          <w:color w:val="000000"/>
          <w:sz w:val="20"/>
          <w:szCs w:val="20"/>
          <w:lang w:val="de-DE"/>
        </w:rPr>
        <w:t>http://www2.ufz.de/biolflor/index.jsp</w:t>
      </w:r>
      <w:r w:rsidRPr="004756FC">
        <w:rPr>
          <w:rFonts w:ascii="Palatino Linotype" w:eastAsia="Times New Roman" w:hAnsi="Palatino Linotype" w:cs="Times New Roman"/>
          <w:color w:val="000000"/>
          <w:sz w:val="20"/>
          <w:szCs w:val="20"/>
          <w:lang w:val="de-DE"/>
        </w:rPr>
        <w:t>. Accessed 20 May 2019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bCs/>
          <w:iCs/>
          <w:sz w:val="20"/>
          <w:szCs w:val="20"/>
          <w:lang w:val="pl-PL"/>
        </w:rPr>
      </w:pPr>
      <w:r w:rsidRPr="004756FC">
        <w:rPr>
          <w:rFonts w:ascii="Palatino Linotype" w:hAnsi="Palatino Linotype" w:cs="Times New Roman"/>
          <w:bCs/>
          <w:iCs/>
          <w:sz w:val="20"/>
          <w:szCs w:val="20"/>
          <w:lang w:val="pl-PL"/>
        </w:rPr>
        <w:t xml:space="preserve">Krumbiegel, A. (2002). Morphologie der vegetative Organe (auser Blatter). In S. Klotz, I. Kühn, &amp; W. Durka (Eds.) </w:t>
      </w:r>
      <w:r w:rsidRPr="004756FC">
        <w:rPr>
          <w:rFonts w:ascii="Palatino Linotype" w:hAnsi="Palatino Linotype" w:cs="Times New Roman"/>
          <w:bCs/>
          <w:i/>
          <w:iCs/>
          <w:sz w:val="20"/>
          <w:szCs w:val="20"/>
          <w:lang w:val="pl-PL"/>
        </w:rPr>
        <w:t>Biolflor: Eine Datenbank zu biologischökologischen Merkmalen der Gefäßpflanzen in Deutschland</w:t>
      </w:r>
      <w:r w:rsidRPr="004756FC">
        <w:rPr>
          <w:rFonts w:ascii="Palatino Linotype" w:hAnsi="Palatino Linotype" w:cs="Times New Roman"/>
          <w:bCs/>
          <w:iCs/>
          <w:sz w:val="20"/>
          <w:szCs w:val="20"/>
          <w:lang w:val="pl-PL"/>
        </w:rPr>
        <w:t>. Schriftenreihe für Vegetationskunde 38(pp. 93–118). Bonn, DE.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bCs/>
          <w:iCs/>
          <w:sz w:val="20"/>
          <w:szCs w:val="20"/>
          <w:lang w:val="pl-PL"/>
        </w:rPr>
      </w:pPr>
      <w:r w:rsidRPr="004756FC">
        <w:rPr>
          <w:rFonts w:ascii="Palatino Linotype" w:hAnsi="Palatino Linotype" w:cs="Times New Roman"/>
          <w:bCs/>
          <w:iCs/>
          <w:sz w:val="20"/>
          <w:szCs w:val="20"/>
          <w:lang w:val="pl-PL"/>
        </w:rPr>
        <w:t>Küster, E.C., Bierman, S.M., Klotz, S., Kühn, I. 2010. Modelling the impact of climate and land use change on the geographical distribution of leaf anatomy in a temperate flora. Ecography 33: 1–12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4756FC">
        <w:rPr>
          <w:rFonts w:ascii="Palatino Linotype" w:hAnsi="Palatino Linotype" w:cs="Times New Roman"/>
          <w:sz w:val="20"/>
          <w:szCs w:val="20"/>
          <w:lang w:val="pl-PL"/>
        </w:rPr>
        <w:t>Liira, J. &amp; Zobel, K. (2000). Vertical structure of a species-rich gra</w:t>
      </w:r>
      <w:proofErr w:type="spellStart"/>
      <w:r w:rsidRPr="004756FC">
        <w:rPr>
          <w:rFonts w:ascii="Palatino Linotype" w:hAnsi="Palatino Linotype" w:cs="Times New Roman"/>
          <w:sz w:val="20"/>
          <w:szCs w:val="20"/>
        </w:rPr>
        <w:t>ssland</w:t>
      </w:r>
      <w:proofErr w:type="spellEnd"/>
      <w:r w:rsidRPr="004756FC">
        <w:rPr>
          <w:rFonts w:ascii="Palatino Linotype" w:hAnsi="Palatino Linotype" w:cs="Times New Roman"/>
          <w:sz w:val="20"/>
          <w:szCs w:val="20"/>
        </w:rPr>
        <w:t xml:space="preserve"> canopy, treated with additional illumination, fertilization and mowing. </w:t>
      </w:r>
      <w:r w:rsidRPr="004756FC">
        <w:rPr>
          <w:rFonts w:ascii="Palatino Linotype" w:hAnsi="Palatino Linotype" w:cs="Times New Roman"/>
          <w:i/>
          <w:iCs/>
          <w:sz w:val="20"/>
          <w:szCs w:val="20"/>
        </w:rPr>
        <w:t>Plant Ecology</w:t>
      </w:r>
      <w:r w:rsidRPr="004756FC">
        <w:rPr>
          <w:rFonts w:ascii="Palatino Linotype" w:hAnsi="Palatino Linotype" w:cs="Times New Roman"/>
          <w:iCs/>
          <w:sz w:val="20"/>
          <w:szCs w:val="20"/>
        </w:rPr>
        <w:t>,</w:t>
      </w:r>
      <w:r w:rsidRPr="004756FC">
        <w:rPr>
          <w:rFonts w:ascii="Palatino Linotype" w:hAnsi="Palatino Linotype" w:cs="Times New Roman"/>
          <w:sz w:val="20"/>
          <w:szCs w:val="20"/>
        </w:rPr>
        <w:t xml:space="preserve"> 146, 185–195.</w:t>
      </w:r>
    </w:p>
    <w:p w:rsidR="002F5D48" w:rsidRPr="004756FC" w:rsidRDefault="002F5D48" w:rsidP="002F5D48">
      <w:pPr>
        <w:spacing w:after="0" w:line="240" w:lineRule="auto"/>
        <w:ind w:left="-90" w:hanging="284"/>
        <w:jc w:val="both"/>
        <w:rPr>
          <w:rFonts w:ascii="Palatino Linotype" w:hAnsi="Palatino Linotype" w:cs="Times New Roman"/>
          <w:bCs/>
          <w:sz w:val="20"/>
          <w:szCs w:val="20"/>
        </w:rPr>
      </w:pPr>
      <w:proofErr w:type="spellStart"/>
      <w:r w:rsidRPr="004756FC">
        <w:rPr>
          <w:rFonts w:ascii="Palatino Linotype" w:hAnsi="Palatino Linotype" w:cs="Times New Roman"/>
          <w:sz w:val="20"/>
          <w:szCs w:val="20"/>
        </w:rPr>
        <w:t>Pignatti</w:t>
      </w:r>
      <w:proofErr w:type="spellEnd"/>
      <w:r w:rsidRPr="004756FC">
        <w:rPr>
          <w:rFonts w:ascii="Palatino Linotype" w:hAnsi="Palatino Linotype" w:cs="Times New Roman"/>
          <w:sz w:val="20"/>
          <w:szCs w:val="20"/>
        </w:rPr>
        <w:t xml:space="preserve">, S. (1982). Flora </w:t>
      </w:r>
      <w:proofErr w:type="spellStart"/>
      <w:r w:rsidRPr="004756FC">
        <w:rPr>
          <w:rFonts w:ascii="Palatino Linotype" w:hAnsi="Palatino Linotype" w:cs="Times New Roman"/>
          <w:sz w:val="20"/>
          <w:szCs w:val="20"/>
        </w:rPr>
        <w:t>d’Italia</w:t>
      </w:r>
      <w:proofErr w:type="spellEnd"/>
      <w:r w:rsidRPr="004756FC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4756FC">
        <w:rPr>
          <w:rFonts w:ascii="Palatino Linotype" w:hAnsi="Palatino Linotype" w:cs="Times New Roman"/>
          <w:sz w:val="20"/>
          <w:szCs w:val="20"/>
        </w:rPr>
        <w:t>Bologna:Edagricole</w:t>
      </w:r>
      <w:proofErr w:type="spellEnd"/>
      <w:r w:rsidRPr="004756FC">
        <w:rPr>
          <w:rFonts w:ascii="Palatino Linotype" w:hAnsi="Palatino Linotype" w:cs="Times New Roman"/>
          <w:sz w:val="20"/>
          <w:szCs w:val="20"/>
        </w:rPr>
        <w:t>.</w:t>
      </w:r>
    </w:p>
    <w:p w:rsidR="002F5D48" w:rsidRPr="004756FC" w:rsidRDefault="002F5D48" w:rsidP="002F5D48">
      <w:pPr>
        <w:ind w:left="-360" w:right="630"/>
        <w:rPr>
          <w:rFonts w:ascii="Palatino Linotype" w:hAnsi="Palatino Linotype" w:cs="Times New Roman"/>
          <w:sz w:val="20"/>
          <w:szCs w:val="20"/>
        </w:rPr>
      </w:pPr>
    </w:p>
    <w:sectPr w:rsidR="002F5D48" w:rsidRPr="004756FC" w:rsidSect="00050F7E">
      <w:pgSz w:w="31680" w:h="31680" w:code="3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Time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FE"/>
    <w:rsid w:val="00050F7E"/>
    <w:rsid w:val="00107BDD"/>
    <w:rsid w:val="002B44F2"/>
    <w:rsid w:val="002F5D48"/>
    <w:rsid w:val="003C3447"/>
    <w:rsid w:val="004756FC"/>
    <w:rsid w:val="00562A48"/>
    <w:rsid w:val="00690284"/>
    <w:rsid w:val="00724715"/>
    <w:rsid w:val="008925E9"/>
    <w:rsid w:val="00B900F7"/>
    <w:rsid w:val="00CA17FE"/>
    <w:rsid w:val="00E21C2D"/>
    <w:rsid w:val="00E9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4DDE0"/>
  <w15:chartTrackingRefBased/>
  <w15:docId w15:val="{9EE797C5-C713-4917-9A0C-30037AC2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7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F957B-350E-455D-B6CE-7F3C206F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Ferrara</dc:creator>
  <cp:keywords/>
  <dc:description/>
  <cp:lastModifiedBy>Arianna Ferrara</cp:lastModifiedBy>
  <cp:revision>2</cp:revision>
  <dcterms:created xsi:type="dcterms:W3CDTF">2019-10-02T08:50:00Z</dcterms:created>
  <dcterms:modified xsi:type="dcterms:W3CDTF">2019-11-25T10:11:00Z</dcterms:modified>
</cp:coreProperties>
</file>