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60" w:before="240" w:line="240" w:lineRule="auto"/>
        <w:ind w:firstLine="58"/>
        <w:jc w:val="center"/>
        <w:rPr>
          <w:rFonts w:ascii="Palatino Linotype" w:cs="Palatino Linotype" w:eastAsia="Palatino Linotype" w:hAnsi="Palatino Linotype"/>
          <w:sz w:val="20"/>
          <w:szCs w:val="20"/>
        </w:rPr>
      </w:pPr>
      <w:bookmarkStart w:colFirst="0" w:colLast="0" w:name="_gjdgxs" w:id="0"/>
      <w:bookmarkEnd w:id="0"/>
      <w:r w:rsidDel="00000000" w:rsidR="00000000" w:rsidRPr="00000000">
        <w:rPr>
          <w:rFonts w:ascii="Palatino Linotype" w:cs="Palatino Linotype" w:eastAsia="Palatino Linotype" w:hAnsi="Palatino Linotype"/>
          <w:b w:val="1"/>
          <w:sz w:val="20"/>
          <w:szCs w:val="20"/>
          <w:rtl w:val="0"/>
        </w:rPr>
        <w:t xml:space="preserve">Table S9. </w:t>
      </w:r>
      <w:r w:rsidDel="00000000" w:rsidR="00000000" w:rsidRPr="00000000">
        <w:rPr>
          <w:rFonts w:ascii="Palatino Linotype" w:cs="Palatino Linotype" w:eastAsia="Palatino Linotype" w:hAnsi="Palatino Linotype"/>
          <w:sz w:val="20"/>
          <w:szCs w:val="20"/>
          <w:rtl w:val="0"/>
        </w:rPr>
        <w:t xml:space="preserve">Friedman post-hoc multiple comparison test after the Nemenyi method compared ms-bites taken by </w:t>
      </w:r>
      <w:r w:rsidDel="00000000" w:rsidR="00000000" w:rsidRPr="00000000">
        <w:rPr>
          <w:rFonts w:ascii="Palatino Linotype" w:cs="Palatino Linotype" w:eastAsia="Palatino Linotype" w:hAnsi="Palatino Linotype"/>
          <w:i w:val="1"/>
          <w:sz w:val="20"/>
          <w:szCs w:val="20"/>
          <w:rtl w:val="0"/>
        </w:rPr>
        <w:t xml:space="preserve">S. virgatus </w:t>
      </w:r>
      <w:r w:rsidDel="00000000" w:rsidR="00000000" w:rsidRPr="00000000">
        <w:rPr>
          <w:rFonts w:ascii="Palatino Linotype" w:cs="Palatino Linotype" w:eastAsia="Palatino Linotype" w:hAnsi="Palatino Linotype"/>
          <w:sz w:val="20"/>
          <w:szCs w:val="20"/>
          <w:rtl w:val="0"/>
        </w:rPr>
        <w:t xml:space="preserve">on </w:t>
      </w:r>
      <w:r w:rsidDel="00000000" w:rsidR="00000000" w:rsidRPr="00000000">
        <w:rPr>
          <w:rFonts w:ascii="Palatino Linotype" w:cs="Palatino Linotype" w:eastAsia="Palatino Linotype" w:hAnsi="Palatino Linotype"/>
          <w:i w:val="1"/>
          <w:sz w:val="20"/>
          <w:szCs w:val="20"/>
          <w:rtl w:val="0"/>
        </w:rPr>
        <w:t xml:space="preserve">Sargassum, Padina </w:t>
      </w:r>
      <w:r w:rsidDel="00000000" w:rsidR="00000000" w:rsidRPr="00000000">
        <w:rPr>
          <w:rFonts w:ascii="Palatino Linotype" w:cs="Palatino Linotype" w:eastAsia="Palatino Linotype" w:hAnsi="Palatino Linotype"/>
          <w:sz w:val="20"/>
          <w:szCs w:val="20"/>
          <w:rtl w:val="0"/>
        </w:rPr>
        <w:t xml:space="preserve">and</w:t>
      </w:r>
      <w:r w:rsidDel="00000000" w:rsidR="00000000" w:rsidRPr="00000000">
        <w:rPr>
          <w:rFonts w:ascii="Palatino Linotype" w:cs="Palatino Linotype" w:eastAsia="Palatino Linotype" w:hAnsi="Palatino Linotype"/>
          <w:i w:val="1"/>
          <w:sz w:val="20"/>
          <w:szCs w:val="20"/>
          <w:rtl w:val="0"/>
        </w:rPr>
        <w:t xml:space="preserve"> Turbinaria</w:t>
      </w:r>
      <w:r w:rsidDel="00000000" w:rsidR="00000000" w:rsidRPr="00000000">
        <w:rPr>
          <w:rFonts w:ascii="Palatino Linotype" w:cs="Palatino Linotype" w:eastAsia="Palatino Linotype" w:hAnsi="Palatino Linotype"/>
          <w:sz w:val="20"/>
          <w:szCs w:val="20"/>
          <w:rtl w:val="0"/>
        </w:rPr>
        <w:t xml:space="preserve">. Significant p-values are displayed in bold.</w:t>
      </w:r>
    </w:p>
    <w:tbl>
      <w:tblPr>
        <w:tblStyle w:val="Table1"/>
        <w:tblW w:w="9080.0" w:type="dxa"/>
        <w:jc w:val="left"/>
        <w:tblInd w:w="0.0" w:type="dxa"/>
        <w:tblLayout w:type="fixed"/>
        <w:tblLook w:val="0400"/>
      </w:tblPr>
      <w:tblGrid>
        <w:gridCol w:w="1483"/>
        <w:gridCol w:w="1147"/>
        <w:gridCol w:w="1110"/>
        <w:gridCol w:w="1216"/>
        <w:gridCol w:w="1161"/>
        <w:gridCol w:w="1483"/>
        <w:gridCol w:w="1480"/>
        <w:tblGridChange w:id="0">
          <w:tblGrid>
            <w:gridCol w:w="1483"/>
            <w:gridCol w:w="1147"/>
            <w:gridCol w:w="1110"/>
            <w:gridCol w:w="1216"/>
            <w:gridCol w:w="1161"/>
            <w:gridCol w:w="1483"/>
            <w:gridCol w:w="1480"/>
          </w:tblGrid>
        </w:tblGridChange>
      </w:tblGrid>
      <w:tr>
        <w:trPr>
          <w:trHeight w:val="310" w:hRule="atLeast"/>
        </w:trPr>
        <w:tc>
          <w:tcPr>
            <w:tcBorders>
              <w:bottom w:color="000000" w:space="0" w:sz="8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2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i w:val="1"/>
                <w:sz w:val="20"/>
                <w:szCs w:val="20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3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Frequency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4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Rank sum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5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Rank mean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6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i w:val="1"/>
                <w:sz w:val="20"/>
                <w:szCs w:val="20"/>
                <w:rtl w:val="0"/>
              </w:rPr>
              <w:t xml:space="preserve">Padina sp.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7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i w:val="1"/>
                <w:sz w:val="20"/>
                <w:szCs w:val="20"/>
                <w:rtl w:val="0"/>
              </w:rPr>
              <w:t xml:space="preserve">Sargassum sp.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8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i w:val="1"/>
                <w:sz w:val="20"/>
                <w:szCs w:val="20"/>
                <w:rtl w:val="0"/>
              </w:rPr>
              <w:t xml:space="preserve">Turbinaria sp.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8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9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i w:val="1"/>
                <w:sz w:val="20"/>
                <w:szCs w:val="20"/>
                <w:rtl w:val="0"/>
              </w:rPr>
              <w:t xml:space="preserve">Padina sp.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A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16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B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19,500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C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1,219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D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E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0.810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F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  <w:rtl w:val="0"/>
              </w:rPr>
              <w:t xml:space="preserve">0.001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00" w:hRule="atLeast"/>
        </w:trPr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0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i w:val="1"/>
                <w:sz w:val="20"/>
                <w:szCs w:val="20"/>
                <w:rtl w:val="0"/>
              </w:rPr>
              <w:t xml:space="preserve">Sargassum sp.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1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16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2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36,500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3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2,281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4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0.810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5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6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  <w:rtl w:val="0"/>
              </w:rPr>
              <w:t xml:space="preserve">0.008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0" w:hRule="atLeast"/>
        </w:trPr>
        <w:tc>
          <w:tcPr>
            <w:tcBorders>
              <w:bottom w:color="000000" w:space="0" w:sz="8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7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i w:val="1"/>
                <w:sz w:val="20"/>
                <w:szCs w:val="20"/>
                <w:rtl w:val="0"/>
              </w:rPr>
              <w:t xml:space="preserve">Turbinaria sp.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8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16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9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40,000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A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2,500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B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  <w:rtl w:val="0"/>
              </w:rPr>
              <w:t xml:space="preserve">0.001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C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  <w:rtl w:val="0"/>
              </w:rPr>
              <w:t xml:space="preserve">0.008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D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E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Calibri"/>
  <w:font w:name="Palatino Linotyp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de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alatinoLinotype-regular.ttf"/><Relationship Id="rId2" Type="http://schemas.openxmlformats.org/officeDocument/2006/relationships/font" Target="fonts/PalatinoLinotype-bold.ttf"/><Relationship Id="rId3" Type="http://schemas.openxmlformats.org/officeDocument/2006/relationships/font" Target="fonts/PalatinoLinotype-italic.ttf"/><Relationship Id="rId4" Type="http://schemas.openxmlformats.org/officeDocument/2006/relationships/font" Target="fonts/PalatinoLinotype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