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18"/>
          <w:szCs w:val="18"/>
          <w:rtl w:val="0"/>
        </w:rPr>
        <w:t xml:space="preserve">Table S5.</w:t>
      </w:r>
      <w:r w:rsidDel="00000000" w:rsidR="00000000" w:rsidRPr="00000000">
        <w:rPr>
          <w:rFonts w:ascii="Palatino Linotype" w:cs="Palatino Linotype" w:eastAsia="Palatino Linotype" w:hAnsi="Palatino Linotype"/>
          <w:sz w:val="18"/>
          <w:szCs w:val="18"/>
          <w:rtl w:val="0"/>
        </w:rPr>
        <w:t xml:space="preserve"> Wilcoxon rank sum test compared observed ms-bites in single-choice assays at location B and location E in 2015. Significant p-values are displayed in bold.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531.0" w:type="dxa"/>
        <w:jc w:val="left"/>
        <w:tblInd w:w="458.0" w:type="dxa"/>
        <w:tblLayout w:type="fixed"/>
        <w:tblLook w:val="0000"/>
      </w:tblPr>
      <w:tblGrid>
        <w:gridCol w:w="1740"/>
        <w:gridCol w:w="666"/>
        <w:gridCol w:w="905"/>
        <w:gridCol w:w="1200"/>
        <w:gridCol w:w="1020"/>
        <w:tblGridChange w:id="0">
          <w:tblGrid>
            <w:gridCol w:w="1740"/>
            <w:gridCol w:w="666"/>
            <w:gridCol w:w="905"/>
            <w:gridCol w:w="1200"/>
            <w:gridCol w:w="1020"/>
          </w:tblGrid>
        </w:tblGridChange>
      </w:tblGrid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p-value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Hedges' |g|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effect size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total msb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252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0.002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i w:val="1"/>
                <w:sz w:val="20"/>
                <w:szCs w:val="20"/>
                <w:rtl w:val="0"/>
              </w:rPr>
              <w:t xml:space="preserve">Siganus virgatus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240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&lt; 0.001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1.059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large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Scarus rivulatus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282.5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Siganus guttatus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374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0.127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Siganus javus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374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0.127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Scarus ghobban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396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Siganus corallinus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405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2B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