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B5FBE" w14:textId="77777777" w:rsidR="00E27678" w:rsidRPr="00C51DCC" w:rsidRDefault="00E27678" w:rsidP="00F561F2">
      <w:pPr>
        <w:pStyle w:val="MDPI11articletype"/>
      </w:pPr>
      <w:r w:rsidRPr="00C51DCC">
        <w:t>Letter</w:t>
      </w:r>
    </w:p>
    <w:p w14:paraId="5484ABFA" w14:textId="77777777" w:rsidR="0028224B" w:rsidRPr="00C51DCC" w:rsidRDefault="004948CF" w:rsidP="00F561F2">
      <w:pPr>
        <w:pStyle w:val="MDPI12title"/>
      </w:pPr>
      <w:r w:rsidRPr="00C51DCC">
        <w:t xml:space="preserve">Sensitive </w:t>
      </w:r>
      <w:r w:rsidR="006930CC" w:rsidRPr="00C51DCC">
        <w:t>Detection</w:t>
      </w:r>
      <w:r w:rsidRPr="00C51DCC">
        <w:t xml:space="preserve"> of </w:t>
      </w:r>
      <w:proofErr w:type="gramStart"/>
      <w:r w:rsidRPr="00C51DCC">
        <w:t>C-</w:t>
      </w:r>
      <w:r w:rsidR="006930CC" w:rsidRPr="00C51DCC">
        <w:t>Reactive</w:t>
      </w:r>
      <w:r w:rsidRPr="00C51DCC">
        <w:t xml:space="preserve"> </w:t>
      </w:r>
      <w:r w:rsidR="006930CC" w:rsidRPr="00C51DCC">
        <w:t>Protein</w:t>
      </w:r>
      <w:proofErr w:type="gramEnd"/>
      <w:r w:rsidRPr="00C51DCC">
        <w:t xml:space="preserve"> by </w:t>
      </w:r>
      <w:r w:rsidR="006930CC" w:rsidRPr="00C51DCC">
        <w:br/>
        <w:t>One-Step</w:t>
      </w:r>
      <w:r w:rsidRPr="00C51DCC">
        <w:t xml:space="preserve"> </w:t>
      </w:r>
      <w:r w:rsidR="006930CC" w:rsidRPr="00C51DCC">
        <w:t xml:space="preserve">Method Based </w:t>
      </w:r>
      <w:r w:rsidRPr="00C51DCC">
        <w:t xml:space="preserve">on a </w:t>
      </w:r>
      <w:r w:rsidR="006930CC" w:rsidRPr="00C51DCC">
        <w:t>Waveguide-Mode Sensor</w:t>
      </w:r>
    </w:p>
    <w:p w14:paraId="00C67941" w14:textId="77777777" w:rsidR="0028224B" w:rsidRPr="00C51DCC" w:rsidRDefault="004948CF" w:rsidP="00F561F2">
      <w:pPr>
        <w:pStyle w:val="MDPI13authornames"/>
      </w:pPr>
      <w:r w:rsidRPr="00C51DCC">
        <w:t xml:space="preserve">Hiroki </w:t>
      </w:r>
      <w:proofErr w:type="spellStart"/>
      <w:r w:rsidRPr="00C51DCC">
        <w:t>Ashiba</w:t>
      </w:r>
      <w:proofErr w:type="spellEnd"/>
      <w:r w:rsidR="0028224B" w:rsidRPr="00C51DCC">
        <w:t xml:space="preserve"> </w:t>
      </w:r>
      <w:r w:rsidR="0028224B" w:rsidRPr="00C51DCC">
        <w:rPr>
          <w:vertAlign w:val="superscript"/>
        </w:rPr>
        <w:t>1</w:t>
      </w:r>
      <w:r w:rsidRPr="00C51DCC">
        <w:rPr>
          <w:vertAlign w:val="superscript"/>
        </w:rPr>
        <w:t>,</w:t>
      </w:r>
      <w:r w:rsidRPr="00C51DCC">
        <w:t>*</w:t>
      </w:r>
      <w:r w:rsidR="0028224B" w:rsidRPr="00C51DCC">
        <w:t xml:space="preserve">, </w:t>
      </w:r>
      <w:r w:rsidRPr="00C51DCC">
        <w:t xml:space="preserve">Chiaki </w:t>
      </w:r>
      <w:proofErr w:type="spellStart"/>
      <w:r w:rsidRPr="00C51DCC">
        <w:t>Oyamada</w:t>
      </w:r>
      <w:proofErr w:type="spellEnd"/>
      <w:r w:rsidR="0028224B" w:rsidRPr="00C51DCC">
        <w:t xml:space="preserve"> </w:t>
      </w:r>
      <w:r w:rsidR="0028224B" w:rsidRPr="00C51DCC">
        <w:rPr>
          <w:vertAlign w:val="superscript"/>
        </w:rPr>
        <w:t>2</w:t>
      </w:r>
      <w:r w:rsidRPr="00C51DCC">
        <w:t xml:space="preserve">, Kazuya Hosokawa </w:t>
      </w:r>
      <w:r w:rsidRPr="00C51DCC">
        <w:rPr>
          <w:vertAlign w:val="superscript"/>
        </w:rPr>
        <w:t>2</w:t>
      </w:r>
      <w:r w:rsidRPr="00C51DCC">
        <w:t>,</w:t>
      </w:r>
      <w:r w:rsidR="0028224B" w:rsidRPr="00C51DCC">
        <w:t xml:space="preserve"> </w:t>
      </w:r>
      <w:r w:rsidRPr="00C51DCC">
        <w:t xml:space="preserve">Koji Ueno </w:t>
      </w:r>
      <w:r w:rsidRPr="00C51DCC">
        <w:rPr>
          <w:vertAlign w:val="superscript"/>
        </w:rPr>
        <w:t>3</w:t>
      </w:r>
      <w:r w:rsidRPr="00C51DCC">
        <w:t xml:space="preserve"> </w:t>
      </w:r>
      <w:r w:rsidR="0028224B" w:rsidRPr="00C51DCC">
        <w:t xml:space="preserve">and </w:t>
      </w:r>
      <w:r w:rsidRPr="00C51DCC">
        <w:t xml:space="preserve">Makoto </w:t>
      </w:r>
      <w:proofErr w:type="spellStart"/>
      <w:r w:rsidRPr="00C51DCC">
        <w:t>Fujimaki</w:t>
      </w:r>
      <w:proofErr w:type="spellEnd"/>
      <w:r w:rsidR="0028224B" w:rsidRPr="00C51DCC">
        <w:t xml:space="preserve"> </w:t>
      </w:r>
      <w:r w:rsidRPr="00C51DCC">
        <w:rPr>
          <w:vertAlign w:val="superscript"/>
        </w:rPr>
        <w:t>1</w:t>
      </w:r>
    </w:p>
    <w:p w14:paraId="59266783" w14:textId="77777777" w:rsidR="0028224B" w:rsidRPr="00C51DCC" w:rsidRDefault="0028224B" w:rsidP="00F561F2">
      <w:pPr>
        <w:pStyle w:val="MDPI16affiliation"/>
      </w:pPr>
      <w:r w:rsidRPr="00C51DCC">
        <w:rPr>
          <w:vertAlign w:val="superscript"/>
        </w:rPr>
        <w:t>1</w:t>
      </w:r>
      <w:r w:rsidRPr="00C51DCC">
        <w:tab/>
      </w:r>
      <w:r w:rsidR="004948CF" w:rsidRPr="00C51DCC">
        <w:t>Sensing System Research Center, National Institute of Advanced Industrial Science and Technology (AIST), Tsukuba Central 5, 1-1-1 Higashi, Tsukuba, Ibaraki 305-8565, Japan</w:t>
      </w:r>
      <w:r w:rsidR="006930CC" w:rsidRPr="00C51DCC">
        <w:t>; m-fujimaki@aist.go.jp</w:t>
      </w:r>
    </w:p>
    <w:p w14:paraId="315DEF93" w14:textId="77777777" w:rsidR="0028224B" w:rsidRPr="00C51DCC" w:rsidRDefault="0028224B" w:rsidP="00F561F2">
      <w:pPr>
        <w:pStyle w:val="MDPI16affiliation"/>
      </w:pPr>
      <w:r w:rsidRPr="00C51DCC">
        <w:rPr>
          <w:vertAlign w:val="superscript"/>
        </w:rPr>
        <w:t>2</w:t>
      </w:r>
      <w:r w:rsidRPr="00C51DCC">
        <w:tab/>
      </w:r>
      <w:r w:rsidR="004948CF" w:rsidRPr="00C51DCC">
        <w:t xml:space="preserve">Research Institute, Fujimori Kogyo Co., Ltd., 1-10-1 </w:t>
      </w:r>
      <w:proofErr w:type="spellStart"/>
      <w:r w:rsidR="004948CF" w:rsidRPr="00C51DCC">
        <w:t>Sachiura</w:t>
      </w:r>
      <w:proofErr w:type="spellEnd"/>
      <w:r w:rsidR="004948CF" w:rsidRPr="00C51DCC">
        <w:t>, Kanazawa-</w:t>
      </w:r>
      <w:proofErr w:type="spellStart"/>
      <w:r w:rsidR="004948CF" w:rsidRPr="00C51DCC">
        <w:t>ku</w:t>
      </w:r>
      <w:proofErr w:type="spellEnd"/>
      <w:r w:rsidR="004948CF" w:rsidRPr="00C51DCC">
        <w:t xml:space="preserve">, Yokohama, Kanagawa </w:t>
      </w:r>
      <w:r w:rsidR="006930CC" w:rsidRPr="00C51DCC">
        <w:br/>
      </w:r>
      <w:r w:rsidR="004948CF" w:rsidRPr="00C51DCC">
        <w:t>236-0003, Japan</w:t>
      </w:r>
      <w:r w:rsidRPr="00C51DCC">
        <w:t xml:space="preserve">; </w:t>
      </w:r>
      <w:r w:rsidR="004948CF" w:rsidRPr="00C51DCC">
        <w:t>chiaki-oyamada@zacros.co.jp (C.O.); kazuya-hosokawa@zacros.co.jp (K.H.)</w:t>
      </w:r>
    </w:p>
    <w:p w14:paraId="7BBC9751" w14:textId="0329874D" w:rsidR="004948CF" w:rsidRPr="00C51DCC" w:rsidRDefault="004948CF" w:rsidP="00F561F2">
      <w:pPr>
        <w:pStyle w:val="MDPI16affiliation"/>
      </w:pPr>
      <w:r w:rsidRPr="00C51DCC">
        <w:rPr>
          <w:vertAlign w:val="superscript"/>
        </w:rPr>
        <w:t>3</w:t>
      </w:r>
      <w:r w:rsidRPr="00C51DCC">
        <w:tab/>
      </w:r>
      <w:r w:rsidR="00406DA5" w:rsidRPr="00C51DCC">
        <w:t xml:space="preserve">C&amp;I </w:t>
      </w:r>
      <w:r w:rsidRPr="00C51DCC">
        <w:t xml:space="preserve">Co., Ltd., 2004-1 </w:t>
      </w:r>
      <w:proofErr w:type="spellStart"/>
      <w:r w:rsidRPr="00C51DCC">
        <w:t>Tamatori</w:t>
      </w:r>
      <w:proofErr w:type="spellEnd"/>
      <w:r w:rsidRPr="00C51DCC">
        <w:t>, Tsukuba, Ibaraki 300-3255, Japan; ukoji.candi@gmail.com</w:t>
      </w:r>
    </w:p>
    <w:p w14:paraId="0D05F21E" w14:textId="4306566A" w:rsidR="0028224B" w:rsidRPr="00C51DCC" w:rsidRDefault="00F561F2" w:rsidP="00F561F2">
      <w:pPr>
        <w:pStyle w:val="MDPI16affiliation"/>
      </w:pPr>
      <w:r w:rsidRPr="00C51DCC">
        <w:rPr>
          <w:b/>
        </w:rPr>
        <w:t>*</w:t>
      </w:r>
      <w:r w:rsidRPr="00C51DCC">
        <w:tab/>
        <w:t>Correspondence</w:t>
      </w:r>
      <w:r w:rsidR="006930CC" w:rsidRPr="00C51DCC">
        <w:t>:</w:t>
      </w:r>
      <w:r w:rsidR="0028224B" w:rsidRPr="00C51DCC">
        <w:t xml:space="preserve"> </w:t>
      </w:r>
      <w:r w:rsidR="004948CF" w:rsidRPr="00C51DCC">
        <w:t>h.ashiba@aist.go.jp</w:t>
      </w:r>
      <w:r w:rsidR="0028224B" w:rsidRPr="00C51DCC">
        <w:t xml:space="preserve">; </w:t>
      </w:r>
      <w:r w:rsidR="00375A07" w:rsidRPr="00C51DCC">
        <w:t>Tel.: +</w:t>
      </w:r>
      <w:r w:rsidR="004948CF" w:rsidRPr="00C51DCC">
        <w:t>81</w:t>
      </w:r>
      <w:r w:rsidR="00375A07" w:rsidRPr="00C51DCC">
        <w:t>-</w:t>
      </w:r>
      <w:r w:rsidR="004948CF" w:rsidRPr="00C51DCC">
        <w:t>29</w:t>
      </w:r>
      <w:r w:rsidR="00375A07" w:rsidRPr="00C51DCC">
        <w:t>-</w:t>
      </w:r>
      <w:r w:rsidR="004948CF" w:rsidRPr="00C51DCC">
        <w:t>861</w:t>
      </w:r>
      <w:r w:rsidR="00375A07" w:rsidRPr="00C51DCC">
        <w:t>-</w:t>
      </w:r>
      <w:r w:rsidR="004948CF" w:rsidRPr="00C51DCC">
        <w:t>4739</w:t>
      </w:r>
    </w:p>
    <w:p w14:paraId="38262DC2" w14:textId="24704A7A" w:rsidR="0028224B" w:rsidRDefault="000F10DB" w:rsidP="000F10DB">
      <w:pPr>
        <w:pStyle w:val="MDPI52figure"/>
      </w:pPr>
      <w:r w:rsidRPr="00EF08F5">
        <w:rPr>
          <w:noProof/>
          <w:lang w:eastAsia="zh-CN"/>
        </w:rPr>
        <w:drawing>
          <wp:inline distT="0" distB="0" distL="0" distR="0" wp14:anchorId="02E5F5DA" wp14:editId="0AE110CC">
            <wp:extent cx="4552950" cy="4163779"/>
            <wp:effectExtent l="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0497" cy="4179826"/>
                    </a:xfrm>
                    <a:prstGeom prst="rect">
                      <a:avLst/>
                    </a:prstGeom>
                    <a:noFill/>
                    <a:ln>
                      <a:noFill/>
                    </a:ln>
                  </pic:spPr>
                </pic:pic>
              </a:graphicData>
            </a:graphic>
          </wp:inline>
        </w:drawing>
      </w:r>
    </w:p>
    <w:p w14:paraId="6E5EFC56" w14:textId="261B991B" w:rsidR="000F10DB" w:rsidRDefault="000F10DB" w:rsidP="000F10DB">
      <w:pPr>
        <w:pStyle w:val="MDPI51figurecaption"/>
      </w:pPr>
      <w:r w:rsidRPr="000F10DB">
        <w:rPr>
          <w:rFonts w:ascii="PalatinoLinotype-Bold" w:hAnsi="PalatinoLinotype-Bold" w:cs="PalatinoLinotype-Bold"/>
          <w:b/>
          <w:bCs/>
        </w:rPr>
        <w:t xml:space="preserve">Figure </w:t>
      </w:r>
      <w:r>
        <w:rPr>
          <w:rFonts w:ascii="PalatinoLinotype-Bold" w:hAnsi="PalatinoLinotype-Bold" w:cs="PalatinoLinotype-Bold"/>
          <w:b/>
          <w:bCs/>
        </w:rPr>
        <w:t>S</w:t>
      </w:r>
      <w:r w:rsidRPr="000F10DB">
        <w:rPr>
          <w:rFonts w:ascii="PalatinoLinotype-Bold" w:hAnsi="PalatinoLinotype-Bold" w:cs="PalatinoLinotype-Bold"/>
          <w:b/>
          <w:bCs/>
        </w:rPr>
        <w:t>1.</w:t>
      </w:r>
      <w:r w:rsidRPr="000F10DB">
        <w:rPr>
          <w:rFonts w:ascii="PalatinoLinotype-Bold" w:hAnsi="PalatinoLinotype-Bold" w:cs="PalatinoLinotype-Bold"/>
          <w:b/>
          <w:bCs/>
        </w:rPr>
        <w:t xml:space="preserve"> </w:t>
      </w:r>
      <w:r>
        <w:t xml:space="preserve">Evaluation results of relationship between diameters of </w:t>
      </w:r>
      <w:proofErr w:type="spellStart"/>
      <w:r>
        <w:t>AuNPs</w:t>
      </w:r>
      <w:proofErr w:type="spellEnd"/>
      <w:r>
        <w:t xml:space="preserve"> and intensities of background signals. Diameters and concentrations of tested </w:t>
      </w:r>
      <w:proofErr w:type="spellStart"/>
      <w:r>
        <w:t>AuNPs</w:t>
      </w:r>
      <w:proofErr w:type="spellEnd"/>
      <w:r>
        <w:t xml:space="preserve"> were 100 nm and 6 </w:t>
      </w:r>
      <w:proofErr w:type="spellStart"/>
      <w:r>
        <w:t>pM</w:t>
      </w:r>
      <w:proofErr w:type="spellEnd"/>
      <w:r>
        <w:t xml:space="preserve"> (OD 1.0) (</w:t>
      </w:r>
      <w:r w:rsidRPr="000C7EC7">
        <w:rPr>
          <w:b/>
        </w:rPr>
        <w:t>a</w:t>
      </w:r>
      <w:r>
        <w:t xml:space="preserve">), 60 nm and 33 </w:t>
      </w:r>
      <w:proofErr w:type="spellStart"/>
      <w:r>
        <w:t>pM</w:t>
      </w:r>
      <w:proofErr w:type="spellEnd"/>
      <w:r>
        <w:t xml:space="preserve"> (OD 1.0) (</w:t>
      </w:r>
      <w:r w:rsidRPr="000C7EC7">
        <w:rPr>
          <w:b/>
        </w:rPr>
        <w:t>b</w:t>
      </w:r>
      <w:r>
        <w:t xml:space="preserve">), and 20 nm and 200 </w:t>
      </w:r>
      <w:proofErr w:type="spellStart"/>
      <w:r>
        <w:t>pM</w:t>
      </w:r>
      <w:proofErr w:type="spellEnd"/>
      <w:r>
        <w:t xml:space="preserve"> (OD 0.2) (</w:t>
      </w:r>
      <w:r w:rsidRPr="000C7EC7">
        <w:rPr>
          <w:b/>
        </w:rPr>
        <w:t>c</w:t>
      </w:r>
      <w:r>
        <w:t xml:space="preserve">), respectively. A single-channel waveguide-mode sensor was used for this test. Sensing plates were coated with a blocking agent, </w:t>
      </w:r>
      <w:proofErr w:type="spellStart"/>
      <w:r>
        <w:t>methoxytriethyleneglycol</w:t>
      </w:r>
      <w:proofErr w:type="spellEnd"/>
      <w:r>
        <w:t xml:space="preserve"> </w:t>
      </w:r>
      <w:proofErr w:type="spellStart"/>
      <w:r>
        <w:t>triethoxysilane</w:t>
      </w:r>
      <w:proofErr w:type="spellEnd"/>
      <w:r>
        <w:t xml:space="preserve"> (M3EG) [S1], to avoid adsorption of </w:t>
      </w:r>
      <w:proofErr w:type="spellStart"/>
      <w:r>
        <w:t>AuNPs</w:t>
      </w:r>
      <w:proofErr w:type="spellEnd"/>
      <w:r>
        <w:t xml:space="preserve">. Dispersions of </w:t>
      </w:r>
      <w:proofErr w:type="spellStart"/>
      <w:r>
        <w:t>AuNPs</w:t>
      </w:r>
      <w:proofErr w:type="spellEnd"/>
      <w:r>
        <w:t xml:space="preserve"> without antibody immobilization were placed on sensing plates. Changes in reflectance at resonance wavelength (ΔR) were observed with a data-acquisition interval of 2 s. </w:t>
      </w:r>
      <w:proofErr w:type="spellStart"/>
      <w:r>
        <w:t>AuNPs</w:t>
      </w:r>
      <w:proofErr w:type="spellEnd"/>
      <w:r>
        <w:t xml:space="preserve"> with a diameter of 100 nm exhibited a large background signal that was attributed to gravitational sedimentation. </w:t>
      </w:r>
      <w:proofErr w:type="spellStart"/>
      <w:r>
        <w:t>AuNPs</w:t>
      </w:r>
      <w:proofErr w:type="spellEnd"/>
      <w:r>
        <w:t xml:space="preserve"> with a diameter of 60 nm also exhibited a slight background signal. </w:t>
      </w:r>
      <w:proofErr w:type="spellStart"/>
      <w:r>
        <w:t>AuNPs</w:t>
      </w:r>
      <w:proofErr w:type="spellEnd"/>
      <w:r>
        <w:t xml:space="preserve"> with a diameter of 20 nm exhibited negligible background signal; thus, diameter of 20 nm was chosen in this study.</w:t>
      </w:r>
    </w:p>
    <w:p w14:paraId="0CDBFBFE" w14:textId="228DE63F" w:rsidR="000F10DB" w:rsidRDefault="000F10DB" w:rsidP="000F10DB">
      <w:pPr>
        <w:pStyle w:val="MDPI52figure"/>
      </w:pPr>
      <w:r w:rsidRPr="00EF08F5">
        <w:rPr>
          <w:noProof/>
          <w:lang w:eastAsia="zh-CN"/>
        </w:rPr>
        <w:lastRenderedPageBreak/>
        <w:drawing>
          <wp:inline distT="0" distB="0" distL="0" distR="0" wp14:anchorId="38C6B97B" wp14:editId="3AC67F2C">
            <wp:extent cx="5264475" cy="24384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6614" cy="2444022"/>
                    </a:xfrm>
                    <a:prstGeom prst="rect">
                      <a:avLst/>
                    </a:prstGeom>
                    <a:noFill/>
                    <a:ln>
                      <a:noFill/>
                    </a:ln>
                  </pic:spPr>
                </pic:pic>
              </a:graphicData>
            </a:graphic>
          </wp:inline>
        </w:drawing>
      </w:r>
    </w:p>
    <w:p w14:paraId="1FEE8714" w14:textId="0BCD79E7" w:rsidR="000F10DB" w:rsidRDefault="000F10DB" w:rsidP="000F10DB">
      <w:pPr>
        <w:pStyle w:val="MDPI51figurecaption"/>
      </w:pPr>
      <w:r w:rsidRPr="000F10DB">
        <w:rPr>
          <w:rFonts w:ascii="PalatinoLinotype-Bold" w:hAnsi="PalatinoLinotype-Bold" w:cs="PalatinoLinotype-Bold"/>
          <w:b/>
          <w:bCs/>
        </w:rPr>
        <w:t xml:space="preserve">Figure </w:t>
      </w:r>
      <w:r>
        <w:rPr>
          <w:rFonts w:ascii="PalatinoLinotype-Bold" w:hAnsi="PalatinoLinotype-Bold" w:cs="PalatinoLinotype-Bold"/>
          <w:b/>
          <w:bCs/>
        </w:rPr>
        <w:t>S</w:t>
      </w:r>
      <w:r w:rsidRPr="000F10DB">
        <w:rPr>
          <w:rFonts w:ascii="PalatinoLinotype-Bold" w:hAnsi="PalatinoLinotype-Bold" w:cs="PalatinoLinotype-Bold"/>
          <w:b/>
          <w:bCs/>
        </w:rPr>
        <w:t>2.</w:t>
      </w:r>
      <w:r w:rsidRPr="000F10DB">
        <w:rPr>
          <w:rFonts w:ascii="PalatinoLinotype-Bold" w:hAnsi="PalatinoLinotype-Bold" w:cs="PalatinoLinotype-Bold"/>
          <w:b/>
          <w:bCs/>
        </w:rPr>
        <w:t xml:space="preserve"> </w:t>
      </w:r>
      <w:r>
        <w:t>Simulation results of attachment of an Au layer on SPR sensors using Ag (</w:t>
      </w:r>
      <w:r w:rsidRPr="000C7EC7">
        <w:rPr>
          <w:b/>
        </w:rPr>
        <w:t>a</w:t>
      </w:r>
      <w:r>
        <w:t>) and Al (</w:t>
      </w:r>
      <w:r w:rsidRPr="000C7EC7">
        <w:rPr>
          <w:b/>
        </w:rPr>
        <w:t>b</w:t>
      </w:r>
      <w:r>
        <w:t>) thin films. Black broken and red solid lines represent before and after attachment of Au layer, respectively. The calculation method is the same as that of the simulation shown in the main text. The calculation model of Ag–SPR sensor was, from bottom to top, a silica substrate, Ag layer with a thickness of 57 nm, and water; p-polarized light was irradiated at incident angle of 74.1°, which resulted in SPR excitation at wavelength of 633 nm. Calculation model of Al–SPR sensor was, from bottom to top, a silica substrate, Al layer with a thickness of 19 nm, and water; p-polarized light was irradiated at an incident angle of 73.0°, which resulted in SPR excitation at wavelength of 405 nm. Values of refractive indices of Ag and Al were taken from [S2</w:t>
      </w:r>
      <w:proofErr w:type="gramStart"/>
      <w:r>
        <w:t>,S3</w:t>
      </w:r>
      <w:proofErr w:type="gramEnd"/>
      <w:r>
        <w:t>], respectively. Changes in spectra of Ag– and Al–SPR sensors by attachment of an Au layer were minute compared with that of the waveguide-mode sensor (Figure 5</w:t>
      </w:r>
      <w:r w:rsidRPr="00755074">
        <w:t>a</w:t>
      </w:r>
      <w:r>
        <w:t xml:space="preserve"> in main text), in the same way to the Au–SPR sensor (Figure 5b in main text).</w:t>
      </w:r>
    </w:p>
    <w:p w14:paraId="43578AB8" w14:textId="77777777" w:rsidR="000F10DB" w:rsidRDefault="000F10DB" w:rsidP="000F10DB">
      <w:pPr>
        <w:autoSpaceDE w:val="0"/>
        <w:autoSpaceDN w:val="0"/>
        <w:adjustRightInd w:val="0"/>
        <w:spacing w:line="240" w:lineRule="auto"/>
        <w:jc w:val="left"/>
        <w:rPr>
          <w:rFonts w:ascii="PalatinoLinotype-Bold" w:hAnsi="PalatinoLinotype-Bold" w:cs="PalatinoLinotype-Bold"/>
          <w:b/>
          <w:bCs/>
        </w:rPr>
      </w:pPr>
      <w:r>
        <w:rPr>
          <w:rFonts w:ascii="PalatinoLinotype-Bold" w:hAnsi="PalatinoLinotype-Bold" w:cs="PalatinoLinotype-Bold"/>
          <w:b/>
          <w:bCs/>
        </w:rPr>
        <w:t>References</w:t>
      </w:r>
    </w:p>
    <w:p w14:paraId="107184A5" w14:textId="77777777" w:rsidR="000F10DB" w:rsidRDefault="000F10DB" w:rsidP="000F10DB">
      <w:pPr>
        <w:autoSpaceDE w:val="0"/>
        <w:autoSpaceDN w:val="0"/>
        <w:adjustRightInd w:val="0"/>
        <w:spacing w:line="240" w:lineRule="auto"/>
        <w:jc w:val="left"/>
        <w:rPr>
          <w:rFonts w:ascii="PalatinoLinotype-Roman" w:hAnsi="PalatinoLinotype-Roman" w:cs="PalatinoLinotype-Roman"/>
          <w:sz w:val="18"/>
          <w:szCs w:val="18"/>
        </w:rPr>
      </w:pPr>
      <w:r>
        <w:rPr>
          <w:rFonts w:ascii="PalatinoLinotype-Roman" w:hAnsi="PalatinoLinotype-Roman" w:cs="PalatinoLinotype-Roman"/>
          <w:sz w:val="18"/>
          <w:szCs w:val="18"/>
        </w:rPr>
        <w:t xml:space="preserve">S1. Tanaka, M.; Yoshioka, K.; Hirata, Y.; </w:t>
      </w:r>
      <w:proofErr w:type="spellStart"/>
      <w:r>
        <w:rPr>
          <w:rFonts w:ascii="PalatinoLinotype-Roman" w:hAnsi="PalatinoLinotype-Roman" w:cs="PalatinoLinotype-Roman"/>
          <w:sz w:val="18"/>
          <w:szCs w:val="18"/>
        </w:rPr>
        <w:t>Fujimaki</w:t>
      </w:r>
      <w:proofErr w:type="spellEnd"/>
      <w:r>
        <w:rPr>
          <w:rFonts w:ascii="PalatinoLinotype-Roman" w:hAnsi="PalatinoLinotype-Roman" w:cs="PalatinoLinotype-Roman"/>
          <w:sz w:val="18"/>
          <w:szCs w:val="18"/>
        </w:rPr>
        <w:t xml:space="preserve">, M.; </w:t>
      </w:r>
      <w:proofErr w:type="spellStart"/>
      <w:r>
        <w:rPr>
          <w:rFonts w:ascii="PalatinoLinotype-Roman" w:hAnsi="PalatinoLinotype-Roman" w:cs="PalatinoLinotype-Roman"/>
          <w:sz w:val="18"/>
          <w:szCs w:val="18"/>
        </w:rPr>
        <w:t>Kuwahara</w:t>
      </w:r>
      <w:proofErr w:type="spellEnd"/>
      <w:r>
        <w:rPr>
          <w:rFonts w:ascii="PalatinoLinotype-Roman" w:hAnsi="PalatinoLinotype-Roman" w:cs="PalatinoLinotype-Roman"/>
          <w:sz w:val="18"/>
          <w:szCs w:val="18"/>
        </w:rPr>
        <w:t xml:space="preserve">, M.; </w:t>
      </w:r>
      <w:proofErr w:type="spellStart"/>
      <w:r>
        <w:rPr>
          <w:rFonts w:ascii="PalatinoLinotype-Roman" w:hAnsi="PalatinoLinotype-Roman" w:cs="PalatinoLinotype-Roman"/>
          <w:sz w:val="18"/>
          <w:szCs w:val="18"/>
        </w:rPr>
        <w:t>Niwa</w:t>
      </w:r>
      <w:proofErr w:type="spellEnd"/>
      <w:r>
        <w:rPr>
          <w:rFonts w:ascii="PalatinoLinotype-Roman" w:hAnsi="PalatinoLinotype-Roman" w:cs="PalatinoLinotype-Roman"/>
          <w:sz w:val="18"/>
          <w:szCs w:val="18"/>
        </w:rPr>
        <w:t>, O. Design and Fabrication of</w:t>
      </w:r>
    </w:p>
    <w:p w14:paraId="6DFA7293" w14:textId="77777777" w:rsidR="000F10DB" w:rsidRPr="00300634" w:rsidRDefault="000F10DB" w:rsidP="000F10DB">
      <w:pPr>
        <w:autoSpaceDE w:val="0"/>
        <w:autoSpaceDN w:val="0"/>
        <w:adjustRightInd w:val="0"/>
        <w:spacing w:line="240" w:lineRule="auto"/>
        <w:jc w:val="left"/>
        <w:rPr>
          <w:rFonts w:ascii="PalatinoLinotype-Roman" w:hAnsi="PalatinoLinotype-Roman" w:cs="PalatinoLinotype-Roman"/>
          <w:sz w:val="18"/>
          <w:szCs w:val="18"/>
          <w:lang w:val="de-DE"/>
        </w:rPr>
      </w:pPr>
      <w:proofErr w:type="spellStart"/>
      <w:r>
        <w:rPr>
          <w:rFonts w:ascii="PalatinoLinotype-Roman" w:hAnsi="PalatinoLinotype-Roman" w:cs="PalatinoLinotype-Roman"/>
          <w:sz w:val="18"/>
          <w:szCs w:val="18"/>
        </w:rPr>
        <w:t>Biosensing</w:t>
      </w:r>
      <w:proofErr w:type="spellEnd"/>
      <w:r>
        <w:rPr>
          <w:rFonts w:ascii="PalatinoLinotype-Roman" w:hAnsi="PalatinoLinotype-Roman" w:cs="PalatinoLinotype-Roman"/>
          <w:sz w:val="18"/>
          <w:szCs w:val="18"/>
        </w:rPr>
        <w:t xml:space="preserve"> Interface for Waveguide-Mode Sensor. </w:t>
      </w:r>
      <w:r w:rsidRPr="00300634">
        <w:rPr>
          <w:rFonts w:ascii="PalatinoLinotype-Italic" w:hAnsi="PalatinoLinotype-Italic" w:cs="PalatinoLinotype-Italic"/>
          <w:i/>
          <w:iCs/>
          <w:sz w:val="18"/>
          <w:szCs w:val="18"/>
          <w:lang w:val="de-DE"/>
        </w:rPr>
        <w:t xml:space="preserve">Langmuir </w:t>
      </w:r>
      <w:r w:rsidRPr="00300634">
        <w:rPr>
          <w:rFonts w:ascii="PalatinoLinotype-Bold" w:hAnsi="PalatinoLinotype-Bold" w:cs="PalatinoLinotype-Bold"/>
          <w:b/>
          <w:bCs/>
          <w:sz w:val="18"/>
          <w:szCs w:val="18"/>
          <w:lang w:val="de-DE"/>
        </w:rPr>
        <w:t>2013</w:t>
      </w:r>
      <w:r w:rsidRPr="00300634">
        <w:rPr>
          <w:rFonts w:ascii="PalatinoLinotype-Roman" w:hAnsi="PalatinoLinotype-Roman" w:cs="PalatinoLinotype-Roman"/>
          <w:sz w:val="18"/>
          <w:szCs w:val="18"/>
          <w:lang w:val="de-DE"/>
        </w:rPr>
        <w:t>, 29, 13111–13120.</w:t>
      </w:r>
    </w:p>
    <w:p w14:paraId="3C0A59EE" w14:textId="77777777" w:rsidR="000F10DB" w:rsidRPr="00300634" w:rsidRDefault="000F10DB" w:rsidP="000F10DB">
      <w:pPr>
        <w:autoSpaceDE w:val="0"/>
        <w:autoSpaceDN w:val="0"/>
        <w:adjustRightInd w:val="0"/>
        <w:spacing w:line="240" w:lineRule="auto"/>
        <w:jc w:val="left"/>
        <w:rPr>
          <w:rFonts w:ascii="PalatinoLinotype-Roman" w:hAnsi="PalatinoLinotype-Roman" w:cs="PalatinoLinotype-Roman"/>
          <w:sz w:val="18"/>
          <w:szCs w:val="18"/>
          <w:lang w:val="de-DE"/>
        </w:rPr>
      </w:pPr>
      <w:r w:rsidRPr="00300634">
        <w:rPr>
          <w:rFonts w:ascii="PalatinoLinotype-Roman" w:hAnsi="PalatinoLinotype-Roman" w:cs="PalatinoLinotype-Roman"/>
          <w:sz w:val="18"/>
          <w:szCs w:val="18"/>
          <w:lang w:val="de-DE"/>
        </w:rPr>
        <w:t>https://doi.org/10.1021/la402802u.</w:t>
      </w:r>
    </w:p>
    <w:p w14:paraId="7428C1EB" w14:textId="77777777" w:rsidR="000F10DB" w:rsidRDefault="000F10DB" w:rsidP="000F10DB">
      <w:pPr>
        <w:autoSpaceDE w:val="0"/>
        <w:autoSpaceDN w:val="0"/>
        <w:adjustRightInd w:val="0"/>
        <w:spacing w:line="240" w:lineRule="auto"/>
        <w:jc w:val="left"/>
        <w:rPr>
          <w:rFonts w:ascii="PalatinoLinotype-Roman" w:hAnsi="PalatinoLinotype-Roman" w:cs="PalatinoLinotype-Roman"/>
          <w:sz w:val="18"/>
          <w:szCs w:val="18"/>
        </w:rPr>
      </w:pPr>
      <w:r>
        <w:rPr>
          <w:rFonts w:ascii="PalatinoLinotype-Roman" w:hAnsi="PalatinoLinotype-Roman" w:cs="PalatinoLinotype-Roman"/>
          <w:sz w:val="18"/>
          <w:szCs w:val="18"/>
        </w:rPr>
        <w:t>S2. Babar, S.; Weaver, J.H. Optical constants of Cu, Ag, and Au revisited. Appl. Opt. 2015, 54, 477–481.</w:t>
      </w:r>
    </w:p>
    <w:p w14:paraId="5AA458FE" w14:textId="77777777" w:rsidR="000F10DB" w:rsidRDefault="000F10DB" w:rsidP="000F10DB">
      <w:pPr>
        <w:autoSpaceDE w:val="0"/>
        <w:autoSpaceDN w:val="0"/>
        <w:adjustRightInd w:val="0"/>
        <w:spacing w:line="240" w:lineRule="auto"/>
        <w:jc w:val="left"/>
        <w:rPr>
          <w:rFonts w:ascii="PalatinoLinotype-Roman" w:hAnsi="PalatinoLinotype-Roman" w:cs="PalatinoLinotype-Roman"/>
          <w:sz w:val="18"/>
          <w:szCs w:val="18"/>
        </w:rPr>
      </w:pPr>
      <w:r>
        <w:rPr>
          <w:rFonts w:ascii="PalatinoLinotype-Roman" w:hAnsi="PalatinoLinotype-Roman" w:cs="PalatinoLinotype-Roman"/>
          <w:sz w:val="18"/>
          <w:szCs w:val="18"/>
        </w:rPr>
        <w:t>https://doi.org/10.1364/AO.54.000477.</w:t>
      </w:r>
    </w:p>
    <w:p w14:paraId="6DF6F597" w14:textId="77777777" w:rsidR="000F10DB" w:rsidRDefault="000F10DB" w:rsidP="000F10DB">
      <w:pPr>
        <w:autoSpaceDE w:val="0"/>
        <w:autoSpaceDN w:val="0"/>
        <w:adjustRightInd w:val="0"/>
        <w:spacing w:line="240" w:lineRule="auto"/>
        <w:jc w:val="left"/>
        <w:rPr>
          <w:rFonts w:ascii="PalatinoLinotype-Roman" w:hAnsi="PalatinoLinotype-Roman" w:cs="PalatinoLinotype-Roman"/>
          <w:sz w:val="18"/>
          <w:szCs w:val="18"/>
        </w:rPr>
      </w:pPr>
      <w:r>
        <w:rPr>
          <w:rFonts w:ascii="PalatinoLinotype-Roman" w:hAnsi="PalatinoLinotype-Roman" w:cs="PalatinoLinotype-Roman"/>
          <w:sz w:val="18"/>
          <w:szCs w:val="18"/>
        </w:rPr>
        <w:t xml:space="preserve">S3. </w:t>
      </w:r>
      <w:proofErr w:type="spellStart"/>
      <w:r>
        <w:rPr>
          <w:rFonts w:ascii="PalatinoLinotype-Roman" w:hAnsi="PalatinoLinotype-Roman" w:cs="PalatinoLinotype-Roman"/>
          <w:sz w:val="18"/>
          <w:szCs w:val="18"/>
        </w:rPr>
        <w:t>Rakić</w:t>
      </w:r>
      <w:proofErr w:type="spellEnd"/>
      <w:r>
        <w:rPr>
          <w:rFonts w:ascii="PalatinoLinotype-Roman" w:hAnsi="PalatinoLinotype-Roman" w:cs="PalatinoLinotype-Roman"/>
          <w:sz w:val="18"/>
          <w:szCs w:val="18"/>
        </w:rPr>
        <w:t>, A.D. Algorithm for the determination of intrinsic optical constants of metal films: application to</w:t>
      </w:r>
    </w:p>
    <w:p w14:paraId="3638A295" w14:textId="77777777" w:rsidR="000F10DB" w:rsidRDefault="000F10DB" w:rsidP="000F10DB">
      <w:pPr>
        <w:autoSpaceDE w:val="0"/>
        <w:autoSpaceDN w:val="0"/>
        <w:adjustRightInd w:val="0"/>
        <w:spacing w:line="240" w:lineRule="auto"/>
        <w:jc w:val="left"/>
        <w:rPr>
          <w:rFonts w:ascii="PalatinoLinotype-Roman" w:hAnsi="PalatinoLinotype-Roman" w:cs="PalatinoLinotype-Roman"/>
          <w:sz w:val="18"/>
          <w:szCs w:val="18"/>
        </w:rPr>
      </w:pPr>
      <w:proofErr w:type="gramStart"/>
      <w:r>
        <w:rPr>
          <w:rFonts w:ascii="PalatinoLinotype-Roman" w:hAnsi="PalatinoLinotype-Roman" w:cs="PalatinoLinotype-Roman"/>
          <w:sz w:val="18"/>
          <w:szCs w:val="18"/>
        </w:rPr>
        <w:t>aluminum</w:t>
      </w:r>
      <w:proofErr w:type="gramEnd"/>
      <w:r>
        <w:rPr>
          <w:rFonts w:ascii="PalatinoLinotype-Roman" w:hAnsi="PalatinoLinotype-Roman" w:cs="PalatinoLinotype-Roman"/>
          <w:sz w:val="18"/>
          <w:szCs w:val="18"/>
        </w:rPr>
        <w:t xml:space="preserve">. </w:t>
      </w:r>
      <w:r>
        <w:rPr>
          <w:rFonts w:ascii="PalatinoLinotype-Italic" w:hAnsi="PalatinoLinotype-Italic" w:cs="PalatinoLinotype-Italic"/>
          <w:i/>
          <w:iCs/>
          <w:sz w:val="18"/>
          <w:szCs w:val="18"/>
        </w:rPr>
        <w:t xml:space="preserve">Appl. Opt. </w:t>
      </w:r>
      <w:r>
        <w:rPr>
          <w:rFonts w:ascii="PalatinoLinotype-Bold" w:hAnsi="PalatinoLinotype-Bold" w:cs="PalatinoLinotype-Bold"/>
          <w:b/>
          <w:bCs/>
          <w:sz w:val="18"/>
          <w:szCs w:val="18"/>
        </w:rPr>
        <w:t>1995</w:t>
      </w:r>
      <w:r>
        <w:rPr>
          <w:rFonts w:ascii="PalatinoLinotype-Roman" w:hAnsi="PalatinoLinotype-Roman" w:cs="PalatinoLinotype-Roman"/>
          <w:sz w:val="18"/>
          <w:szCs w:val="18"/>
        </w:rPr>
        <w:t>, 34, 4755–4767. https://doi.org/10.1364/AO.34.004755.</w:t>
      </w:r>
    </w:p>
    <w:p w14:paraId="141F43C2" w14:textId="77777777" w:rsidR="000F10DB" w:rsidRPr="000F10DB" w:rsidRDefault="000F10DB" w:rsidP="000F10DB">
      <w:pPr>
        <w:rPr>
          <w:lang w:bidi="en-US"/>
        </w:rPr>
      </w:pPr>
      <w:bookmarkStart w:id="0" w:name="_GoBack"/>
      <w:bookmarkEnd w:id="0"/>
    </w:p>
    <w:sectPr w:rsidR="000F10DB" w:rsidRPr="000F10DB" w:rsidSect="006930CC">
      <w:headerReference w:type="even" r:id="rId9"/>
      <w:headerReference w:type="default" r:id="rId10"/>
      <w:footerReference w:type="default" r:id="rId11"/>
      <w:headerReference w:type="first" r:id="rId12"/>
      <w:footerReference w:type="first" r:id="rId13"/>
      <w:pgSz w:w="11906" w:h="16838" w:code="9"/>
      <w:pgMar w:top="1417" w:right="1531" w:bottom="1077" w:left="1531" w:header="1020" w:footer="850" w:gutter="0"/>
      <w:pgNumType w:start="1"/>
      <w:cols w:space="425"/>
      <w:titlePg/>
      <w:docGrid w:type="lines"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EF7D02" w16cid:durableId="228340C2"/>
  <w16cid:commentId w16cid:paraId="7826BDB3" w16cid:durableId="22839236"/>
  <w16cid:commentId w16cid:paraId="021D5308" w16cid:durableId="22834120"/>
  <w16cid:commentId w16cid:paraId="0C660261" w16cid:durableId="228340C3"/>
  <w16cid:commentId w16cid:paraId="6829F1BE" w16cid:durableId="2283613E"/>
  <w16cid:commentId w16cid:paraId="521D74A1" w16cid:durableId="228340C4"/>
  <w16cid:commentId w16cid:paraId="282C2D03" w16cid:durableId="22837861"/>
  <w16cid:commentId w16cid:paraId="2609A4B4" w16cid:durableId="228340C5"/>
  <w16cid:commentId w16cid:paraId="702C0C4E" w16cid:durableId="22837D99"/>
  <w16cid:commentId w16cid:paraId="2FD4DC2A" w16cid:durableId="228340C6"/>
  <w16cid:commentId w16cid:paraId="1BB906BC" w16cid:durableId="228381AD"/>
  <w16cid:commentId w16cid:paraId="610E7A01" w16cid:durableId="228340C7"/>
  <w16cid:commentId w16cid:paraId="7B8B37D8" w16cid:durableId="22835100"/>
  <w16cid:commentId w16cid:paraId="781FC8A7" w16cid:durableId="228340C8"/>
  <w16cid:commentId w16cid:paraId="5DC31B67" w16cid:durableId="2283827C"/>
  <w16cid:commentId w16cid:paraId="4AB679F7" w16cid:durableId="228340C9"/>
  <w16cid:commentId w16cid:paraId="6162E018" w16cid:durableId="22838331"/>
  <w16cid:commentId w16cid:paraId="1801505F" w16cid:durableId="228340CA"/>
  <w16cid:commentId w16cid:paraId="1FFD17BB" w16cid:durableId="228383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B7113" w14:textId="77777777" w:rsidR="00D139CE" w:rsidRDefault="00D139CE">
      <w:pPr>
        <w:spacing w:line="240" w:lineRule="auto"/>
      </w:pPr>
      <w:r>
        <w:separator/>
      </w:r>
    </w:p>
  </w:endnote>
  <w:endnote w:type="continuationSeparator" w:id="0">
    <w:p w14:paraId="3D08874D" w14:textId="77777777" w:rsidR="00D139CE" w:rsidRDefault="00D139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PalatinoLinotype-Bold">
    <w:altName w:val="Times New Roman"/>
    <w:panose1 w:val="00000000000000000000"/>
    <w:charset w:val="00"/>
    <w:family w:val="roman"/>
    <w:notTrueType/>
    <w:pitch w:val="default"/>
    <w:sig w:usb0="00000003" w:usb1="00000000" w:usb2="00000000" w:usb3="00000000" w:csb0="00000001" w:csb1="00000000"/>
  </w:font>
  <w:font w:name="PalatinoLinotype-Roman">
    <w:altName w:val="Times New Roman"/>
    <w:panose1 w:val="00000000000000000000"/>
    <w:charset w:val="00"/>
    <w:family w:val="roman"/>
    <w:notTrueType/>
    <w:pitch w:val="default"/>
    <w:sig w:usb0="00000007" w:usb1="00000000" w:usb2="00000000" w:usb3="00000000" w:csb0="00000003" w:csb1="00000000"/>
  </w:font>
  <w:font w:name="PalatinoLinotype-Italic">
    <w:altName w:val="Times New Roman"/>
    <w:panose1 w:val="00000000000000000000"/>
    <w:charset w:val="00"/>
    <w:family w:val="roman"/>
    <w:notTrueType/>
    <w:pitch w:val="default"/>
    <w:sig w:usb0="00000003" w:usb1="00000000" w:usb2="00000000" w:usb3="00000000" w:csb0="00000001" w:csb1="00000000"/>
  </w:font>
  <w:font w:name="游ゴシック Light">
    <w:panose1 w:val="00000000000000000000"/>
    <w:charset w:val="86"/>
    <w:family w:val="roman"/>
    <w:notTrueType/>
    <w:pitch w:val="default"/>
  </w:font>
  <w:font w:name="游明朝">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1D969" w14:textId="77777777" w:rsidR="000237B4" w:rsidRPr="00CC2C1C" w:rsidRDefault="000237B4" w:rsidP="00494C08">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0A8D71" w14:textId="77777777" w:rsidR="000237B4" w:rsidRPr="008B308E" w:rsidRDefault="000237B4" w:rsidP="00F077E1">
    <w:pPr>
      <w:pStyle w:val="MDPIfooterfirstpage"/>
      <w:spacing w:line="240" w:lineRule="auto"/>
      <w:jc w:val="both"/>
      <w:rPr>
        <w:lang w:val="fr-CH"/>
      </w:rPr>
    </w:pPr>
    <w:r w:rsidRPr="00544B3D">
      <w:rPr>
        <w:i/>
        <w:szCs w:val="16"/>
        <w:lang w:val="it-IT"/>
      </w:rPr>
      <w:t>Sensors</w:t>
    </w:r>
    <w:r w:rsidRPr="00544B3D">
      <w:rPr>
        <w:szCs w:val="16"/>
        <w:lang w:val="it-IT"/>
      </w:rPr>
      <w:t xml:space="preserve"> </w:t>
    </w:r>
    <w:r w:rsidRPr="00375A07">
      <w:rPr>
        <w:b/>
        <w:szCs w:val="16"/>
        <w:lang w:val="it-IT"/>
      </w:rPr>
      <w:t>20</w:t>
    </w:r>
    <w:r>
      <w:rPr>
        <w:b/>
        <w:szCs w:val="16"/>
        <w:lang w:val="it-IT"/>
      </w:rPr>
      <w:t>20</w:t>
    </w:r>
    <w:r w:rsidRPr="00375A07">
      <w:rPr>
        <w:szCs w:val="16"/>
        <w:lang w:val="it-IT"/>
      </w:rPr>
      <w:t xml:space="preserve">, </w:t>
    </w:r>
    <w:r>
      <w:rPr>
        <w:i/>
        <w:szCs w:val="16"/>
        <w:lang w:val="it-IT"/>
      </w:rPr>
      <w:t>20</w:t>
    </w:r>
    <w:r w:rsidRPr="00375A07">
      <w:rPr>
        <w:szCs w:val="16"/>
        <w:lang w:val="it-IT"/>
      </w:rPr>
      <w:t xml:space="preserve">, </w:t>
    </w:r>
    <w:r>
      <w:rPr>
        <w:szCs w:val="16"/>
        <w:lang w:val="it-IT"/>
      </w:rPr>
      <w:t>x; doi: FOR PEER REVIEW</w:t>
    </w:r>
    <w:r w:rsidRPr="008B308E">
      <w:rPr>
        <w:lang w:val="fr-CH"/>
      </w:rPr>
      <w:tab/>
      <w:t>www.mdpi.com/journal/</w:t>
    </w:r>
    <w:r w:rsidRPr="00544B3D">
      <w:rPr>
        <w:lang w:val="it-IT"/>
      </w:rPr>
      <w:t>sensors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043E3" w14:textId="77777777" w:rsidR="00D139CE" w:rsidRDefault="00D139CE">
      <w:pPr>
        <w:spacing w:line="240" w:lineRule="auto"/>
      </w:pPr>
      <w:r>
        <w:separator/>
      </w:r>
    </w:p>
  </w:footnote>
  <w:footnote w:type="continuationSeparator" w:id="0">
    <w:p w14:paraId="23561D3F" w14:textId="77777777" w:rsidR="00D139CE" w:rsidRDefault="00D139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A2F40" w14:textId="77777777" w:rsidR="000237B4" w:rsidRDefault="000237B4" w:rsidP="00494C08">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FAE41" w14:textId="77777777" w:rsidR="000237B4" w:rsidRPr="00DC1886" w:rsidRDefault="000237B4" w:rsidP="00F077E1">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Sensors </w:t>
    </w:r>
    <w:r w:rsidRPr="00375A07">
      <w:rPr>
        <w:rFonts w:ascii="Palatino Linotype" w:hAnsi="Palatino Linotype"/>
        <w:b/>
        <w:sz w:val="16"/>
      </w:rPr>
      <w:t>20</w:t>
    </w:r>
    <w:r>
      <w:rPr>
        <w:rFonts w:ascii="Palatino Linotype" w:hAnsi="Palatino Linotype"/>
        <w:b/>
        <w:sz w:val="16"/>
      </w:rPr>
      <w:t>20</w:t>
    </w:r>
    <w:r w:rsidRPr="00375A07">
      <w:rPr>
        <w:rFonts w:ascii="Palatino Linotype" w:hAnsi="Palatino Linotype"/>
        <w:sz w:val="16"/>
      </w:rPr>
      <w:t xml:space="preserve">, </w:t>
    </w:r>
    <w:r>
      <w:rPr>
        <w:rFonts w:ascii="Palatino Linotype" w:hAnsi="Palatino Linotype"/>
        <w:i/>
        <w:sz w:val="16"/>
      </w:rPr>
      <w:t>20</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C73735">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C73735">
      <w:rPr>
        <w:rFonts w:ascii="Palatino Linotype" w:hAnsi="Palatino Linotype"/>
        <w:noProof/>
        <w:sz w:val="16"/>
      </w:rPr>
      <w:t>2</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F2DD47" w14:textId="77777777" w:rsidR="000237B4" w:rsidRDefault="000237B4" w:rsidP="00494C08">
    <w:pPr>
      <w:pStyle w:val="MDPIheaderjournallogo"/>
    </w:pPr>
    <w:r w:rsidRPr="006F24D2">
      <w:rPr>
        <w:i w:val="0"/>
        <w:noProof/>
        <w:szCs w:val="16"/>
        <w:lang w:eastAsia="zh-CN"/>
      </w:rPr>
      <mc:AlternateContent>
        <mc:Choice Requires="wps">
          <w:drawing>
            <wp:anchor distT="45720" distB="45720" distL="114300" distR="114300" simplePos="0" relativeHeight="251657728" behindDoc="1" locked="0" layoutInCell="1" allowOverlap="1" wp14:anchorId="36731B84" wp14:editId="78F366C0">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0C65CFE0" w14:textId="77777777" w:rsidR="000237B4" w:rsidRDefault="000237B4" w:rsidP="00494C08">
                          <w:pPr>
                            <w:pStyle w:val="MDPIheaderjournallogo"/>
                            <w:jc w:val="center"/>
                            <w:textboxTightWrap w:val="allLines"/>
                            <w:rPr>
                              <w:i w:val="0"/>
                              <w:szCs w:val="16"/>
                            </w:rPr>
                          </w:pPr>
                          <w:r w:rsidRPr="0028224B">
                            <w:rPr>
                              <w:i w:val="0"/>
                              <w:noProof/>
                              <w:szCs w:val="16"/>
                              <w:lang w:eastAsia="zh-CN"/>
                            </w:rPr>
                            <w:drawing>
                              <wp:inline distT="0" distB="0" distL="0" distR="0" wp14:anchorId="72256FAA" wp14:editId="2139D2A8">
                                <wp:extent cx="541020" cy="35814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731B84"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0C65CFE0" w14:textId="77777777" w:rsidR="000237B4" w:rsidRDefault="000237B4" w:rsidP="00494C08">
                    <w:pPr>
                      <w:pStyle w:val="MDPIheaderjournallogo"/>
                      <w:jc w:val="center"/>
                      <w:textboxTightWrap w:val="allLines"/>
                      <w:rPr>
                        <w:i w:val="0"/>
                        <w:szCs w:val="16"/>
                      </w:rPr>
                    </w:pPr>
                    <w:r w:rsidRPr="0028224B">
                      <w:rPr>
                        <w:i w:val="0"/>
                        <w:noProof/>
                        <w:szCs w:val="16"/>
                        <w:lang w:eastAsia="zh-CN"/>
                      </w:rPr>
                      <w:drawing>
                        <wp:inline distT="0" distB="0" distL="0" distR="0" wp14:anchorId="72256FAA" wp14:editId="2139D2A8">
                          <wp:extent cx="541020" cy="35814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358140"/>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14:anchorId="2CB9BEC0" wp14:editId="6CD78DE9">
          <wp:extent cx="1478280" cy="434340"/>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78280" cy="4343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49"/>
    <w:rsid w:val="00012FD8"/>
    <w:rsid w:val="0001451E"/>
    <w:rsid w:val="00016CD3"/>
    <w:rsid w:val="00017749"/>
    <w:rsid w:val="000237B4"/>
    <w:rsid w:val="00026BE7"/>
    <w:rsid w:val="00035DBF"/>
    <w:rsid w:val="00047501"/>
    <w:rsid w:val="00063A8E"/>
    <w:rsid w:val="00064A99"/>
    <w:rsid w:val="00080004"/>
    <w:rsid w:val="00096DCE"/>
    <w:rsid w:val="000A6759"/>
    <w:rsid w:val="000A7153"/>
    <w:rsid w:val="000B237A"/>
    <w:rsid w:val="000D331F"/>
    <w:rsid w:val="000F10DB"/>
    <w:rsid w:val="000F2B94"/>
    <w:rsid w:val="00103867"/>
    <w:rsid w:val="00134186"/>
    <w:rsid w:val="00135066"/>
    <w:rsid w:val="00135228"/>
    <w:rsid w:val="00143B7A"/>
    <w:rsid w:val="001445B9"/>
    <w:rsid w:val="00144777"/>
    <w:rsid w:val="00146F28"/>
    <w:rsid w:val="00151F50"/>
    <w:rsid w:val="00152AB9"/>
    <w:rsid w:val="00163483"/>
    <w:rsid w:val="001665E3"/>
    <w:rsid w:val="00177EC6"/>
    <w:rsid w:val="00182073"/>
    <w:rsid w:val="00182857"/>
    <w:rsid w:val="00196B0F"/>
    <w:rsid w:val="001A0DE1"/>
    <w:rsid w:val="001A0FCE"/>
    <w:rsid w:val="001A3B7F"/>
    <w:rsid w:val="001B65E3"/>
    <w:rsid w:val="001C3C2D"/>
    <w:rsid w:val="001E02F0"/>
    <w:rsid w:val="001E2AEB"/>
    <w:rsid w:val="001E3FCA"/>
    <w:rsid w:val="001E6DE9"/>
    <w:rsid w:val="001F1082"/>
    <w:rsid w:val="001F5853"/>
    <w:rsid w:val="00200C89"/>
    <w:rsid w:val="00217BC0"/>
    <w:rsid w:val="00224155"/>
    <w:rsid w:val="0023694F"/>
    <w:rsid w:val="00242374"/>
    <w:rsid w:val="002465C5"/>
    <w:rsid w:val="00255A6D"/>
    <w:rsid w:val="002563B1"/>
    <w:rsid w:val="0027287F"/>
    <w:rsid w:val="0028224B"/>
    <w:rsid w:val="002917AE"/>
    <w:rsid w:val="00292778"/>
    <w:rsid w:val="002A1F1B"/>
    <w:rsid w:val="002A77E9"/>
    <w:rsid w:val="002B786A"/>
    <w:rsid w:val="002C113F"/>
    <w:rsid w:val="002F7C41"/>
    <w:rsid w:val="003051A9"/>
    <w:rsid w:val="00320D3C"/>
    <w:rsid w:val="00324191"/>
    <w:rsid w:val="00326141"/>
    <w:rsid w:val="00332BDA"/>
    <w:rsid w:val="0033549C"/>
    <w:rsid w:val="003418E2"/>
    <w:rsid w:val="00351052"/>
    <w:rsid w:val="0036011B"/>
    <w:rsid w:val="0036279B"/>
    <w:rsid w:val="003652CD"/>
    <w:rsid w:val="003756C3"/>
    <w:rsid w:val="00375A07"/>
    <w:rsid w:val="00380DBA"/>
    <w:rsid w:val="00393192"/>
    <w:rsid w:val="003B0243"/>
    <w:rsid w:val="003B7A37"/>
    <w:rsid w:val="003C41E4"/>
    <w:rsid w:val="00401D30"/>
    <w:rsid w:val="00406DA5"/>
    <w:rsid w:val="00411DB0"/>
    <w:rsid w:val="0041375E"/>
    <w:rsid w:val="004204E5"/>
    <w:rsid w:val="00420FC6"/>
    <w:rsid w:val="0045658A"/>
    <w:rsid w:val="00464547"/>
    <w:rsid w:val="00464A82"/>
    <w:rsid w:val="00473074"/>
    <w:rsid w:val="004853C6"/>
    <w:rsid w:val="004948CF"/>
    <w:rsid w:val="00494C08"/>
    <w:rsid w:val="00497112"/>
    <w:rsid w:val="004A49D9"/>
    <w:rsid w:val="004C3362"/>
    <w:rsid w:val="004D354A"/>
    <w:rsid w:val="004E2647"/>
    <w:rsid w:val="004F5EEF"/>
    <w:rsid w:val="00507C82"/>
    <w:rsid w:val="00511A73"/>
    <w:rsid w:val="00515689"/>
    <w:rsid w:val="0051618C"/>
    <w:rsid w:val="005162F4"/>
    <w:rsid w:val="00524820"/>
    <w:rsid w:val="0052553C"/>
    <w:rsid w:val="00533454"/>
    <w:rsid w:val="0054607A"/>
    <w:rsid w:val="00547E10"/>
    <w:rsid w:val="005529B8"/>
    <w:rsid w:val="00557AB1"/>
    <w:rsid w:val="005608DF"/>
    <w:rsid w:val="0058611F"/>
    <w:rsid w:val="005939A2"/>
    <w:rsid w:val="005942A1"/>
    <w:rsid w:val="005A657F"/>
    <w:rsid w:val="005B345D"/>
    <w:rsid w:val="005C7D5D"/>
    <w:rsid w:val="005D099D"/>
    <w:rsid w:val="005D3702"/>
    <w:rsid w:val="005E2BCD"/>
    <w:rsid w:val="005F5496"/>
    <w:rsid w:val="00625FF5"/>
    <w:rsid w:val="00647143"/>
    <w:rsid w:val="0066453B"/>
    <w:rsid w:val="0068290D"/>
    <w:rsid w:val="0069090C"/>
    <w:rsid w:val="00692393"/>
    <w:rsid w:val="006930CC"/>
    <w:rsid w:val="00694745"/>
    <w:rsid w:val="006B3EDF"/>
    <w:rsid w:val="006D7378"/>
    <w:rsid w:val="006E6928"/>
    <w:rsid w:val="006F2E13"/>
    <w:rsid w:val="006F5841"/>
    <w:rsid w:val="00703D51"/>
    <w:rsid w:val="0070534D"/>
    <w:rsid w:val="007267D4"/>
    <w:rsid w:val="007273C6"/>
    <w:rsid w:val="00730F2D"/>
    <w:rsid w:val="00732FCE"/>
    <w:rsid w:val="00744E07"/>
    <w:rsid w:val="00747C5B"/>
    <w:rsid w:val="007712FB"/>
    <w:rsid w:val="00771DC9"/>
    <w:rsid w:val="00777CAB"/>
    <w:rsid w:val="007867BB"/>
    <w:rsid w:val="00790F32"/>
    <w:rsid w:val="007B1110"/>
    <w:rsid w:val="007D7CF1"/>
    <w:rsid w:val="007E5D87"/>
    <w:rsid w:val="007E6406"/>
    <w:rsid w:val="007F78A9"/>
    <w:rsid w:val="008019BA"/>
    <w:rsid w:val="008203DB"/>
    <w:rsid w:val="0084155E"/>
    <w:rsid w:val="008605D4"/>
    <w:rsid w:val="008637A6"/>
    <w:rsid w:val="0086473F"/>
    <w:rsid w:val="00864C7C"/>
    <w:rsid w:val="0086517B"/>
    <w:rsid w:val="0087008C"/>
    <w:rsid w:val="0088200B"/>
    <w:rsid w:val="008A18C8"/>
    <w:rsid w:val="008B2BF0"/>
    <w:rsid w:val="008D2D50"/>
    <w:rsid w:val="008D3DCA"/>
    <w:rsid w:val="008D7652"/>
    <w:rsid w:val="008E40B5"/>
    <w:rsid w:val="008E5863"/>
    <w:rsid w:val="008F22BF"/>
    <w:rsid w:val="009004BA"/>
    <w:rsid w:val="00913AA5"/>
    <w:rsid w:val="00913BBC"/>
    <w:rsid w:val="009162C9"/>
    <w:rsid w:val="009169F1"/>
    <w:rsid w:val="00925900"/>
    <w:rsid w:val="00925AEC"/>
    <w:rsid w:val="009306EC"/>
    <w:rsid w:val="009335F8"/>
    <w:rsid w:val="00942DFB"/>
    <w:rsid w:val="00947030"/>
    <w:rsid w:val="00952152"/>
    <w:rsid w:val="00952555"/>
    <w:rsid w:val="00967F36"/>
    <w:rsid w:val="00983F1E"/>
    <w:rsid w:val="00990335"/>
    <w:rsid w:val="009A04F7"/>
    <w:rsid w:val="009C1197"/>
    <w:rsid w:val="009C1681"/>
    <w:rsid w:val="009C398E"/>
    <w:rsid w:val="009C5311"/>
    <w:rsid w:val="009D0D08"/>
    <w:rsid w:val="009E0B08"/>
    <w:rsid w:val="009F6A0F"/>
    <w:rsid w:val="009F70E6"/>
    <w:rsid w:val="00A15FCA"/>
    <w:rsid w:val="00A171AD"/>
    <w:rsid w:val="00A36D95"/>
    <w:rsid w:val="00A37103"/>
    <w:rsid w:val="00A57551"/>
    <w:rsid w:val="00A64479"/>
    <w:rsid w:val="00A751E0"/>
    <w:rsid w:val="00A81D21"/>
    <w:rsid w:val="00A8692B"/>
    <w:rsid w:val="00A87780"/>
    <w:rsid w:val="00A944CF"/>
    <w:rsid w:val="00A95966"/>
    <w:rsid w:val="00AA6146"/>
    <w:rsid w:val="00AA7D95"/>
    <w:rsid w:val="00AB3385"/>
    <w:rsid w:val="00AB50BD"/>
    <w:rsid w:val="00AB735B"/>
    <w:rsid w:val="00AD038E"/>
    <w:rsid w:val="00AE11C6"/>
    <w:rsid w:val="00AE7423"/>
    <w:rsid w:val="00AF52C8"/>
    <w:rsid w:val="00AF7945"/>
    <w:rsid w:val="00B14E9E"/>
    <w:rsid w:val="00B22986"/>
    <w:rsid w:val="00B22D6D"/>
    <w:rsid w:val="00B53E13"/>
    <w:rsid w:val="00B618EF"/>
    <w:rsid w:val="00B7261C"/>
    <w:rsid w:val="00B73A39"/>
    <w:rsid w:val="00B921EB"/>
    <w:rsid w:val="00B92D74"/>
    <w:rsid w:val="00B94ED7"/>
    <w:rsid w:val="00BA4519"/>
    <w:rsid w:val="00BB6348"/>
    <w:rsid w:val="00BB7246"/>
    <w:rsid w:val="00BD555B"/>
    <w:rsid w:val="00BF54E2"/>
    <w:rsid w:val="00BF6337"/>
    <w:rsid w:val="00C005F5"/>
    <w:rsid w:val="00C276B3"/>
    <w:rsid w:val="00C414F1"/>
    <w:rsid w:val="00C475DF"/>
    <w:rsid w:val="00C51DCC"/>
    <w:rsid w:val="00C54D7B"/>
    <w:rsid w:val="00C636F3"/>
    <w:rsid w:val="00C63C80"/>
    <w:rsid w:val="00C63CFB"/>
    <w:rsid w:val="00C73735"/>
    <w:rsid w:val="00C737F9"/>
    <w:rsid w:val="00C91F15"/>
    <w:rsid w:val="00C93995"/>
    <w:rsid w:val="00C94AAA"/>
    <w:rsid w:val="00CA34F3"/>
    <w:rsid w:val="00CA3C9E"/>
    <w:rsid w:val="00CB101D"/>
    <w:rsid w:val="00CB67C7"/>
    <w:rsid w:val="00CD6C60"/>
    <w:rsid w:val="00CE023A"/>
    <w:rsid w:val="00CE65FD"/>
    <w:rsid w:val="00CF4DF4"/>
    <w:rsid w:val="00D016C5"/>
    <w:rsid w:val="00D02CFA"/>
    <w:rsid w:val="00D03CBA"/>
    <w:rsid w:val="00D06714"/>
    <w:rsid w:val="00D139CE"/>
    <w:rsid w:val="00D42D71"/>
    <w:rsid w:val="00D47E22"/>
    <w:rsid w:val="00D540DC"/>
    <w:rsid w:val="00D6186A"/>
    <w:rsid w:val="00D64800"/>
    <w:rsid w:val="00D70AE4"/>
    <w:rsid w:val="00D76499"/>
    <w:rsid w:val="00D82921"/>
    <w:rsid w:val="00D92713"/>
    <w:rsid w:val="00D94F65"/>
    <w:rsid w:val="00DA6C2F"/>
    <w:rsid w:val="00DA77BE"/>
    <w:rsid w:val="00DD024B"/>
    <w:rsid w:val="00DD0B0C"/>
    <w:rsid w:val="00DE0067"/>
    <w:rsid w:val="00DE2BC5"/>
    <w:rsid w:val="00DE4645"/>
    <w:rsid w:val="00E01B25"/>
    <w:rsid w:val="00E2476B"/>
    <w:rsid w:val="00E25902"/>
    <w:rsid w:val="00E2601B"/>
    <w:rsid w:val="00E2691B"/>
    <w:rsid w:val="00E27678"/>
    <w:rsid w:val="00E40704"/>
    <w:rsid w:val="00E439AB"/>
    <w:rsid w:val="00E445E5"/>
    <w:rsid w:val="00E460EA"/>
    <w:rsid w:val="00E55A61"/>
    <w:rsid w:val="00E662D5"/>
    <w:rsid w:val="00E71305"/>
    <w:rsid w:val="00E74E90"/>
    <w:rsid w:val="00E928A6"/>
    <w:rsid w:val="00EB6C84"/>
    <w:rsid w:val="00F01FC5"/>
    <w:rsid w:val="00F0207C"/>
    <w:rsid w:val="00F06781"/>
    <w:rsid w:val="00F077E1"/>
    <w:rsid w:val="00F12FDE"/>
    <w:rsid w:val="00F17B6F"/>
    <w:rsid w:val="00F26165"/>
    <w:rsid w:val="00F30EE5"/>
    <w:rsid w:val="00F4581E"/>
    <w:rsid w:val="00F561F2"/>
    <w:rsid w:val="00F564FE"/>
    <w:rsid w:val="00F70CA6"/>
    <w:rsid w:val="00F84EEC"/>
    <w:rsid w:val="00FA0D1A"/>
    <w:rsid w:val="00FA2022"/>
    <w:rsid w:val="00FA429E"/>
    <w:rsid w:val="00FB2688"/>
    <w:rsid w:val="00FC183B"/>
    <w:rsid w:val="00FC3ED3"/>
    <w:rsid w:val="00FE2D8D"/>
    <w:rsid w:val="00FF0263"/>
    <w:rsid w:val="00FF7D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2534149"/>
  <w15:chartTrackingRefBased/>
  <w15:docId w15:val="{301C4575-EB3C-460E-9ECE-5EA7D858A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24B"/>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28224B"/>
    <w:pPr>
      <w:spacing w:before="240" w:line="240" w:lineRule="auto"/>
      <w:ind w:firstLine="0"/>
      <w:jc w:val="left"/>
    </w:pPr>
    <w:rPr>
      <w:i/>
    </w:rPr>
  </w:style>
  <w:style w:type="paragraph" w:customStyle="1" w:styleId="MDPI12title">
    <w:name w:val="MDPI_1.2_title"/>
    <w:next w:val="MDPI13authornames"/>
    <w:qFormat/>
    <w:rsid w:val="0028224B"/>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28224B"/>
    <w:pPr>
      <w:spacing w:after="120"/>
      <w:ind w:firstLine="0"/>
      <w:jc w:val="left"/>
    </w:pPr>
    <w:rPr>
      <w:b/>
      <w:snapToGrid/>
    </w:rPr>
  </w:style>
  <w:style w:type="paragraph" w:customStyle="1" w:styleId="MDPI14history">
    <w:name w:val="MDPI_1.4_history"/>
    <w:basedOn w:val="MDPI62Acknowledgments"/>
    <w:next w:val="Normal"/>
    <w:qFormat/>
    <w:rsid w:val="0028224B"/>
    <w:pPr>
      <w:ind w:left="113"/>
      <w:jc w:val="left"/>
    </w:pPr>
    <w:rPr>
      <w:snapToGrid/>
    </w:rPr>
  </w:style>
  <w:style w:type="paragraph" w:customStyle="1" w:styleId="MDPI16affiliation">
    <w:name w:val="MDPI_1.6_affiliation"/>
    <w:basedOn w:val="MDPI62Acknowledgments"/>
    <w:qFormat/>
    <w:rsid w:val="0028224B"/>
    <w:pPr>
      <w:spacing w:before="0"/>
      <w:ind w:left="311" w:hanging="198"/>
      <w:jc w:val="left"/>
    </w:pPr>
    <w:rPr>
      <w:snapToGrid/>
      <w:szCs w:val="18"/>
    </w:rPr>
  </w:style>
  <w:style w:type="paragraph" w:customStyle="1" w:styleId="MDPI17abstract">
    <w:name w:val="MDPI_1.7_abstract"/>
    <w:basedOn w:val="MDPI31text"/>
    <w:next w:val="MDPI18keywords"/>
    <w:qFormat/>
    <w:rsid w:val="0028224B"/>
    <w:pPr>
      <w:spacing w:before="240"/>
      <w:ind w:left="113" w:firstLine="0"/>
    </w:pPr>
    <w:rPr>
      <w:snapToGrid/>
    </w:rPr>
  </w:style>
  <w:style w:type="paragraph" w:customStyle="1" w:styleId="MDPI18keywords">
    <w:name w:val="MDPI_1.8_keywords"/>
    <w:basedOn w:val="MDPI31text"/>
    <w:next w:val="Normal"/>
    <w:qFormat/>
    <w:rsid w:val="0028224B"/>
    <w:pPr>
      <w:spacing w:before="240"/>
      <w:ind w:left="113" w:firstLine="0"/>
    </w:pPr>
  </w:style>
  <w:style w:type="paragraph" w:customStyle="1" w:styleId="MDPI19line">
    <w:name w:val="MDPI_1.9_line"/>
    <w:basedOn w:val="MDPI31text"/>
    <w:qFormat/>
    <w:rsid w:val="0028224B"/>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28224B"/>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28224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28224B"/>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28224B"/>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28224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28224B"/>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28224B"/>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28224B"/>
    <w:pPr>
      <w:ind w:firstLine="0"/>
    </w:pPr>
  </w:style>
  <w:style w:type="paragraph" w:customStyle="1" w:styleId="MDPI33textspaceafter">
    <w:name w:val="MDPI_3.3_text_space_after"/>
    <w:basedOn w:val="MDPI31text"/>
    <w:qFormat/>
    <w:rsid w:val="0028224B"/>
    <w:pPr>
      <w:spacing w:after="240"/>
    </w:pPr>
  </w:style>
  <w:style w:type="paragraph" w:customStyle="1" w:styleId="MDPI35textbeforelist">
    <w:name w:val="MDPI_3.5_text_before_list"/>
    <w:basedOn w:val="MDPI31text"/>
    <w:qFormat/>
    <w:rsid w:val="0028224B"/>
    <w:pPr>
      <w:spacing w:after="120"/>
    </w:pPr>
  </w:style>
  <w:style w:type="paragraph" w:customStyle="1" w:styleId="MDPI36textafterlist">
    <w:name w:val="MDPI_3.6_text_after_list"/>
    <w:basedOn w:val="MDPI31text"/>
    <w:qFormat/>
    <w:rsid w:val="0028224B"/>
    <w:pPr>
      <w:spacing w:before="120"/>
    </w:pPr>
  </w:style>
  <w:style w:type="paragraph" w:customStyle="1" w:styleId="MDPI37itemize">
    <w:name w:val="MDPI_3.7_itemize"/>
    <w:basedOn w:val="MDPI31text"/>
    <w:qFormat/>
    <w:rsid w:val="0028224B"/>
    <w:pPr>
      <w:numPr>
        <w:numId w:val="1"/>
      </w:numPr>
      <w:ind w:left="425" w:hanging="425"/>
    </w:pPr>
  </w:style>
  <w:style w:type="paragraph" w:customStyle="1" w:styleId="MDPI38bullet">
    <w:name w:val="MDPI_3.8_bullet"/>
    <w:basedOn w:val="MDPI31text"/>
    <w:qFormat/>
    <w:rsid w:val="0028224B"/>
    <w:pPr>
      <w:numPr>
        <w:numId w:val="2"/>
      </w:numPr>
      <w:ind w:left="425" w:hanging="425"/>
    </w:pPr>
  </w:style>
  <w:style w:type="paragraph" w:customStyle="1" w:styleId="MDPI39equation">
    <w:name w:val="MDPI_3.9_equation"/>
    <w:basedOn w:val="MDPI31text"/>
    <w:qFormat/>
    <w:rsid w:val="0028224B"/>
    <w:pPr>
      <w:spacing w:before="120" w:after="120"/>
      <w:ind w:left="709" w:firstLine="0"/>
      <w:jc w:val="center"/>
    </w:pPr>
  </w:style>
  <w:style w:type="paragraph" w:customStyle="1" w:styleId="MDPI3aequationnumber">
    <w:name w:val="MDPI_3.a_equation_number"/>
    <w:basedOn w:val="MDPI31text"/>
    <w:qFormat/>
    <w:rsid w:val="0028224B"/>
    <w:pPr>
      <w:spacing w:before="120" w:after="120" w:line="240" w:lineRule="auto"/>
      <w:ind w:firstLine="0"/>
      <w:jc w:val="right"/>
    </w:pPr>
  </w:style>
  <w:style w:type="paragraph" w:customStyle="1" w:styleId="MDPI62Acknowledgments">
    <w:name w:val="MDPI_6.2_Acknowledgments"/>
    <w:qFormat/>
    <w:rsid w:val="0028224B"/>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28224B"/>
    <w:pPr>
      <w:spacing w:before="240" w:after="120" w:line="260" w:lineRule="atLeast"/>
      <w:ind w:left="425" w:right="425"/>
    </w:pPr>
    <w:rPr>
      <w:snapToGrid/>
      <w:szCs w:val="22"/>
    </w:rPr>
  </w:style>
  <w:style w:type="paragraph" w:customStyle="1" w:styleId="MDPI42tablebody">
    <w:name w:val="MDPI_4.2_table_body"/>
    <w:qFormat/>
    <w:rsid w:val="009169F1"/>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28224B"/>
    <w:pPr>
      <w:spacing w:before="0"/>
      <w:ind w:left="0" w:right="0"/>
    </w:pPr>
  </w:style>
  <w:style w:type="paragraph" w:customStyle="1" w:styleId="MDPI51figurecaption">
    <w:name w:val="MDPI_5.1_figure_caption"/>
    <w:basedOn w:val="MDPI62Acknowledgments"/>
    <w:qFormat/>
    <w:rsid w:val="0028224B"/>
    <w:pPr>
      <w:spacing w:after="240" w:line="260" w:lineRule="atLeast"/>
      <w:ind w:left="425" w:right="425"/>
    </w:pPr>
    <w:rPr>
      <w:snapToGrid/>
    </w:rPr>
  </w:style>
  <w:style w:type="paragraph" w:customStyle="1" w:styleId="MDPI52figure">
    <w:name w:val="MDPI_5.2_figure"/>
    <w:qFormat/>
    <w:rsid w:val="0028224B"/>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28224B"/>
    <w:pPr>
      <w:spacing w:before="240"/>
    </w:pPr>
    <w:rPr>
      <w:lang w:eastAsia="en-US"/>
    </w:rPr>
  </w:style>
  <w:style w:type="paragraph" w:customStyle="1" w:styleId="MDPI63AuthorContributions">
    <w:name w:val="MDPI_6.3_AuthorContributions"/>
    <w:basedOn w:val="MDPI62Acknowledgments"/>
    <w:qFormat/>
    <w:rsid w:val="0028224B"/>
    <w:rPr>
      <w:rFonts w:eastAsia="宋体"/>
      <w:color w:val="auto"/>
      <w:lang w:eastAsia="en-US"/>
    </w:rPr>
  </w:style>
  <w:style w:type="paragraph" w:customStyle="1" w:styleId="MDPI64CoI">
    <w:name w:val="MDPI_6.4_CoI"/>
    <w:basedOn w:val="MDPI62Acknowledgments"/>
    <w:qFormat/>
    <w:rsid w:val="0028224B"/>
  </w:style>
  <w:style w:type="paragraph" w:customStyle="1" w:styleId="MDPIfooterfirstpage">
    <w:name w:val="MDPI_footer_firstpage"/>
    <w:basedOn w:val="Normal"/>
    <w:qFormat/>
    <w:rsid w:val="0028224B"/>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28224B"/>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28224B"/>
    <w:pPr>
      <w:spacing w:before="240" w:after="120"/>
      <w:ind w:firstLine="0"/>
      <w:jc w:val="left"/>
      <w:outlineLvl w:val="2"/>
    </w:pPr>
  </w:style>
  <w:style w:type="paragraph" w:customStyle="1" w:styleId="MDPI21heading1">
    <w:name w:val="MDPI_2.1_heading1"/>
    <w:basedOn w:val="MDPI23heading3"/>
    <w:qFormat/>
    <w:rsid w:val="0028224B"/>
    <w:pPr>
      <w:outlineLvl w:val="0"/>
    </w:pPr>
    <w:rPr>
      <w:b/>
    </w:rPr>
  </w:style>
  <w:style w:type="paragraph" w:customStyle="1" w:styleId="MDPI22heading2">
    <w:name w:val="MDPI_2.2_heading2"/>
    <w:basedOn w:val="Normal"/>
    <w:qFormat/>
    <w:rsid w:val="0028224B"/>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28224B"/>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28224B"/>
    <w:pPr>
      <w:spacing w:line="240" w:lineRule="auto"/>
    </w:pPr>
    <w:rPr>
      <w:sz w:val="18"/>
      <w:szCs w:val="18"/>
    </w:rPr>
  </w:style>
  <w:style w:type="character" w:customStyle="1" w:styleId="BalloonTextChar">
    <w:name w:val="Balloon Text Char"/>
    <w:link w:val="BalloonText"/>
    <w:uiPriority w:val="99"/>
    <w:semiHidden/>
    <w:rsid w:val="0028224B"/>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28224B"/>
  </w:style>
  <w:style w:type="table" w:customStyle="1" w:styleId="MDPI41threelinetable">
    <w:name w:val="MDPI_4.1_three_line_table"/>
    <w:basedOn w:val="TableNormal"/>
    <w:uiPriority w:val="99"/>
    <w:rsid w:val="009169F1"/>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D03CBA"/>
    <w:rPr>
      <w:color w:val="0563C1"/>
      <w:u w:val="single"/>
    </w:rPr>
  </w:style>
  <w:style w:type="character" w:customStyle="1" w:styleId="1">
    <w:name w:val="未解決のメンション1"/>
    <w:uiPriority w:val="99"/>
    <w:semiHidden/>
    <w:unhideWhenUsed/>
    <w:rsid w:val="00A8692B"/>
    <w:rPr>
      <w:color w:val="605E5C"/>
      <w:shd w:val="clear" w:color="auto" w:fill="E1DFDD"/>
    </w:rPr>
  </w:style>
  <w:style w:type="table" w:styleId="PlainTable4">
    <w:name w:val="Plain Table 4"/>
    <w:basedOn w:val="TableNormal"/>
    <w:uiPriority w:val="44"/>
    <w:rsid w:val="00375A07"/>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2">
    <w:name w:val="未解決のメンション2"/>
    <w:basedOn w:val="DefaultParagraphFont"/>
    <w:uiPriority w:val="99"/>
    <w:semiHidden/>
    <w:unhideWhenUsed/>
    <w:rsid w:val="004948CF"/>
    <w:rPr>
      <w:color w:val="605E5C"/>
      <w:shd w:val="clear" w:color="auto" w:fill="E1DFDD"/>
    </w:rPr>
  </w:style>
  <w:style w:type="character" w:styleId="FollowedHyperlink">
    <w:name w:val="FollowedHyperlink"/>
    <w:basedOn w:val="DefaultParagraphFont"/>
    <w:uiPriority w:val="99"/>
    <w:semiHidden/>
    <w:unhideWhenUsed/>
    <w:rsid w:val="00DE0067"/>
    <w:rPr>
      <w:color w:val="954F72" w:themeColor="followedHyperlink"/>
      <w:u w:val="single"/>
    </w:rPr>
  </w:style>
  <w:style w:type="character" w:styleId="CommentReference">
    <w:name w:val="annotation reference"/>
    <w:basedOn w:val="DefaultParagraphFont"/>
    <w:uiPriority w:val="99"/>
    <w:semiHidden/>
    <w:unhideWhenUsed/>
    <w:rsid w:val="006930CC"/>
    <w:rPr>
      <w:sz w:val="16"/>
      <w:szCs w:val="16"/>
    </w:rPr>
  </w:style>
  <w:style w:type="paragraph" w:styleId="CommentText">
    <w:name w:val="annotation text"/>
    <w:basedOn w:val="Normal"/>
    <w:link w:val="CommentTextChar"/>
    <w:uiPriority w:val="99"/>
    <w:semiHidden/>
    <w:unhideWhenUsed/>
    <w:rsid w:val="006930CC"/>
    <w:pPr>
      <w:spacing w:line="240" w:lineRule="auto"/>
    </w:pPr>
    <w:rPr>
      <w:sz w:val="20"/>
    </w:rPr>
  </w:style>
  <w:style w:type="character" w:customStyle="1" w:styleId="CommentTextChar">
    <w:name w:val="Comment Text Char"/>
    <w:basedOn w:val="DefaultParagraphFont"/>
    <w:link w:val="CommentText"/>
    <w:uiPriority w:val="99"/>
    <w:semiHidden/>
    <w:rsid w:val="006930CC"/>
    <w:rPr>
      <w:rFonts w:ascii="Times New Roman" w:eastAsia="Times New Roman" w:hAnsi="Times New Roman"/>
      <w:color w:val="000000"/>
      <w:lang w:eastAsia="de-DE"/>
    </w:rPr>
  </w:style>
  <w:style w:type="paragraph" w:styleId="CommentSubject">
    <w:name w:val="annotation subject"/>
    <w:basedOn w:val="CommentText"/>
    <w:next w:val="CommentText"/>
    <w:link w:val="CommentSubjectChar"/>
    <w:uiPriority w:val="99"/>
    <w:semiHidden/>
    <w:unhideWhenUsed/>
    <w:rsid w:val="006930CC"/>
    <w:rPr>
      <w:b/>
      <w:bCs/>
    </w:rPr>
  </w:style>
  <w:style w:type="character" w:customStyle="1" w:styleId="CommentSubjectChar">
    <w:name w:val="Comment Subject Char"/>
    <w:basedOn w:val="CommentTextChar"/>
    <w:link w:val="CommentSubject"/>
    <w:uiPriority w:val="99"/>
    <w:semiHidden/>
    <w:rsid w:val="006930CC"/>
    <w:rPr>
      <w:rFonts w:ascii="Times New Roman" w:eastAsia="Times New Roman" w:hAnsi="Times New Roman"/>
      <w:b/>
      <w:bCs/>
      <w:color w:val="000000"/>
      <w:lang w:eastAsia="de-DE"/>
    </w:rPr>
  </w:style>
  <w:style w:type="paragraph" w:styleId="Revision">
    <w:name w:val="Revision"/>
    <w:hidden/>
    <w:uiPriority w:val="99"/>
    <w:semiHidden/>
    <w:rsid w:val="00FA429E"/>
    <w:rPr>
      <w:rFonts w:ascii="Times New Roman" w:eastAsia="Times New Roman" w:hAnsi="Times New Roman"/>
      <w:color w:val="000000"/>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365195">
      <w:bodyDiv w:val="1"/>
      <w:marLeft w:val="0"/>
      <w:marRight w:val="0"/>
      <w:marTop w:val="0"/>
      <w:marBottom w:val="0"/>
      <w:divBdr>
        <w:top w:val="none" w:sz="0" w:space="0" w:color="auto"/>
        <w:left w:val="none" w:sz="0" w:space="0" w:color="auto"/>
        <w:bottom w:val="none" w:sz="0" w:space="0" w:color="auto"/>
        <w:right w:val="none" w:sz="0" w:space="0" w:color="auto"/>
      </w:divBdr>
    </w:div>
    <w:div w:id="1532262229">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Manuscript\sensors-797518\for%20publish\sensors-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sensors-template.dot</Template>
  <TotalTime>1</TotalTime>
  <Pages>2</Pages>
  <Words>510</Words>
  <Characters>2856</Characters>
  <Application>Microsoft Office Word</Application>
  <DocSecurity>0</DocSecurity>
  <Lines>44</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3344</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芦葉裕樹</dc:creator>
  <cp:keywords/>
  <dc:description/>
  <cp:lastModifiedBy>mdpi</cp:lastModifiedBy>
  <cp:revision>3</cp:revision>
  <cp:lastPrinted>2020-06-04T09:01:00Z</cp:lastPrinted>
  <dcterms:created xsi:type="dcterms:W3CDTF">2020-06-04T09:01:00Z</dcterms:created>
  <dcterms:modified xsi:type="dcterms:W3CDTF">2020-06-04T09:01:00Z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c55989-3c9e-4466-8514-eac6f80f6373_Enabled">
    <vt:lpwstr>True</vt:lpwstr>
  </property>
  <property fmtid="{D5CDD505-2E9C-101B-9397-08002B2CF9AE}" pid="3" name="MSIP_Label_ddc55989-3c9e-4466-8514-eac6f80f6373_SiteId">
    <vt:lpwstr>18a7fec8-652f-409b-8369-272d9ce80620</vt:lpwstr>
  </property>
  <property fmtid="{D5CDD505-2E9C-101B-9397-08002B2CF9AE}" pid="4" name="MSIP_Label_ddc55989-3c9e-4466-8514-eac6f80f6373_Owner">
    <vt:lpwstr>h.ashiba@aist.go.jp</vt:lpwstr>
  </property>
  <property fmtid="{D5CDD505-2E9C-101B-9397-08002B2CF9AE}" pid="5" name="MSIP_Label_ddc55989-3c9e-4466-8514-eac6f80f6373_SetDate">
    <vt:lpwstr>2020-04-20T05:50:21.7100663Z</vt:lpwstr>
  </property>
  <property fmtid="{D5CDD505-2E9C-101B-9397-08002B2CF9AE}" pid="6" name="MSIP_Label_ddc55989-3c9e-4466-8514-eac6f80f6373_Name">
    <vt:lpwstr>No Restrictions</vt:lpwstr>
  </property>
  <property fmtid="{D5CDD505-2E9C-101B-9397-08002B2CF9AE}" pid="7" name="MSIP_Label_ddc55989-3c9e-4466-8514-eac6f80f6373_Application">
    <vt:lpwstr>Microsoft Azure Information Protection</vt:lpwstr>
  </property>
  <property fmtid="{D5CDD505-2E9C-101B-9397-08002B2CF9AE}" pid="8" name="MSIP_Label_ddc55989-3c9e-4466-8514-eac6f80f6373_ActionId">
    <vt:lpwstr>9db13aa1-4f6c-425c-9961-a0b8a4ea3d47</vt:lpwstr>
  </property>
  <property fmtid="{D5CDD505-2E9C-101B-9397-08002B2CF9AE}" pid="9" name="MSIP_Label_ddc55989-3c9e-4466-8514-eac6f80f6373_Extended_MSFT_Method">
    <vt:lpwstr>Automatic</vt:lpwstr>
  </property>
  <property fmtid="{D5CDD505-2E9C-101B-9397-08002B2CF9AE}" pid="10" name="Sensitivity">
    <vt:lpwstr>No Restrictions</vt:lpwstr>
  </property>
</Properties>
</file>