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90100" w14:textId="61DCCF91" w:rsidR="00B643EC" w:rsidRPr="00301345" w:rsidRDefault="00B643EC" w:rsidP="00B643EC">
      <w:pPr>
        <w:widowControl/>
        <w:wordWrap/>
        <w:autoSpaceDE/>
        <w:autoSpaceDN/>
        <w:spacing w:line="480" w:lineRule="auto"/>
        <w:rPr>
          <w:rFonts w:ascii="Times New Roman" w:eastAsia="맑은 고딕" w:hAnsi="Times New Roman" w:cs="Times New Roman"/>
          <w:b/>
          <w:bCs/>
          <w:sz w:val="24"/>
          <w:szCs w:val="24"/>
        </w:rPr>
      </w:pPr>
      <w:r w:rsidRPr="00301345">
        <w:rPr>
          <w:rFonts w:ascii="Times New Roman" w:eastAsia="맑은 고딕" w:hAnsi="Times New Roman" w:cs="Times New Roman" w:hint="eastAsia"/>
          <w:sz w:val="24"/>
          <w:szCs w:val="24"/>
        </w:rPr>
        <w:t>Table</w:t>
      </w:r>
      <w:r w:rsidRPr="00301345">
        <w:rPr>
          <w:rFonts w:ascii="Times New Roman" w:eastAsia="맑은 고딕" w:hAnsi="Times New Roman" w:cs="Times New Roman"/>
          <w:sz w:val="24"/>
          <w:szCs w:val="24"/>
        </w:rPr>
        <w:t xml:space="preserve"> S</w:t>
      </w:r>
      <w:r w:rsidR="00FB5815">
        <w:rPr>
          <w:rFonts w:ascii="Times New Roman" w:eastAsia="맑은 고딕" w:hAnsi="Times New Roman" w:cs="Times New Roman"/>
          <w:sz w:val="24"/>
          <w:szCs w:val="24"/>
        </w:rPr>
        <w:t>2</w:t>
      </w:r>
      <w:r w:rsidRPr="00301345">
        <w:rPr>
          <w:rFonts w:ascii="Times New Roman" w:eastAsia="맑은 고딕" w:hAnsi="Times New Roman" w:cs="Times New Roman" w:hint="eastAsia"/>
          <w:sz w:val="24"/>
          <w:szCs w:val="24"/>
        </w:rPr>
        <w:t>.</w:t>
      </w:r>
      <w:r w:rsidRPr="00301345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="00CB1CDD" w:rsidRPr="00CB1CDD">
        <w:rPr>
          <w:rFonts w:ascii="Times New Roman" w:eastAsia="맑은 고딕" w:hAnsi="Times New Roman" w:cs="Times New Roman"/>
          <w:sz w:val="24"/>
          <w:szCs w:val="24"/>
        </w:rPr>
        <w:t>Detailed information of Modules with Node IDs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776"/>
        <w:gridCol w:w="1243"/>
        <w:gridCol w:w="981"/>
        <w:gridCol w:w="1962"/>
        <w:gridCol w:w="1134"/>
        <w:gridCol w:w="2976"/>
      </w:tblGrid>
      <w:tr w:rsidR="00CB1CDD" w:rsidRPr="00865837" w14:paraId="5E9FBC5A" w14:textId="77777777" w:rsidTr="00CB1CDD">
        <w:trPr>
          <w:trHeight w:val="300"/>
        </w:trPr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D4A80A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Module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3F6A50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KEGG pathway 2019 Human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E6172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p</w:t>
            </w: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value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4D18D8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GO Biological Process 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BF0CC8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p</w:t>
            </w: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value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5A273A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 w:rsidRPr="00865837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Node IDs</w:t>
            </w:r>
          </w:p>
        </w:tc>
      </w:tr>
      <w:tr w:rsidR="00CB1CDD" w:rsidRPr="00865837" w14:paraId="513781CC" w14:textId="77777777" w:rsidTr="00CB1CDD">
        <w:trPr>
          <w:trHeight w:val="30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B232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M1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5F869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Mineral absorption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7C296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0.0006553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0EAA7" w14:textId="77777777" w:rsidR="00CB1CDD" w:rsidRPr="004C7B05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calcium ion transport (GO:0006816)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6F3BD" w14:textId="77777777" w:rsidR="00CB1CDD" w:rsidRPr="004C7B05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2.50E-22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18928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HCN4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CATSPER2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CACNA1B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CACNA1I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CATSPER3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HCN1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HCN2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SCN10A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TRPM1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TRPM3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TRPM4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TRPM5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TRPM6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TRPM7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TRPM8</w:t>
            </w:r>
          </w:p>
        </w:tc>
      </w:tr>
      <w:tr w:rsidR="00CB1CDD" w:rsidRPr="00865837" w14:paraId="2D07D380" w14:textId="77777777" w:rsidTr="00CB1CDD">
        <w:trPr>
          <w:trHeight w:val="30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B46C6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M2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707B3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Cytokine-cytokine receptor interaction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F3BD6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2.80E-16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76A78" w14:textId="77777777" w:rsidR="00CB1CDD" w:rsidRPr="004C7B05" w:rsidRDefault="00CB1CDD" w:rsidP="00CB1CDD">
            <w:pPr>
              <w:widowControl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cellular response to cytokine stimulus (GO:0071345)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C3C62" w14:textId="77777777" w:rsidR="00CB1CDD" w:rsidRPr="004C7B05" w:rsidRDefault="00CB1CDD" w:rsidP="00CB1CDD">
            <w:pPr>
              <w:widowControl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1.51E-14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55DAF" w14:textId="77777777" w:rsidR="00CB1CDD" w:rsidRPr="004C7B05" w:rsidRDefault="00CB1CDD" w:rsidP="00CB1CDD">
            <w:pPr>
              <w:widowControl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4C7B05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GUCA2A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CSF1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CSF2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IFNA1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IL10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IL13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IL2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IL4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IL5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IL6</w:t>
            </w:r>
          </w:p>
        </w:tc>
      </w:tr>
      <w:tr w:rsidR="00CB1CDD" w:rsidRPr="00865837" w14:paraId="43509641" w14:textId="77777777" w:rsidTr="00CB1CDD">
        <w:trPr>
          <w:trHeight w:val="30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98F92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M3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5A51D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Retinol metabolism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C118A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0.0001098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9CA54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coumarin metabolic process (GO:0009804)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3C145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0.001499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A5C38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BCHE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CAT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CYP2A6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G6PC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HSD17B6</w:t>
            </w:r>
          </w:p>
        </w:tc>
      </w:tr>
      <w:tr w:rsidR="00CB1CDD" w:rsidRPr="00865837" w14:paraId="6448F6B7" w14:textId="77777777" w:rsidTr="00CB1CDD">
        <w:trPr>
          <w:trHeight w:val="30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10127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M4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5D7DD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Other glycan degradation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F095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0.003595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85FEA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positive regulation of action potential (GO:0045760)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48167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0.0012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52DC0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AMY2A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GBA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HEXDC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HPSE</w:t>
            </w:r>
          </w:p>
        </w:tc>
      </w:tr>
      <w:tr w:rsidR="00CB1CDD" w:rsidRPr="00865837" w14:paraId="1B281B80" w14:textId="77777777" w:rsidTr="00CB1CDD">
        <w:trPr>
          <w:trHeight w:val="30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ADC2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M5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FDF2B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Legionellosis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1397A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1.091E-06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6FAC0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response to organic cyclic compound (GO:0014070)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E744A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0.0003241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FFADF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MSMB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LPO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ALPL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CASP1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CDH1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CXCL1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IL18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PNLIP</w:t>
            </w:r>
          </w:p>
        </w:tc>
      </w:tr>
      <w:tr w:rsidR="00CB1CDD" w:rsidRPr="00865837" w14:paraId="7EB40BE3" w14:textId="77777777" w:rsidTr="00CB1CDD">
        <w:trPr>
          <w:trHeight w:val="300"/>
        </w:trPr>
        <w:tc>
          <w:tcPr>
            <w:tcW w:w="7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3B2D9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M6</w:t>
            </w: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11542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Th1 and Th2 cell differentiation</w:t>
            </w: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96A82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0.000433</w:t>
            </w:r>
          </w:p>
        </w:tc>
        <w:tc>
          <w:tcPr>
            <w:tcW w:w="1962" w:type="dxa"/>
            <w:tcBorders>
              <w:top w:val="nil"/>
              <w:left w:val="nil"/>
              <w:right w:val="nil"/>
            </w:tcBorders>
            <w:vAlign w:val="center"/>
          </w:tcPr>
          <w:p w14:paraId="4077B56C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positive regulation of T-helper 17 type immune response (GO:2000318)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4B77D2EA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0.002098</w:t>
            </w:r>
          </w:p>
        </w:tc>
        <w:tc>
          <w:tcPr>
            <w:tcW w:w="29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EE33D50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IL4R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PKIA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CALCB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ANK1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DAZL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PRKCQ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UGT2B7</w:t>
            </w:r>
          </w:p>
        </w:tc>
      </w:tr>
      <w:tr w:rsidR="00CB1CDD" w:rsidRPr="00865837" w14:paraId="37C50DDE" w14:textId="77777777" w:rsidTr="00CB1CDD">
        <w:trPr>
          <w:trHeight w:val="300"/>
        </w:trPr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8FDE5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M7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132E7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Neuroactive ligand-receptor interaction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BA934C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0.0000944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B19A1C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positive regulation of cytosolic calcium ion concentration (GO:0007204)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71F34C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 w:hint="eastAsia"/>
                <w:sz w:val="18"/>
                <w:szCs w:val="18"/>
              </w:rPr>
              <w:t>0.00000241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8F7D41" w14:textId="77777777" w:rsidR="00CB1CDD" w:rsidRPr="00865837" w:rsidRDefault="00CB1CDD" w:rsidP="00CB1CDD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</w:pP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MPDZ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TAC3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PLBD1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SGCZ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OSGEP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ATP2B1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CXCL8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G6PD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HPRT1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INS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LPAR2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MAPK14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P2RX2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P2RY4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4C7B05"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</w:rPr>
              <w:t>TRPV4</w:t>
            </w:r>
          </w:p>
        </w:tc>
      </w:tr>
    </w:tbl>
    <w:p w14:paraId="2C0BEB51" w14:textId="2A6CD0F5" w:rsidR="00B643EC" w:rsidRPr="00CB1CDD" w:rsidRDefault="00B643EC" w:rsidP="00B643EC"/>
    <w:sectPr w:rsidR="00B643EC" w:rsidRPr="00CB1CD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3EC"/>
    <w:rsid w:val="00040607"/>
    <w:rsid w:val="00301345"/>
    <w:rsid w:val="00577175"/>
    <w:rsid w:val="00711741"/>
    <w:rsid w:val="00B643EC"/>
    <w:rsid w:val="00CB1CDD"/>
    <w:rsid w:val="00FB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8D2D8"/>
  <w15:chartTrackingRefBased/>
  <w15:docId w15:val="{14572980-5051-410F-BD60-B9BFD762C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3E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">
    <w:name w:val="Plain Table 2"/>
    <w:basedOn w:val="a1"/>
    <w:uiPriority w:val="42"/>
    <w:rsid w:val="00B643E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6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김미혜</dc:creator>
  <cp:keywords/>
  <dc:description/>
  <cp:lastModifiedBy>김미혜</cp:lastModifiedBy>
  <cp:revision>3</cp:revision>
  <dcterms:created xsi:type="dcterms:W3CDTF">2020-11-10T04:40:00Z</dcterms:created>
  <dcterms:modified xsi:type="dcterms:W3CDTF">2020-11-10T04:42:00Z</dcterms:modified>
</cp:coreProperties>
</file>