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AED45" w14:textId="229E44E2" w:rsidR="00984EB9" w:rsidRPr="001854DB" w:rsidRDefault="0011289C" w:rsidP="001854DB">
      <w:pPr>
        <w:adjustRightInd w:val="0"/>
        <w:snapToGrid w:val="0"/>
        <w:spacing w:before="120" w:after="240" w:line="260" w:lineRule="atLeast"/>
        <w:ind w:left="425" w:right="425"/>
        <w:jc w:val="both"/>
        <w:rPr>
          <w:rFonts w:ascii="Palatino Linotype" w:hAnsi="Palatino Linotype" w:cs="Times New Roman"/>
          <w:b/>
          <w:color w:val="000000"/>
          <w:sz w:val="20"/>
          <w:szCs w:val="20"/>
          <w:lang w:val="en-GB"/>
        </w:rPr>
      </w:pPr>
      <w:r w:rsidRPr="001854DB">
        <w:rPr>
          <w:rFonts w:ascii="Palatino Linotype" w:hAnsi="Palatino Linotype" w:cs="Times New Roman"/>
          <w:b/>
          <w:color w:val="000000"/>
          <w:sz w:val="20"/>
          <w:szCs w:val="20"/>
          <w:lang w:val="en-GB"/>
        </w:rPr>
        <w:t>Supplementary figure legends</w:t>
      </w:r>
    </w:p>
    <w:p w14:paraId="6D2D25A3" w14:textId="74DBAC56" w:rsidR="00984EB9" w:rsidRPr="001854DB" w:rsidRDefault="00AD0CFF" w:rsidP="001854DB">
      <w:pPr>
        <w:adjustRightInd w:val="0"/>
        <w:snapToGrid w:val="0"/>
        <w:spacing w:before="120" w:after="240" w:line="260" w:lineRule="atLeast"/>
        <w:ind w:left="425" w:right="425"/>
        <w:jc w:val="both"/>
        <w:rPr>
          <w:rFonts w:ascii="Palatino Linotype" w:hAnsi="Palatino Linotype" w:cs="Times New Roman"/>
          <w:sz w:val="20"/>
          <w:szCs w:val="20"/>
          <w:lang w:val="en-GB"/>
        </w:rPr>
      </w:pPr>
      <w:r w:rsidRPr="001854D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Figure S1</w:t>
      </w:r>
      <w:r w:rsidR="00823678" w:rsidRPr="001854D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:</w:t>
      </w:r>
      <w:r w:rsidR="00984EB9" w:rsidRPr="001854D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 NYHA functional class at follow-up according to shunt type</w:t>
      </w:r>
    </w:p>
    <w:p w14:paraId="7809D98B" w14:textId="77777777" w:rsidR="00984EB9" w:rsidRPr="001854DB" w:rsidRDefault="00984EB9" w:rsidP="001854DB">
      <w:pPr>
        <w:adjustRightInd w:val="0"/>
        <w:snapToGrid w:val="0"/>
        <w:spacing w:before="120" w:after="240" w:line="260" w:lineRule="atLeast"/>
        <w:ind w:left="425" w:right="425"/>
        <w:jc w:val="both"/>
        <w:rPr>
          <w:rFonts w:ascii="Palatino Linotype" w:hAnsi="Palatino Linotype" w:cs="Times New Roman"/>
          <w:sz w:val="20"/>
          <w:szCs w:val="20"/>
          <w:lang w:val="en-GB"/>
        </w:rPr>
      </w:pPr>
    </w:p>
    <w:p w14:paraId="2CEBA91A" w14:textId="35F630A4" w:rsidR="00984EB9" w:rsidRPr="001854DB" w:rsidRDefault="00AD0CFF" w:rsidP="001854DB">
      <w:pPr>
        <w:adjustRightInd w:val="0"/>
        <w:snapToGrid w:val="0"/>
        <w:spacing w:before="120" w:after="240" w:line="260" w:lineRule="atLeast"/>
        <w:ind w:left="425" w:right="425"/>
        <w:jc w:val="both"/>
        <w:rPr>
          <w:rFonts w:ascii="Palatino Linotype" w:hAnsi="Palatino Linotype" w:cs="Times New Roman"/>
          <w:color w:val="000000"/>
          <w:sz w:val="20"/>
          <w:szCs w:val="20"/>
          <w:lang w:val="en-GB"/>
        </w:rPr>
      </w:pPr>
      <w:r w:rsidRPr="001854D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Figure S2</w:t>
      </w:r>
      <w:r w:rsidR="00823678" w:rsidRPr="001854D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:</w:t>
      </w:r>
      <w:r w:rsidR="00984EB9" w:rsidRPr="001854D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 NYHA functional class at follow-up according to residual pulmonary hypertension</w:t>
      </w:r>
    </w:p>
    <w:p w14:paraId="67C30ACE" w14:textId="069AD329" w:rsidR="00984EB9" w:rsidRPr="001854DB" w:rsidRDefault="00984EB9" w:rsidP="001854DB">
      <w:pPr>
        <w:adjustRightInd w:val="0"/>
        <w:snapToGrid w:val="0"/>
        <w:spacing w:before="120" w:after="240" w:line="260" w:lineRule="atLeast"/>
        <w:ind w:left="425" w:right="425"/>
        <w:jc w:val="both"/>
        <w:rPr>
          <w:rFonts w:ascii="Palatino Linotype" w:hAnsi="Palatino Linotype" w:cs="Times New Roman"/>
          <w:color w:val="000000"/>
          <w:sz w:val="20"/>
          <w:szCs w:val="20"/>
          <w:lang w:val="en-GB"/>
        </w:rPr>
      </w:pPr>
      <w:r w:rsidRPr="001854D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PH</w:t>
      </w:r>
      <w:r w:rsidR="0011289C" w:rsidRPr="001854DB">
        <w:rPr>
          <w:rFonts w:ascii="Palatino Linotype" w:eastAsia="Times New Roman" w:hAnsi="Palatino Linotype" w:cs="Times New Roman"/>
          <w:color w:val="000000"/>
          <w:sz w:val="20"/>
          <w:szCs w:val="20"/>
          <w:lang w:val="en-GB"/>
        </w:rPr>
        <w:t xml:space="preserve"> </w:t>
      </w:r>
      <w:r w:rsidR="001854DB">
        <w:rPr>
          <w:rFonts w:ascii="Palatino Linotype" w:eastAsia="Times New Roman" w:hAnsi="Palatino Linotype" w:cs="Times New Roman"/>
          <w:color w:val="000000"/>
          <w:sz w:val="20"/>
          <w:szCs w:val="20"/>
          <w:lang w:val="en-GB"/>
        </w:rPr>
        <w:t xml:space="preserve">- </w:t>
      </w:r>
      <w:r w:rsidRPr="001854D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pulmonary hypertension.</w:t>
      </w:r>
    </w:p>
    <w:p w14:paraId="4082822A" w14:textId="77777777" w:rsidR="005E221A" w:rsidRDefault="005E221A"/>
    <w:sectPr w:rsidR="005E221A" w:rsidSect="00E6379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EB9"/>
    <w:rsid w:val="0011289C"/>
    <w:rsid w:val="001854DB"/>
    <w:rsid w:val="005E221A"/>
    <w:rsid w:val="00823678"/>
    <w:rsid w:val="00984EB9"/>
    <w:rsid w:val="00AD0CFF"/>
    <w:rsid w:val="00E6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4267416"/>
  <w14:defaultImageDpi w14:val="300"/>
  <w15:docId w15:val="{60402A06-2E01-604C-B161-055FDCED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4EB9"/>
    <w:pPr>
      <w:ind w:left="720"/>
      <w:contextualSpacing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Dovile</dc:creator>
  <cp:keywords/>
  <dc:description/>
  <cp:lastModifiedBy>Dovilė Jančauskaitė</cp:lastModifiedBy>
  <cp:revision>5</cp:revision>
  <dcterms:created xsi:type="dcterms:W3CDTF">2019-05-07T09:31:00Z</dcterms:created>
  <dcterms:modified xsi:type="dcterms:W3CDTF">2020-04-22T13:02:00Z</dcterms:modified>
</cp:coreProperties>
</file>