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C58B91" w14:textId="5F28ECF0" w:rsidR="00536B52" w:rsidRPr="00F450A8" w:rsidRDefault="00536B52" w:rsidP="009321E8">
      <w:pPr>
        <w:pStyle w:val="MDPI12title"/>
        <w:spacing w:line="240" w:lineRule="atLeast"/>
        <w:jc w:val="both"/>
        <w:rPr>
          <w:sz w:val="24"/>
          <w:szCs w:val="24"/>
        </w:rPr>
      </w:pPr>
      <w:r w:rsidRPr="00536B52">
        <w:rPr>
          <w:sz w:val="24"/>
          <w:szCs w:val="24"/>
        </w:rPr>
        <w:t xml:space="preserve">Supplementary Material: </w:t>
      </w:r>
      <w:r w:rsidR="00F450A8" w:rsidRPr="00F450A8">
        <w:rPr>
          <w:sz w:val="24"/>
          <w:szCs w:val="24"/>
        </w:rPr>
        <w:t>Shotgun proteomics of ascidians tunic gives new insights on host-microbe interactions by revealing diverse antimicrobial peptides</w:t>
      </w:r>
    </w:p>
    <w:p w14:paraId="1087F519" w14:textId="24F6E50A" w:rsidR="00536B52" w:rsidRPr="00003E4E" w:rsidRDefault="00536B52" w:rsidP="00536B52">
      <w:pPr>
        <w:pStyle w:val="MDPI13authornames"/>
        <w:jc w:val="both"/>
        <w:rPr>
          <w:lang w:val="pt-PT"/>
        </w:rPr>
      </w:pPr>
      <w:r w:rsidRPr="00966CEB">
        <w:rPr>
          <w:lang w:val="pt-PT"/>
        </w:rPr>
        <w:t>Ana Matos</w:t>
      </w:r>
      <w:r w:rsidRPr="00966CEB">
        <w:rPr>
          <w:vertAlign w:val="superscript"/>
          <w:lang w:val="pt-PT"/>
        </w:rPr>
        <w:t>1,2</w:t>
      </w:r>
      <w:r w:rsidRPr="00966CEB">
        <w:rPr>
          <w:lang w:val="pt-PT"/>
        </w:rPr>
        <w:t>, Dany Domínguez-Pérez</w:t>
      </w:r>
      <w:r w:rsidRPr="00966CEB">
        <w:rPr>
          <w:vertAlign w:val="superscript"/>
          <w:lang w:val="pt-PT"/>
        </w:rPr>
        <w:t>1</w:t>
      </w:r>
      <w:r w:rsidRPr="00966CEB">
        <w:rPr>
          <w:lang w:val="pt-PT"/>
        </w:rPr>
        <w:t>, Daniela Almeida</w:t>
      </w:r>
      <w:r w:rsidRPr="00966CEB">
        <w:rPr>
          <w:vertAlign w:val="superscript"/>
          <w:lang w:val="pt-PT"/>
        </w:rPr>
        <w:t>1</w:t>
      </w:r>
      <w:r w:rsidRPr="00966CEB">
        <w:rPr>
          <w:lang w:val="pt-PT"/>
        </w:rPr>
        <w:t>, Guillermin Agüero-Chapin</w:t>
      </w:r>
      <w:r w:rsidRPr="00966CEB">
        <w:rPr>
          <w:vertAlign w:val="superscript"/>
          <w:lang w:val="pt-PT"/>
        </w:rPr>
        <w:t>1</w:t>
      </w:r>
      <w:r w:rsidR="00524DFB">
        <w:rPr>
          <w:vertAlign w:val="superscript"/>
          <w:lang w:val="pt-PT"/>
        </w:rPr>
        <w:t>,2</w:t>
      </w:r>
      <w:r w:rsidRPr="00966CEB">
        <w:rPr>
          <w:lang w:val="pt-PT"/>
        </w:rPr>
        <w:t>, Alexandre Campos</w:t>
      </w:r>
      <w:r w:rsidRPr="00966CEB">
        <w:rPr>
          <w:vertAlign w:val="superscript"/>
          <w:lang w:val="pt-PT"/>
        </w:rPr>
        <w:t>1,2</w:t>
      </w:r>
      <w:r w:rsidRPr="00966CEB">
        <w:rPr>
          <w:lang w:val="pt-PT"/>
        </w:rPr>
        <w:t>, Hugo Osório</w:t>
      </w:r>
      <w:r w:rsidRPr="00966CEB">
        <w:rPr>
          <w:vertAlign w:val="superscript"/>
          <w:lang w:val="pt-PT"/>
        </w:rPr>
        <w:t>3,4,5</w:t>
      </w:r>
      <w:r w:rsidRPr="00966CEB">
        <w:rPr>
          <w:lang w:val="pt-PT"/>
        </w:rPr>
        <w:t>, V</w:t>
      </w:r>
      <w:r w:rsidRPr="00003E4E">
        <w:rPr>
          <w:lang w:val="pt-PT"/>
        </w:rPr>
        <w:t>itor Vasconcelos</w:t>
      </w:r>
      <w:r w:rsidRPr="00003E4E">
        <w:rPr>
          <w:vertAlign w:val="superscript"/>
          <w:lang w:val="pt-PT"/>
        </w:rPr>
        <w:t>1,2</w:t>
      </w:r>
      <w:r w:rsidRPr="00003E4E">
        <w:rPr>
          <w:lang w:val="pt-PT"/>
        </w:rPr>
        <w:t>, and Agostinho Antunes</w:t>
      </w:r>
      <w:r w:rsidRPr="00003E4E">
        <w:rPr>
          <w:vertAlign w:val="superscript"/>
          <w:lang w:val="pt-PT"/>
        </w:rPr>
        <w:t>1,2,</w:t>
      </w:r>
      <w:r w:rsidRPr="00003E4E">
        <w:rPr>
          <w:lang w:val="pt-PT"/>
        </w:rPr>
        <w:t>*</w:t>
      </w:r>
    </w:p>
    <w:p w14:paraId="4AD27522" w14:textId="5286A9C6" w:rsidR="00536B52" w:rsidRPr="00003E4E" w:rsidRDefault="00536B52" w:rsidP="00536B52">
      <w:pPr>
        <w:pStyle w:val="MDPI16affiliation"/>
        <w:jc w:val="both"/>
        <w:rPr>
          <w:lang w:val="pt-PT"/>
        </w:rPr>
      </w:pPr>
      <w:r w:rsidRPr="00003E4E">
        <w:rPr>
          <w:vertAlign w:val="superscript"/>
          <w:lang w:val="pt-PT"/>
        </w:rPr>
        <w:t>1</w:t>
      </w:r>
      <w:r w:rsidRPr="00003E4E">
        <w:rPr>
          <w:lang w:val="pt-PT"/>
        </w:rPr>
        <w:tab/>
        <w:t>CIIMAR/CIMAR, Interdisciplinary Centre of Marine and Environmental Research, University of Porto, Terminal de Cruzeiros do Porto de Leixões, Av. General Norton de Matos, s/n, 4450-208 Porto, Portugal;</w:t>
      </w:r>
      <w:r w:rsidRPr="007C2C6E">
        <w:rPr>
          <w:lang w:val="pt-PT"/>
        </w:rPr>
        <w:t xml:space="preserve"> ana</w:t>
      </w:r>
      <w:r>
        <w:rPr>
          <w:lang w:val="pt-PT"/>
        </w:rPr>
        <w:t>bastosmatos@gmail.com</w:t>
      </w:r>
      <w:r w:rsidRPr="007C2C6E">
        <w:rPr>
          <w:lang w:val="pt-PT"/>
        </w:rPr>
        <w:t xml:space="preserve"> (A.M.); dany.perez@ciimar.up.pt (D.D.-P.); danielaalmeida23@gmail.com (D.A.);</w:t>
      </w:r>
      <w:r>
        <w:rPr>
          <w:lang w:val="pt-PT"/>
        </w:rPr>
        <w:t xml:space="preserve"> </w:t>
      </w:r>
      <w:r w:rsidR="00524DFB" w:rsidRPr="00070D2F">
        <w:rPr>
          <w:lang w:val="pt-PT"/>
        </w:rPr>
        <w:t>gchapin@ciimar.up.pt (G.A.-Ch.)</w:t>
      </w:r>
      <w:r>
        <w:rPr>
          <w:lang w:val="pt-PT"/>
        </w:rPr>
        <w:t>;</w:t>
      </w:r>
      <w:r w:rsidRPr="007C2C6E">
        <w:rPr>
          <w:lang w:val="pt-PT"/>
        </w:rPr>
        <w:t xml:space="preserve"> amoclclix@gmail.com (A.C.); vmvascon@fc.up.pt (V.V.); aantunes@ciimar.up.pt (A.A.).</w:t>
      </w:r>
    </w:p>
    <w:p w14:paraId="06E463E9" w14:textId="77777777" w:rsidR="00536B52" w:rsidRDefault="00536B52" w:rsidP="00536B52">
      <w:pPr>
        <w:pStyle w:val="MDPI16affiliation"/>
        <w:jc w:val="both"/>
        <w:rPr>
          <w:lang w:val="pt-PT"/>
        </w:rPr>
      </w:pPr>
      <w:r w:rsidRPr="00003E4E">
        <w:rPr>
          <w:szCs w:val="20"/>
          <w:vertAlign w:val="superscript"/>
          <w:lang w:val="pt-PT"/>
        </w:rPr>
        <w:t>2</w:t>
      </w:r>
      <w:r w:rsidRPr="00003E4E">
        <w:rPr>
          <w:szCs w:val="20"/>
          <w:lang w:val="pt-PT"/>
        </w:rPr>
        <w:tab/>
      </w:r>
      <w:r w:rsidRPr="00003E4E">
        <w:rPr>
          <w:lang w:val="pt-PT"/>
        </w:rPr>
        <w:t>Biology Department, Faculty of Sciences, University of Porto, Rua do Campo Alegre, s/n, 4169-007 Porto, Portugal</w:t>
      </w:r>
      <w:r>
        <w:rPr>
          <w:lang w:val="pt-PT"/>
        </w:rPr>
        <w:t>.</w:t>
      </w:r>
    </w:p>
    <w:p w14:paraId="02D98ADC" w14:textId="77777777" w:rsidR="00536B52" w:rsidRPr="007C2C6E" w:rsidRDefault="00536B52" w:rsidP="00536B52">
      <w:pPr>
        <w:pStyle w:val="MDPI16affiliation"/>
        <w:jc w:val="both"/>
        <w:rPr>
          <w:lang w:val="pt-PT"/>
        </w:rPr>
      </w:pPr>
      <w:r>
        <w:rPr>
          <w:szCs w:val="20"/>
          <w:vertAlign w:val="superscript"/>
          <w:lang w:val="pt-PT"/>
        </w:rPr>
        <w:t>3</w:t>
      </w:r>
      <w:r w:rsidRPr="00003E4E">
        <w:rPr>
          <w:szCs w:val="20"/>
          <w:lang w:val="pt-PT"/>
        </w:rPr>
        <w:tab/>
      </w:r>
      <w:r w:rsidRPr="00003E4E">
        <w:rPr>
          <w:lang w:val="pt-PT"/>
        </w:rPr>
        <w:t>Instituto de Investigação e Inovação em Saúde- i3S, Universidade do Porto, Rua Alfredo Allen, 208, 4200-135 Porto, Portugal</w:t>
      </w:r>
      <w:r>
        <w:rPr>
          <w:lang w:val="pt-PT"/>
        </w:rPr>
        <w:t xml:space="preserve">; </w:t>
      </w:r>
      <w:r w:rsidRPr="007C2C6E">
        <w:rPr>
          <w:rFonts w:cs="Calibri"/>
          <w:shd w:val="clear" w:color="auto" w:fill="FFFFFF"/>
          <w:lang w:val="pt-PT"/>
        </w:rPr>
        <w:t>hosorio@ipatimup.pt</w:t>
      </w:r>
      <w:r w:rsidRPr="007C2C6E">
        <w:rPr>
          <w:rFonts w:cs="Calibri"/>
          <w:lang w:val="pt-PT"/>
        </w:rPr>
        <w:t xml:space="preserve"> (H.O.).</w:t>
      </w:r>
    </w:p>
    <w:p w14:paraId="6EB0C9A6" w14:textId="77777777" w:rsidR="00536B52" w:rsidRDefault="00536B52" w:rsidP="00536B52">
      <w:pPr>
        <w:pStyle w:val="MDPI16affiliation"/>
        <w:jc w:val="both"/>
        <w:rPr>
          <w:lang w:val="en-GB"/>
        </w:rPr>
      </w:pPr>
      <w:r>
        <w:rPr>
          <w:szCs w:val="20"/>
          <w:vertAlign w:val="superscript"/>
          <w:lang w:val="en-GB"/>
        </w:rPr>
        <w:t>4</w:t>
      </w:r>
      <w:r w:rsidRPr="00003E4E">
        <w:rPr>
          <w:szCs w:val="20"/>
          <w:lang w:val="en-GB"/>
        </w:rPr>
        <w:tab/>
      </w:r>
      <w:proofErr w:type="spellStart"/>
      <w:r w:rsidRPr="00003E4E">
        <w:rPr>
          <w:lang w:val="en-GB"/>
        </w:rPr>
        <w:t>Ipatimup</w:t>
      </w:r>
      <w:proofErr w:type="spellEnd"/>
      <w:r w:rsidRPr="00003E4E">
        <w:rPr>
          <w:lang w:val="en-GB"/>
        </w:rPr>
        <w:t xml:space="preserve">, Institute of Molecular Pathology and Immunology of the University of Porto, </w:t>
      </w:r>
      <w:proofErr w:type="spellStart"/>
      <w:r w:rsidRPr="00003E4E">
        <w:rPr>
          <w:lang w:val="en-GB"/>
        </w:rPr>
        <w:t>Rua</w:t>
      </w:r>
      <w:proofErr w:type="spellEnd"/>
      <w:r w:rsidRPr="00003E4E">
        <w:rPr>
          <w:lang w:val="en-GB"/>
        </w:rPr>
        <w:t xml:space="preserve"> Júlio Amaral de Carvalho, 45, 4200-135 Porto, Portugal</w:t>
      </w:r>
      <w:r>
        <w:rPr>
          <w:lang w:val="en-GB"/>
        </w:rPr>
        <w:t>.</w:t>
      </w:r>
    </w:p>
    <w:p w14:paraId="0F34DA33" w14:textId="77777777" w:rsidR="00536B52" w:rsidRPr="007C2C6E" w:rsidRDefault="00536B52" w:rsidP="00536B52">
      <w:pPr>
        <w:pStyle w:val="MDPI16affiliation"/>
        <w:jc w:val="both"/>
        <w:rPr>
          <w:lang w:val="pt-PT"/>
        </w:rPr>
      </w:pPr>
      <w:r>
        <w:rPr>
          <w:szCs w:val="20"/>
          <w:vertAlign w:val="superscript"/>
          <w:lang w:val="en-GB"/>
        </w:rPr>
        <w:t>5</w:t>
      </w:r>
      <w:r w:rsidRPr="00003E4E">
        <w:rPr>
          <w:szCs w:val="20"/>
          <w:lang w:val="en-GB"/>
        </w:rPr>
        <w:tab/>
      </w:r>
      <w:r w:rsidRPr="00003E4E">
        <w:rPr>
          <w:lang w:val="en-GB"/>
        </w:rPr>
        <w:t xml:space="preserve">Department of Pathology and Oncology, Faculty of Medicine, University of Porto, Al. </w:t>
      </w:r>
      <w:r w:rsidRPr="007C2C6E">
        <w:rPr>
          <w:lang w:val="pt-PT"/>
        </w:rPr>
        <w:t>Prof. Hernâni Monteiro, 4200-319 Porto, Portugal.</w:t>
      </w:r>
    </w:p>
    <w:p w14:paraId="79A38880" w14:textId="77777777" w:rsidR="00536B52" w:rsidRPr="00966CEB" w:rsidRDefault="00536B52" w:rsidP="00536B52">
      <w:pPr>
        <w:pStyle w:val="MDPI14history"/>
        <w:spacing w:before="0"/>
        <w:ind w:left="311" w:hanging="198"/>
        <w:jc w:val="both"/>
        <w:rPr>
          <w:lang w:val="pt-PT"/>
        </w:rPr>
      </w:pPr>
      <w:r w:rsidRPr="00966CEB">
        <w:rPr>
          <w:b/>
          <w:lang w:val="pt-PT"/>
        </w:rPr>
        <w:t>*</w:t>
      </w:r>
      <w:r w:rsidRPr="00966CEB">
        <w:rPr>
          <w:lang w:val="pt-PT"/>
        </w:rPr>
        <w:tab/>
        <w:t>Correspondence: aantunes@ciimar.up.pt; Tel.: +351-22-340-1813</w:t>
      </w:r>
    </w:p>
    <w:p w14:paraId="725D5EFE" w14:textId="77777777" w:rsidR="00536B52" w:rsidRPr="00A851FF" w:rsidRDefault="00536B52">
      <w:pPr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eastAsia="de-DE" w:bidi="en-US"/>
        </w:rPr>
      </w:pPr>
    </w:p>
    <w:p w14:paraId="0312314F" w14:textId="055FC2FA" w:rsidR="00536B52" w:rsidRPr="00F450A8" w:rsidRDefault="00536B52" w:rsidP="00F42128">
      <w:pPr>
        <w:jc w:val="both"/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</w:pPr>
      <w:r w:rsidRPr="00BF5A9D">
        <w:rPr>
          <w:rFonts w:ascii="Palatino Linotype" w:eastAsia="Times New Roman" w:hAnsi="Palatino Linotype" w:cs="Calibri"/>
          <w:b/>
          <w:bCs/>
          <w:color w:val="000000"/>
          <w:sz w:val="20"/>
          <w:szCs w:val="20"/>
          <w:shd w:val="clear" w:color="auto" w:fill="FFFFFF"/>
          <w:lang w:val="en-GB" w:eastAsia="de-DE" w:bidi="en-US"/>
        </w:rPr>
        <w:t>Dataset S1</w:t>
      </w:r>
      <w:r w:rsidR="00A851FF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—</w:t>
      </w:r>
      <w:r w:rsidR="001F6A97" w:rsidRPr="00F42128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Proteome Discoverer</w:t>
      </w:r>
      <w:r w:rsidR="00BF5A9D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 </w:t>
      </w:r>
      <w:r w:rsidR="00002B20" w:rsidRPr="00002B20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2.2.0.388 software (Thermo Scientific) </w:t>
      </w:r>
      <w:r w:rsidR="001F6A97" w:rsidRPr="00F42128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output files. </w:t>
      </w:r>
      <w:r w:rsidR="001F6A97" w:rsidRPr="00BF5A9D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12 output files</w:t>
      </w:r>
      <w:r w:rsidR="00BF5A9D" w:rsidRPr="00BF5A9D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 </w:t>
      </w:r>
      <w:r w:rsidR="00BF5A9D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comprising two replicates from the three studied species.</w:t>
      </w:r>
      <w:r w:rsidR="001F6A97" w:rsidRPr="00BF5A9D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 6</w:t>
      </w:r>
      <w:r w:rsidR="00BF5A9D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 output files</w:t>
      </w:r>
      <w:r w:rsidR="001F6A97" w:rsidRPr="00BF5A9D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 regarding Metazoa section and 6 associated to Bacteria section. </w:t>
      </w:r>
      <w:r w:rsidR="00E15698" w:rsidRPr="00BF5A9D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Within each taxonomic section, e</w:t>
      </w:r>
      <w:r w:rsidR="001F6A97" w:rsidRPr="00BF5A9D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ach species has 2 output files. </w:t>
      </w:r>
      <w:r w:rsidR="001F6A97" w:rsidRPr="00F450A8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Files are named under the following designation “A_B” where A designates the species name (Ca</w:t>
      </w:r>
      <w:r w:rsidR="00A851FF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—</w:t>
      </w:r>
      <w:proofErr w:type="spellStart"/>
      <w:r w:rsidR="001F6A97" w:rsidRPr="00F450A8">
        <w:rPr>
          <w:rFonts w:ascii="Palatino Linotype" w:eastAsia="Times New Roman" w:hAnsi="Palatino Linotype" w:cs="Calibri"/>
          <w:i/>
          <w:iCs/>
          <w:color w:val="000000"/>
          <w:sz w:val="20"/>
          <w:szCs w:val="20"/>
          <w:shd w:val="clear" w:color="auto" w:fill="FFFFFF"/>
          <w:lang w:val="en-GB" w:eastAsia="de-DE" w:bidi="en-US"/>
        </w:rPr>
        <w:t>Ciona</w:t>
      </w:r>
      <w:proofErr w:type="spellEnd"/>
      <w:r w:rsidR="001F6A97" w:rsidRPr="00F450A8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 sp., Ma</w:t>
      </w:r>
      <w:r w:rsidR="00A851FF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—</w:t>
      </w:r>
      <w:proofErr w:type="spellStart"/>
      <w:r w:rsidR="001F6A97" w:rsidRPr="00F450A8">
        <w:rPr>
          <w:rFonts w:ascii="Palatino Linotype" w:eastAsia="Times New Roman" w:hAnsi="Palatino Linotype" w:cs="Calibri"/>
          <w:i/>
          <w:iCs/>
          <w:color w:val="000000"/>
          <w:sz w:val="20"/>
          <w:szCs w:val="20"/>
          <w:shd w:val="clear" w:color="auto" w:fill="FFFFFF"/>
          <w:lang w:val="en-GB" w:eastAsia="de-DE" w:bidi="en-US"/>
        </w:rPr>
        <w:t>Molgula</w:t>
      </w:r>
      <w:proofErr w:type="spellEnd"/>
      <w:r w:rsidR="001F6A97" w:rsidRPr="00F450A8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 sp. and Pa</w:t>
      </w:r>
      <w:r w:rsidR="00A851FF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—</w:t>
      </w:r>
      <w:proofErr w:type="spellStart"/>
      <w:r w:rsidR="00522216">
        <w:rPr>
          <w:rFonts w:ascii="Palatino Linotype" w:eastAsia="Times New Roman" w:hAnsi="Palatino Linotype" w:cs="Calibri"/>
          <w:i/>
          <w:iCs/>
          <w:color w:val="000000"/>
          <w:sz w:val="20"/>
          <w:szCs w:val="20"/>
          <w:shd w:val="clear" w:color="auto" w:fill="FFFFFF"/>
          <w:lang w:val="en-GB" w:eastAsia="de-DE" w:bidi="en-US"/>
        </w:rPr>
        <w:t>Microcosmus</w:t>
      </w:r>
      <w:proofErr w:type="spellEnd"/>
      <w:r w:rsidR="001F6A97" w:rsidRPr="00F450A8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 sp.) and B to which section derives the file (Bacteria or Metazoa).</w:t>
      </w:r>
    </w:p>
    <w:p w14:paraId="6BFA6110" w14:textId="05FC4368" w:rsidR="00E15698" w:rsidRPr="00F450A8" w:rsidRDefault="00E15698" w:rsidP="00F42128">
      <w:pPr>
        <w:jc w:val="both"/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</w:pPr>
      <w:r w:rsidRPr="00F450A8">
        <w:rPr>
          <w:rFonts w:ascii="Palatino Linotype" w:eastAsia="Times New Roman" w:hAnsi="Palatino Linotype" w:cs="Calibri"/>
          <w:b/>
          <w:bCs/>
          <w:color w:val="000000"/>
          <w:sz w:val="20"/>
          <w:szCs w:val="20"/>
          <w:shd w:val="clear" w:color="auto" w:fill="FFFFFF"/>
          <w:lang w:val="en-GB" w:eastAsia="de-DE" w:bidi="en-US"/>
        </w:rPr>
        <w:t>Table S1</w:t>
      </w:r>
      <w:r w:rsidR="00A851FF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—</w:t>
      </w:r>
      <w:r w:rsidRPr="00F450A8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Detailed information of Gene ontology obtained with Blast2Go software. </w:t>
      </w:r>
      <w:r w:rsidRPr="00BF5A9D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The present table includes the number and the respective accession number of the sequences associated to each GO term to each ascidian species (Ca</w:t>
      </w:r>
      <w:r w:rsidR="00A851FF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—</w:t>
      </w:r>
      <w:proofErr w:type="spellStart"/>
      <w:r w:rsidRPr="00BF5A9D">
        <w:rPr>
          <w:rFonts w:ascii="Palatino Linotype" w:eastAsia="Times New Roman" w:hAnsi="Palatino Linotype" w:cs="Calibri"/>
          <w:i/>
          <w:iCs/>
          <w:color w:val="000000"/>
          <w:sz w:val="20"/>
          <w:szCs w:val="20"/>
          <w:shd w:val="clear" w:color="auto" w:fill="FFFFFF"/>
          <w:lang w:val="en-GB" w:eastAsia="de-DE" w:bidi="en-US"/>
        </w:rPr>
        <w:t>Ciona</w:t>
      </w:r>
      <w:proofErr w:type="spellEnd"/>
      <w:r w:rsidRPr="00BF5A9D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 sp., Ma</w:t>
      </w:r>
      <w:r w:rsidR="00A851FF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—</w:t>
      </w:r>
      <w:proofErr w:type="spellStart"/>
      <w:r w:rsidRPr="00BF5A9D">
        <w:rPr>
          <w:rFonts w:ascii="Palatino Linotype" w:eastAsia="Times New Roman" w:hAnsi="Palatino Linotype" w:cs="Calibri"/>
          <w:i/>
          <w:iCs/>
          <w:color w:val="000000"/>
          <w:sz w:val="20"/>
          <w:szCs w:val="20"/>
          <w:shd w:val="clear" w:color="auto" w:fill="FFFFFF"/>
          <w:lang w:val="en-GB" w:eastAsia="de-DE" w:bidi="en-US"/>
        </w:rPr>
        <w:t>Molgula</w:t>
      </w:r>
      <w:proofErr w:type="spellEnd"/>
      <w:r w:rsidRPr="00BF5A9D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 sp. and Pa</w:t>
      </w:r>
      <w:r w:rsidR="00A851FF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—</w:t>
      </w:r>
      <w:proofErr w:type="spellStart"/>
      <w:r w:rsidR="00522216">
        <w:rPr>
          <w:rFonts w:ascii="Palatino Linotype" w:eastAsia="Times New Roman" w:hAnsi="Palatino Linotype" w:cs="Calibri"/>
          <w:i/>
          <w:iCs/>
          <w:color w:val="000000"/>
          <w:sz w:val="20"/>
          <w:szCs w:val="20"/>
          <w:shd w:val="clear" w:color="auto" w:fill="FFFFFF"/>
          <w:lang w:val="en-GB" w:eastAsia="de-DE" w:bidi="en-US"/>
        </w:rPr>
        <w:t>Microcosmus</w:t>
      </w:r>
      <w:proofErr w:type="spellEnd"/>
      <w:r w:rsidRPr="00BF5A9D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 sp.). </w:t>
      </w:r>
      <w:r w:rsidRPr="00F450A8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The analysis is according to the three main categories of Go distribution by level 2: Cellular Components (CC), Biological Process (BP) and Molecular Function (MF).</w:t>
      </w:r>
    </w:p>
    <w:p w14:paraId="7F6A99F3" w14:textId="095C1B4A" w:rsidR="00E15698" w:rsidRPr="00C56A67" w:rsidRDefault="001C6C36" w:rsidP="00F42128">
      <w:pPr>
        <w:jc w:val="both"/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</w:pPr>
      <w:r w:rsidRPr="00F450A8">
        <w:rPr>
          <w:rFonts w:ascii="Palatino Linotype" w:eastAsia="Times New Roman" w:hAnsi="Palatino Linotype" w:cs="Calibri"/>
          <w:b/>
          <w:bCs/>
          <w:color w:val="000000"/>
          <w:sz w:val="20"/>
          <w:szCs w:val="20"/>
          <w:shd w:val="clear" w:color="auto" w:fill="FFFFFF"/>
          <w:lang w:val="en-GB" w:eastAsia="de-DE" w:bidi="en-US"/>
        </w:rPr>
        <w:t>Table S2</w:t>
      </w:r>
      <w:r w:rsidR="00A851FF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—</w:t>
      </w:r>
      <w:r w:rsidRPr="00F450A8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Output files of Kyoto </w:t>
      </w:r>
      <w:proofErr w:type="spellStart"/>
      <w:r w:rsidRPr="00F450A8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Encyclopedia</w:t>
      </w:r>
      <w:proofErr w:type="spellEnd"/>
      <w:r w:rsidRPr="00F450A8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 of Genes and Genomes (KEGG) analyses. </w:t>
      </w:r>
      <w:r w:rsidRPr="00C56A67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In the table is </w:t>
      </w:r>
      <w:r w:rsidR="00C56A67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provided</w:t>
      </w:r>
      <w:r w:rsidRPr="00C56A67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 the number of enzymes (#Enzs in Pathway), the number of sequences of each enzyme (#Seqs of Enzyme), and their respective accession (</w:t>
      </w:r>
      <w:proofErr w:type="spellStart"/>
      <w:r w:rsidRPr="00C56A67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Seqs</w:t>
      </w:r>
      <w:proofErr w:type="spellEnd"/>
      <w:r w:rsidRPr="00C56A67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) number associated to each pathway for each ascidian’ species (Ca</w:t>
      </w:r>
      <w:r w:rsidR="00162F97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—</w:t>
      </w:r>
      <w:proofErr w:type="spellStart"/>
      <w:r w:rsidRPr="00C56A67">
        <w:rPr>
          <w:rFonts w:ascii="Palatino Linotype" w:eastAsia="Times New Roman" w:hAnsi="Palatino Linotype" w:cs="Calibri"/>
          <w:i/>
          <w:iCs/>
          <w:color w:val="000000"/>
          <w:sz w:val="20"/>
          <w:szCs w:val="20"/>
          <w:shd w:val="clear" w:color="auto" w:fill="FFFFFF"/>
          <w:lang w:val="en-GB" w:eastAsia="de-DE" w:bidi="en-US"/>
        </w:rPr>
        <w:t>Ciona</w:t>
      </w:r>
      <w:proofErr w:type="spellEnd"/>
      <w:r w:rsidRPr="00C56A67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 sp., Ma</w:t>
      </w:r>
      <w:r w:rsidR="00162F97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—</w:t>
      </w:r>
      <w:proofErr w:type="spellStart"/>
      <w:r w:rsidRPr="00C56A67">
        <w:rPr>
          <w:rFonts w:ascii="Palatino Linotype" w:eastAsia="Times New Roman" w:hAnsi="Palatino Linotype" w:cs="Calibri"/>
          <w:i/>
          <w:iCs/>
          <w:color w:val="000000"/>
          <w:sz w:val="20"/>
          <w:szCs w:val="20"/>
          <w:shd w:val="clear" w:color="auto" w:fill="FFFFFF"/>
          <w:lang w:val="en-GB" w:eastAsia="de-DE" w:bidi="en-US"/>
        </w:rPr>
        <w:t>Molgula</w:t>
      </w:r>
      <w:proofErr w:type="spellEnd"/>
      <w:r w:rsidRPr="00C56A67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 sp. and Pa</w:t>
      </w:r>
      <w:r w:rsidR="00162F97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—</w:t>
      </w:r>
      <w:proofErr w:type="spellStart"/>
      <w:r w:rsidR="00522216">
        <w:rPr>
          <w:rFonts w:ascii="Palatino Linotype" w:eastAsia="Times New Roman" w:hAnsi="Palatino Linotype" w:cs="Calibri"/>
          <w:i/>
          <w:iCs/>
          <w:color w:val="000000"/>
          <w:sz w:val="20"/>
          <w:szCs w:val="20"/>
          <w:shd w:val="clear" w:color="auto" w:fill="FFFFFF"/>
          <w:lang w:val="en-GB" w:eastAsia="de-DE" w:bidi="en-US"/>
        </w:rPr>
        <w:t>Microcosmus</w:t>
      </w:r>
      <w:proofErr w:type="spellEnd"/>
      <w:r w:rsidRPr="00C56A67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 sp.).</w:t>
      </w:r>
    </w:p>
    <w:p w14:paraId="37A0E8DA" w14:textId="7925E20C" w:rsidR="001C6C36" w:rsidRPr="00F450A8" w:rsidRDefault="001C6C36" w:rsidP="00F42128">
      <w:pPr>
        <w:jc w:val="both"/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</w:pPr>
      <w:r w:rsidRPr="00F450A8">
        <w:rPr>
          <w:rFonts w:ascii="Palatino Linotype" w:eastAsia="Times New Roman" w:hAnsi="Palatino Linotype" w:cs="Calibri"/>
          <w:b/>
          <w:bCs/>
          <w:color w:val="000000"/>
          <w:sz w:val="20"/>
          <w:szCs w:val="20"/>
          <w:shd w:val="clear" w:color="auto" w:fill="FFFFFF"/>
          <w:lang w:val="en-GB" w:eastAsia="de-DE" w:bidi="en-US"/>
        </w:rPr>
        <w:t>Table S3</w:t>
      </w:r>
      <w:r w:rsidR="00162F97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—</w:t>
      </w:r>
      <w:r w:rsidRPr="00F450A8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Output files from the species distribution tool available in Blast2Go software. It is presented the description of each species to their respective number of Blast hits (#BLAST Top-Hits) for each ascidian’ species (Ca</w:t>
      </w:r>
      <w:r w:rsidR="00162F97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—</w:t>
      </w:r>
      <w:proofErr w:type="spellStart"/>
      <w:r w:rsidRPr="00F450A8">
        <w:rPr>
          <w:rFonts w:ascii="Palatino Linotype" w:eastAsia="Times New Roman" w:hAnsi="Palatino Linotype" w:cs="Calibri"/>
          <w:i/>
          <w:iCs/>
          <w:color w:val="000000"/>
          <w:sz w:val="20"/>
          <w:szCs w:val="20"/>
          <w:shd w:val="clear" w:color="auto" w:fill="FFFFFF"/>
          <w:lang w:val="en-GB" w:eastAsia="de-DE" w:bidi="en-US"/>
        </w:rPr>
        <w:t>Ciona</w:t>
      </w:r>
      <w:proofErr w:type="spellEnd"/>
      <w:r w:rsidRPr="00F450A8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 sp., Ma</w:t>
      </w:r>
      <w:r w:rsidR="00162F97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—</w:t>
      </w:r>
      <w:proofErr w:type="spellStart"/>
      <w:r w:rsidRPr="00F450A8">
        <w:rPr>
          <w:rFonts w:ascii="Palatino Linotype" w:eastAsia="Times New Roman" w:hAnsi="Palatino Linotype" w:cs="Calibri"/>
          <w:i/>
          <w:iCs/>
          <w:color w:val="000000"/>
          <w:sz w:val="20"/>
          <w:szCs w:val="20"/>
          <w:shd w:val="clear" w:color="auto" w:fill="FFFFFF"/>
          <w:lang w:val="en-GB" w:eastAsia="de-DE" w:bidi="en-US"/>
        </w:rPr>
        <w:t>Molgula</w:t>
      </w:r>
      <w:proofErr w:type="spellEnd"/>
      <w:r w:rsidRPr="00F450A8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 sp. and Pa</w:t>
      </w:r>
      <w:r w:rsidR="00162F97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—</w:t>
      </w:r>
      <w:proofErr w:type="spellStart"/>
      <w:r w:rsidR="00522216">
        <w:rPr>
          <w:rFonts w:ascii="Palatino Linotype" w:eastAsia="Times New Roman" w:hAnsi="Palatino Linotype" w:cs="Calibri"/>
          <w:i/>
          <w:iCs/>
          <w:color w:val="000000"/>
          <w:sz w:val="20"/>
          <w:szCs w:val="20"/>
          <w:shd w:val="clear" w:color="auto" w:fill="FFFFFF"/>
          <w:lang w:val="en-GB" w:eastAsia="de-DE" w:bidi="en-US"/>
        </w:rPr>
        <w:t>Microcosmus</w:t>
      </w:r>
      <w:proofErr w:type="spellEnd"/>
      <w:r w:rsidRPr="00F450A8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 sp.).</w:t>
      </w:r>
    </w:p>
    <w:p w14:paraId="3311CA7D" w14:textId="395378E2" w:rsidR="001C6C36" w:rsidRDefault="001C6C36" w:rsidP="009E2615">
      <w:pPr>
        <w:jc w:val="both"/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</w:pPr>
      <w:r w:rsidRPr="00F42128">
        <w:rPr>
          <w:rFonts w:ascii="Palatino Linotype" w:eastAsia="Times New Roman" w:hAnsi="Palatino Linotype" w:cs="Calibri"/>
          <w:b/>
          <w:bCs/>
          <w:color w:val="000000"/>
          <w:sz w:val="20"/>
          <w:szCs w:val="20"/>
          <w:shd w:val="clear" w:color="auto" w:fill="FFFFFF"/>
          <w:lang w:val="en-GB" w:eastAsia="de-DE" w:bidi="en-US"/>
        </w:rPr>
        <w:t>Table S4</w:t>
      </w:r>
      <w:r w:rsidR="00162F97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—</w:t>
      </w:r>
      <w:r w:rsidR="009E2615" w:rsidRPr="009E2615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Detailed information of the Antimicrobial peptides</w:t>
      </w:r>
      <w:r w:rsidR="006163F6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’</w:t>
      </w:r>
      <w:r w:rsidR="009E2615" w:rsidRPr="009E2615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 analyses identified with </w:t>
      </w:r>
      <w:proofErr w:type="spellStart"/>
      <w:r w:rsidR="009E2615" w:rsidRPr="009E2615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MaxQuant</w:t>
      </w:r>
      <w:proofErr w:type="spellEnd"/>
      <w:r w:rsidR="009E2615" w:rsidRPr="009E2615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. The table contains the complete description of the AMPs identified in the three studied species, their identification name in the databases (</w:t>
      </w:r>
      <w:proofErr w:type="spellStart"/>
      <w:r w:rsidR="009E2615" w:rsidRPr="009E2615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ID_Name</w:t>
      </w:r>
      <w:proofErr w:type="spellEnd"/>
      <w:r w:rsidR="009E2615" w:rsidRPr="009E2615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), number of protein groups, original database from which were retrieved, their focus, main activity and peptide sequence.</w:t>
      </w:r>
    </w:p>
    <w:p w14:paraId="0C923F70" w14:textId="0227F89A" w:rsidR="000660EC" w:rsidRDefault="000660EC" w:rsidP="009E2615">
      <w:pPr>
        <w:jc w:val="both"/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</w:pPr>
      <w:r w:rsidRPr="006163F6">
        <w:rPr>
          <w:rFonts w:ascii="Palatino Linotype" w:eastAsia="Times New Roman" w:hAnsi="Palatino Linotype" w:cs="Calibri"/>
          <w:b/>
          <w:bCs/>
          <w:color w:val="000000"/>
          <w:sz w:val="20"/>
          <w:szCs w:val="20"/>
          <w:shd w:val="clear" w:color="auto" w:fill="FFFFFF"/>
          <w:lang w:val="en-GB" w:eastAsia="de-DE" w:bidi="en-US"/>
        </w:rPr>
        <w:t>Table S5</w:t>
      </w:r>
      <w:r w:rsidR="00162F97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—</w:t>
      </w:r>
      <w:r w:rsidRPr="000660EC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The original </w:t>
      </w:r>
      <w:proofErr w:type="spellStart"/>
      <w:r w:rsidRPr="000660EC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MaxQuant</w:t>
      </w:r>
      <w:proofErr w:type="spellEnd"/>
      <w:r w:rsidRPr="000660EC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 output file containing all the identified proteins clustered together with AMPs</w:t>
      </w:r>
      <w:r w:rsidR="006163F6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.</w:t>
      </w:r>
    </w:p>
    <w:p w14:paraId="34793226" w14:textId="7C99FCEC" w:rsidR="00185BA6" w:rsidRPr="00F42128" w:rsidRDefault="00185BA6" w:rsidP="009E2615">
      <w:pPr>
        <w:jc w:val="both"/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</w:pPr>
      <w:r w:rsidRPr="00185BA6">
        <w:rPr>
          <w:rFonts w:ascii="Palatino Linotype" w:eastAsia="Times New Roman" w:hAnsi="Palatino Linotype" w:cs="Calibri"/>
          <w:b/>
          <w:bCs/>
          <w:color w:val="000000"/>
          <w:sz w:val="20"/>
          <w:szCs w:val="20"/>
          <w:shd w:val="clear" w:color="auto" w:fill="FFFFFF"/>
          <w:lang w:val="en-GB" w:eastAsia="de-DE" w:bidi="en-US"/>
        </w:rPr>
        <w:lastRenderedPageBreak/>
        <w:t>Figure S1</w:t>
      </w:r>
      <w:r w:rsidR="00162F97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—</w:t>
      </w:r>
      <w:r w:rsidRPr="00185BA6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Representative LC-MS chromatogram. The figure displays the Total Ion Current - TIC and the relative abundance of the sample peptide ions acquired during the chromatographic separation corresponding to: A and B</w:t>
      </w:r>
      <w:r w:rsidR="00EA110B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—</w:t>
      </w:r>
      <w:r w:rsidRPr="00185BA6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technical replicates of </w:t>
      </w:r>
      <w:proofErr w:type="spellStart"/>
      <w:r w:rsidRPr="003F612D">
        <w:rPr>
          <w:rFonts w:ascii="Palatino Linotype" w:eastAsia="Times New Roman" w:hAnsi="Palatino Linotype" w:cs="Calibri"/>
          <w:i/>
          <w:iCs/>
          <w:color w:val="000000"/>
          <w:sz w:val="20"/>
          <w:szCs w:val="20"/>
          <w:shd w:val="clear" w:color="auto" w:fill="FFFFFF"/>
          <w:lang w:val="en-GB" w:eastAsia="de-DE" w:bidi="en-US"/>
        </w:rPr>
        <w:t>Ciona</w:t>
      </w:r>
      <w:proofErr w:type="spellEnd"/>
      <w:r w:rsidRPr="00185BA6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 sp., C and D</w:t>
      </w:r>
      <w:r w:rsidR="00EA110B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—</w:t>
      </w:r>
      <w:r w:rsidRPr="00185BA6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technical replicates of </w:t>
      </w:r>
      <w:proofErr w:type="spellStart"/>
      <w:r w:rsidRPr="003F612D">
        <w:rPr>
          <w:rFonts w:ascii="Palatino Linotype" w:eastAsia="Times New Roman" w:hAnsi="Palatino Linotype" w:cs="Calibri"/>
          <w:i/>
          <w:iCs/>
          <w:color w:val="000000"/>
          <w:sz w:val="20"/>
          <w:szCs w:val="20"/>
          <w:shd w:val="clear" w:color="auto" w:fill="FFFFFF"/>
          <w:lang w:val="en-GB" w:eastAsia="de-DE" w:bidi="en-US"/>
        </w:rPr>
        <w:t>Molgula</w:t>
      </w:r>
      <w:proofErr w:type="spellEnd"/>
      <w:r w:rsidRPr="00185BA6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 sp., E and F</w:t>
      </w:r>
      <w:r w:rsidR="00EA110B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—</w:t>
      </w:r>
      <w:r w:rsidRPr="00185BA6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technical replicates of </w:t>
      </w:r>
      <w:proofErr w:type="spellStart"/>
      <w:r w:rsidRPr="003F612D">
        <w:rPr>
          <w:rFonts w:ascii="Palatino Linotype" w:eastAsia="Times New Roman" w:hAnsi="Palatino Linotype" w:cs="Calibri"/>
          <w:i/>
          <w:iCs/>
          <w:color w:val="000000"/>
          <w:sz w:val="20"/>
          <w:szCs w:val="20"/>
          <w:shd w:val="clear" w:color="auto" w:fill="FFFFFF"/>
          <w:lang w:val="en-GB" w:eastAsia="de-DE" w:bidi="en-US"/>
        </w:rPr>
        <w:t>Microcosmus</w:t>
      </w:r>
      <w:proofErr w:type="spellEnd"/>
      <w:r w:rsidRPr="00185BA6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 xml:space="preserve"> sp</w:t>
      </w:r>
      <w:r w:rsidR="00EA110B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.</w:t>
      </w:r>
      <w:r w:rsidRPr="00185BA6">
        <w:rPr>
          <w:rFonts w:ascii="Palatino Linotype" w:eastAsia="Times New Roman" w:hAnsi="Palatino Linotype" w:cs="Calibri"/>
          <w:color w:val="000000"/>
          <w:sz w:val="20"/>
          <w:szCs w:val="20"/>
          <w:shd w:val="clear" w:color="auto" w:fill="FFFFFF"/>
          <w:lang w:val="en-GB" w:eastAsia="de-DE" w:bidi="en-US"/>
        </w:rPr>
        <w:t>.. The acquisition conditions are described at the main text in the materials and methods section.</w:t>
      </w:r>
    </w:p>
    <w:sectPr w:rsidR="00185BA6" w:rsidRPr="00F421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B52"/>
    <w:rsid w:val="00002B20"/>
    <w:rsid w:val="000660EC"/>
    <w:rsid w:val="00162F97"/>
    <w:rsid w:val="00185BA6"/>
    <w:rsid w:val="001C6C36"/>
    <w:rsid w:val="001F6A97"/>
    <w:rsid w:val="00343BC8"/>
    <w:rsid w:val="003F612D"/>
    <w:rsid w:val="00522216"/>
    <w:rsid w:val="00524DFB"/>
    <w:rsid w:val="00536B52"/>
    <w:rsid w:val="006163F6"/>
    <w:rsid w:val="00665FFB"/>
    <w:rsid w:val="00752BB1"/>
    <w:rsid w:val="009321E8"/>
    <w:rsid w:val="009E2615"/>
    <w:rsid w:val="00A851FF"/>
    <w:rsid w:val="00B6124C"/>
    <w:rsid w:val="00BF5A9D"/>
    <w:rsid w:val="00C56A67"/>
    <w:rsid w:val="00E15698"/>
    <w:rsid w:val="00EA110B"/>
    <w:rsid w:val="00F42128"/>
    <w:rsid w:val="00F450A8"/>
    <w:rsid w:val="00FD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73B45"/>
  <w15:chartTrackingRefBased/>
  <w15:docId w15:val="{0CCDAF76-EEAD-4CD3-AF71-E12862510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B52"/>
    <w:rPr>
      <w:rFonts w:ascii="Segoe UI" w:hAnsi="Segoe UI" w:cs="Segoe UI"/>
      <w:sz w:val="18"/>
      <w:szCs w:val="18"/>
    </w:rPr>
  </w:style>
  <w:style w:type="paragraph" w:customStyle="1" w:styleId="MDPI12title">
    <w:name w:val="MDPI_1.2_title"/>
    <w:next w:val="Normal"/>
    <w:qFormat/>
    <w:rsid w:val="00536B52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Normal"/>
    <w:next w:val="MDPI14history"/>
    <w:qFormat/>
    <w:rsid w:val="00536B52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536B52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6affiliation">
    <w:name w:val="MDPI_1.6_affiliation"/>
    <w:basedOn w:val="Normal"/>
    <w:qFormat/>
    <w:rsid w:val="00536B52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51figurecaption">
    <w:name w:val="MDPI_5.1_figure_caption"/>
    <w:basedOn w:val="Normal"/>
    <w:qFormat/>
    <w:rsid w:val="00E15698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22heading2">
    <w:name w:val="MDPI_2.2_heading2"/>
    <w:basedOn w:val="Normal"/>
    <w:qFormat/>
    <w:rsid w:val="00E15698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69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547</Words>
  <Characters>3358</Characters>
  <Application>Microsoft Office Word</Application>
  <DocSecurity>0</DocSecurity>
  <Lines>49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Matos</dc:creator>
  <cp:keywords/>
  <dc:description/>
  <cp:lastModifiedBy>MDPI-55</cp:lastModifiedBy>
  <cp:revision>13</cp:revision>
  <dcterms:created xsi:type="dcterms:W3CDTF">2019-11-07T11:14:00Z</dcterms:created>
  <dcterms:modified xsi:type="dcterms:W3CDTF">2020-07-13T11:30:00Z</dcterms:modified>
</cp:coreProperties>
</file>