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C74781" w14:textId="0A7972C4" w:rsidR="00994A20" w:rsidRDefault="00994A20">
      <w:r w:rsidRPr="004B23A3">
        <w:rPr>
          <w:b/>
          <w:bCs/>
        </w:rPr>
        <w:t>Supplemental Table 1</w:t>
      </w:r>
      <w:r w:rsidR="00AB56BA">
        <w:rPr>
          <w:b/>
          <w:bCs/>
        </w:rPr>
        <w:t xml:space="preserve">. </w:t>
      </w:r>
      <w:r w:rsidR="00AB56BA" w:rsidRPr="00207245">
        <w:t xml:space="preserve">List of treatment groups </w:t>
      </w:r>
      <w:r w:rsidR="00AB56BA">
        <w:t xml:space="preserve">for </w:t>
      </w:r>
      <w:r w:rsidR="001B7A48">
        <w:t xml:space="preserve">Kirby Bauer chitosan volume </w:t>
      </w:r>
      <w:r w:rsidR="00AB56BA">
        <w:t xml:space="preserve">assay, </w:t>
      </w:r>
      <w:r w:rsidR="00AB56BA" w:rsidRPr="00207245">
        <w:t xml:space="preserve">with </w:t>
      </w:r>
      <w:r w:rsidR="00AB56BA">
        <w:t xml:space="preserve">concentration of </w:t>
      </w:r>
      <w:r w:rsidR="00AB56BA" w:rsidRPr="00207245">
        <w:t>components and volume used.</w:t>
      </w:r>
    </w:p>
    <w:tbl>
      <w:tblPr>
        <w:tblW w:w="7857" w:type="dxa"/>
        <w:tblBorders>
          <w:top w:val="single" w:sz="8" w:space="0" w:color="auto"/>
          <w:bottom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6"/>
        <w:gridCol w:w="1201"/>
        <w:gridCol w:w="1386"/>
        <w:gridCol w:w="1588"/>
        <w:gridCol w:w="1356"/>
      </w:tblGrid>
      <w:tr w:rsidR="00D32B10" w:rsidRPr="00207245" w14:paraId="558B481A" w14:textId="77777777" w:rsidTr="00AE34E0">
        <w:tc>
          <w:tcPr>
            <w:tcW w:w="232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6893A8" w14:textId="77777777" w:rsidR="00D32B10" w:rsidRPr="00207245" w:rsidRDefault="00D32B10" w:rsidP="00786A5B">
            <w:pPr>
              <w:pStyle w:val="MDPI42tablebody"/>
              <w:autoSpaceDE w:val="0"/>
              <w:autoSpaceDN w:val="0"/>
              <w:rPr>
                <w:b/>
              </w:rPr>
            </w:pPr>
            <w:r w:rsidRPr="00207245">
              <w:rPr>
                <w:b/>
              </w:rPr>
              <w:t>Treatment Group</w:t>
            </w:r>
          </w:p>
        </w:tc>
        <w:tc>
          <w:tcPr>
            <w:tcW w:w="120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F55D16" w14:textId="77777777" w:rsidR="00D32B10" w:rsidRPr="00207245" w:rsidRDefault="00D32B10" w:rsidP="00786A5B">
            <w:pPr>
              <w:pStyle w:val="MDPI42tablebody"/>
              <w:autoSpaceDE w:val="0"/>
              <w:autoSpaceDN w:val="0"/>
              <w:rPr>
                <w:b/>
              </w:rPr>
            </w:pPr>
            <w:r w:rsidRPr="00207245">
              <w:rPr>
                <w:b/>
              </w:rPr>
              <w:t>CH</w:t>
            </w:r>
            <w:r>
              <w:rPr>
                <w:b/>
              </w:rPr>
              <w:t xml:space="preserve"> [mg/mL]</w:t>
            </w:r>
          </w:p>
        </w:tc>
        <w:tc>
          <w:tcPr>
            <w:tcW w:w="138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00F2A7" w14:textId="77777777" w:rsidR="00D32B10" w:rsidRPr="00207245" w:rsidRDefault="00D32B10" w:rsidP="00786A5B">
            <w:pPr>
              <w:pStyle w:val="MDPI42tablebody"/>
              <w:autoSpaceDE w:val="0"/>
              <w:autoSpaceDN w:val="0"/>
              <w:rPr>
                <w:b/>
              </w:rPr>
            </w:pPr>
            <w:r w:rsidRPr="00207245">
              <w:rPr>
                <w:b/>
              </w:rPr>
              <w:t>β-GP</w:t>
            </w:r>
            <w:r>
              <w:rPr>
                <w:b/>
              </w:rPr>
              <w:t xml:space="preserve"> [mg/mL]</w:t>
            </w:r>
          </w:p>
        </w:tc>
        <w:tc>
          <w:tcPr>
            <w:tcW w:w="158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9CC74" w14:textId="77777777" w:rsidR="00D32B10" w:rsidRPr="00207245" w:rsidRDefault="00D32B10" w:rsidP="00786A5B">
            <w:pPr>
              <w:pStyle w:val="MDPI42tablebody"/>
              <w:autoSpaceDE w:val="0"/>
              <w:autoSpaceDN w:val="0"/>
              <w:rPr>
                <w:b/>
              </w:rPr>
            </w:pPr>
            <w:r w:rsidRPr="00207245">
              <w:rPr>
                <w:b/>
              </w:rPr>
              <w:t>FOS</w:t>
            </w:r>
            <w:r>
              <w:rPr>
                <w:b/>
              </w:rPr>
              <w:t xml:space="preserve"> [mg/mL]</w:t>
            </w:r>
          </w:p>
        </w:tc>
        <w:tc>
          <w:tcPr>
            <w:tcW w:w="135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D56B89" w14:textId="77777777" w:rsidR="00D32B10" w:rsidRPr="00207245" w:rsidRDefault="00D32B10" w:rsidP="00786A5B">
            <w:pPr>
              <w:pStyle w:val="MDPI42tablebody"/>
              <w:autoSpaceDE w:val="0"/>
              <w:autoSpaceDN w:val="0"/>
              <w:rPr>
                <w:b/>
              </w:rPr>
            </w:pPr>
            <w:r w:rsidRPr="00207245">
              <w:rPr>
                <w:b/>
              </w:rPr>
              <w:t>Volume [μL]</w:t>
            </w:r>
          </w:p>
        </w:tc>
      </w:tr>
      <w:tr w:rsidR="00D32B10" w:rsidRPr="00207245" w14:paraId="199A3B2D" w14:textId="77777777" w:rsidTr="00AE34E0">
        <w:tc>
          <w:tcPr>
            <w:tcW w:w="2326" w:type="dxa"/>
            <w:shd w:val="clear" w:color="auto" w:fill="auto"/>
            <w:vAlign w:val="center"/>
          </w:tcPr>
          <w:p w14:paraId="736C2A83" w14:textId="32B8FB91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Low:Low</w:t>
            </w:r>
            <w:r>
              <w:t xml:space="preserve"> V, 0 FOS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17A7CA52" w14:textId="77777777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18</w:t>
            </w:r>
            <w:r>
              <w:t>.</w:t>
            </w:r>
            <w:r w:rsidRPr="00207245">
              <w:t>6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1B096077" w14:textId="77777777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158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1C6834E" w14:textId="40AD8237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0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7A82B84" w14:textId="2C52D9BD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5.56</w:t>
            </w:r>
          </w:p>
        </w:tc>
      </w:tr>
      <w:tr w:rsidR="00D32B10" w:rsidRPr="00207245" w14:paraId="5EEB007C" w14:textId="77777777" w:rsidTr="00AE34E0">
        <w:tc>
          <w:tcPr>
            <w:tcW w:w="2326" w:type="dxa"/>
            <w:shd w:val="clear" w:color="auto" w:fill="auto"/>
            <w:vAlign w:val="center"/>
          </w:tcPr>
          <w:p w14:paraId="4CDCE71E" w14:textId="6A10E5E8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Low:High</w:t>
            </w:r>
            <w:r>
              <w:t xml:space="preserve"> V, 0 FOS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519B4576" w14:textId="77777777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18</w:t>
            </w:r>
            <w:r>
              <w:t>.</w:t>
            </w:r>
            <w:r w:rsidRPr="00207245">
              <w:t>6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4CC4985B" w14:textId="77777777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158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2D15C8C1" w14:textId="2D342FBD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0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7C36AF5" w14:textId="1CBD740F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10</w:t>
            </w:r>
          </w:p>
        </w:tc>
      </w:tr>
      <w:tr w:rsidR="00D32B10" w:rsidRPr="00207245" w14:paraId="6740637B" w14:textId="77777777" w:rsidTr="00AE34E0">
        <w:tc>
          <w:tcPr>
            <w:tcW w:w="2326" w:type="dxa"/>
            <w:shd w:val="clear" w:color="auto" w:fill="auto"/>
            <w:vAlign w:val="center"/>
          </w:tcPr>
          <w:p w14:paraId="5C08E2F6" w14:textId="44F6138F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High:Low</w:t>
            </w:r>
            <w:r>
              <w:t xml:space="preserve"> V, 0 FOS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5BF7F1CC" w14:textId="77777777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18</w:t>
            </w:r>
            <w:r>
              <w:t>.</w:t>
            </w:r>
            <w:r w:rsidRPr="00207245">
              <w:t>6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520417AB" w14:textId="77777777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212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20CDEEE" w14:textId="0B78EC27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0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2D101D7" w14:textId="660FFB0D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5.56</w:t>
            </w:r>
          </w:p>
        </w:tc>
      </w:tr>
      <w:tr w:rsidR="00D32B10" w:rsidRPr="00207245" w14:paraId="5A37E286" w14:textId="77777777" w:rsidTr="00AE34E0">
        <w:tc>
          <w:tcPr>
            <w:tcW w:w="2326" w:type="dxa"/>
            <w:shd w:val="clear" w:color="auto" w:fill="auto"/>
            <w:vAlign w:val="center"/>
          </w:tcPr>
          <w:p w14:paraId="2C355661" w14:textId="4DDF52A6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High:High</w:t>
            </w:r>
            <w:r>
              <w:t xml:space="preserve"> V, 0 FOS</w:t>
            </w:r>
          </w:p>
        </w:tc>
        <w:tc>
          <w:tcPr>
            <w:tcW w:w="1201" w:type="dxa"/>
            <w:shd w:val="clear" w:color="auto" w:fill="auto"/>
            <w:vAlign w:val="center"/>
          </w:tcPr>
          <w:p w14:paraId="153F81E9" w14:textId="77777777" w:rsidR="00D32B10" w:rsidRPr="00207245" w:rsidRDefault="00D32B10" w:rsidP="00786A5B">
            <w:pPr>
              <w:pStyle w:val="MDPI42tablebody"/>
              <w:autoSpaceDE w:val="0"/>
              <w:autoSpaceDN w:val="0"/>
            </w:pPr>
            <w:r w:rsidRPr="00207245">
              <w:t>18</w:t>
            </w:r>
            <w:r>
              <w:t>.</w:t>
            </w:r>
            <w:r w:rsidRPr="00207245">
              <w:t>6</w:t>
            </w:r>
          </w:p>
        </w:tc>
        <w:tc>
          <w:tcPr>
            <w:tcW w:w="1386" w:type="dxa"/>
            <w:shd w:val="clear" w:color="auto" w:fill="auto"/>
            <w:vAlign w:val="center"/>
          </w:tcPr>
          <w:p w14:paraId="406783BD" w14:textId="77777777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212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E35B70F" w14:textId="417B45AD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0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4DBCACA4" w14:textId="7D37503B" w:rsidR="00D32B10" w:rsidRPr="00207245" w:rsidRDefault="00D32B10" w:rsidP="00786A5B">
            <w:pPr>
              <w:pStyle w:val="MDPI42tablebody"/>
              <w:autoSpaceDE w:val="0"/>
              <w:autoSpaceDN w:val="0"/>
            </w:pPr>
            <w:r>
              <w:t>10</w:t>
            </w:r>
          </w:p>
        </w:tc>
      </w:tr>
    </w:tbl>
    <w:p w14:paraId="78FFC7BA" w14:textId="77777777" w:rsidR="00D32B10" w:rsidRDefault="00D32B10"/>
    <w:p w14:paraId="5173D198" w14:textId="3DEDEBDB" w:rsidR="006169CF" w:rsidRDefault="00883206">
      <w:r w:rsidRPr="00883206">
        <w:t xml:space="preserve">CH: </w:t>
      </w:r>
      <w:r w:rsidR="00AB56BA">
        <w:t>c</w:t>
      </w:r>
      <w:r w:rsidRPr="00883206">
        <w:t xml:space="preserve">hitosan, β-GP: </w:t>
      </w:r>
      <w:r w:rsidR="00AB56BA">
        <w:t>b</w:t>
      </w:r>
      <w:r w:rsidRPr="00883206">
        <w:t xml:space="preserve">eta-glycerol </w:t>
      </w:r>
      <w:r w:rsidR="00AB56BA">
        <w:t>p</w:t>
      </w:r>
      <w:r w:rsidRPr="00883206">
        <w:t xml:space="preserve">hosphate, FOS: </w:t>
      </w:r>
      <w:r w:rsidR="00AB56BA">
        <w:t>f</w:t>
      </w:r>
      <w:r w:rsidRPr="00883206">
        <w:t>osfomycin.</w:t>
      </w:r>
    </w:p>
    <w:p w14:paraId="06526FE3" w14:textId="765F064A" w:rsidR="001B1CCA" w:rsidRDefault="004B23A3">
      <w:r>
        <w:rPr>
          <w:noProof/>
        </w:rPr>
        <w:drawing>
          <wp:inline distT="0" distB="0" distL="0" distR="0" wp14:anchorId="3681398C" wp14:editId="45D5AA26">
            <wp:extent cx="5943600" cy="3556000"/>
            <wp:effectExtent l="0" t="0" r="0" b="0"/>
            <wp:docPr id="2" name="Picture 2" descr="A picture containing light, dar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light, dark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CF9DB4" w14:textId="54E577F4" w:rsidR="00E41C7B" w:rsidRPr="00E05A8E" w:rsidRDefault="001B7A48">
      <w:r w:rsidRPr="004B23A3">
        <w:rPr>
          <w:b/>
          <w:bCs/>
        </w:rPr>
        <w:t>Supplemental Figure 1</w:t>
      </w:r>
      <w:r>
        <w:rPr>
          <w:b/>
          <w:bCs/>
        </w:rPr>
        <w:t>.</w:t>
      </w:r>
      <w:r w:rsidRPr="004B23A3">
        <w:rPr>
          <w:b/>
          <w:bCs/>
        </w:rPr>
        <w:t xml:space="preserve"> </w:t>
      </w:r>
      <w:r w:rsidR="00DB4CD6">
        <w:t>Zones of inhibition</w:t>
      </w:r>
      <w:r w:rsidR="00C4615E">
        <w:t xml:space="preserve"> (ZOIs) (n=8) from Kirby Bauer assay after 24-hour treatment with either 5.56 </w:t>
      </w:r>
      <w:r w:rsidR="00C4615E">
        <w:rPr>
          <w:rFonts w:cstheme="minorHAnsi"/>
        </w:rPr>
        <w:t>µ</w:t>
      </w:r>
      <w:r w:rsidR="00C4615E">
        <w:t>L (Low) or 10</w:t>
      </w:r>
      <w:r w:rsidR="00C4615E" w:rsidRPr="00C4615E">
        <w:rPr>
          <w:rFonts w:cstheme="minorHAnsi"/>
        </w:rPr>
        <w:t xml:space="preserve"> </w:t>
      </w:r>
      <w:r w:rsidR="00C4615E">
        <w:rPr>
          <w:rFonts w:cstheme="minorHAnsi"/>
        </w:rPr>
        <w:t>µ</w:t>
      </w:r>
      <w:r w:rsidR="00C4615E">
        <w:t>L (High)</w:t>
      </w:r>
      <w:r w:rsidR="000F7D5A">
        <w:t xml:space="preserve"> volumes of CH, containing either 158 mg/m</w:t>
      </w:r>
      <w:r w:rsidR="003118A4">
        <w:t>L</w:t>
      </w:r>
      <w:r w:rsidR="000F7D5A">
        <w:t xml:space="preserve"> (Low) </w:t>
      </w:r>
      <w:r w:rsidR="000F7D5A">
        <w:rPr>
          <w:rFonts w:cstheme="minorHAnsi"/>
        </w:rPr>
        <w:t>β</w:t>
      </w:r>
      <w:r w:rsidR="000F7D5A">
        <w:t>-GP or 212 mg/mL</w:t>
      </w:r>
      <w:r w:rsidR="003118A4">
        <w:t xml:space="preserve"> (High) </w:t>
      </w:r>
      <w:r w:rsidR="003118A4">
        <w:rPr>
          <w:rFonts w:cstheme="minorHAnsi"/>
        </w:rPr>
        <w:t>β</w:t>
      </w:r>
      <w:r w:rsidR="003118A4">
        <w:t>-GP concentrations. No FOS was used in this assay (indicated by 0 FOS)</w:t>
      </w:r>
      <w:r w:rsidR="00656EA9">
        <w:t xml:space="preserve">. Both groups containing the high </w:t>
      </w:r>
      <w:r w:rsidR="00656EA9">
        <w:rPr>
          <w:rFonts w:cstheme="minorHAnsi"/>
        </w:rPr>
        <w:t>β</w:t>
      </w:r>
      <w:r w:rsidR="00656EA9">
        <w:t xml:space="preserve">-GP concentration had smaller ZOIs than both lower </w:t>
      </w:r>
      <w:r w:rsidR="00656EA9">
        <w:rPr>
          <w:rFonts w:cstheme="minorHAnsi"/>
        </w:rPr>
        <w:t>β</w:t>
      </w:r>
      <w:r w:rsidR="00656EA9">
        <w:t xml:space="preserve">-GP concentration groups. </w:t>
      </w:r>
      <w:r w:rsidR="00656EA9">
        <w:rPr>
          <w:vertAlign w:val="superscript"/>
        </w:rPr>
        <w:t>a</w:t>
      </w:r>
      <w:r w:rsidR="00E05A8E">
        <w:t>p&lt;0.05 compared to Low:Low V, 0 FOS</w:t>
      </w:r>
      <w:r w:rsidR="006B30AC">
        <w:t>;</w:t>
      </w:r>
      <w:r w:rsidR="00E05A8E">
        <w:t xml:space="preserve"> </w:t>
      </w:r>
      <w:r w:rsidR="00E05A8E">
        <w:rPr>
          <w:vertAlign w:val="superscript"/>
        </w:rPr>
        <w:t>b</w:t>
      </w:r>
      <w:r w:rsidR="00E05A8E">
        <w:t>p&lt;0.05 compared to Low:High V, 0 FOS. No effect of CH volume was observed.</w:t>
      </w:r>
    </w:p>
    <w:p w14:paraId="1B835C36" w14:textId="40D80501" w:rsidR="004B23A3" w:rsidRPr="004B23A3" w:rsidRDefault="004B23A3" w:rsidP="0066271C">
      <w:pPr>
        <w:rPr>
          <w:b/>
          <w:bCs/>
        </w:rPr>
      </w:pPr>
      <w:r>
        <w:rPr>
          <w:b/>
          <w:bCs/>
          <w:noProof/>
        </w:rPr>
        <w:lastRenderedPageBreak/>
        <w:drawing>
          <wp:inline distT="0" distB="0" distL="0" distR="0" wp14:anchorId="3A44C464" wp14:editId="15C4E9CC">
            <wp:extent cx="2023872" cy="3209544"/>
            <wp:effectExtent l="0" t="0" r="0" b="0"/>
            <wp:docPr id="3" name="Picture 3" descr="A picture containing text, night sk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night sky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3872" cy="320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3D4FD" w14:textId="54EEF931" w:rsidR="0066271C" w:rsidRPr="000D0CFB" w:rsidRDefault="001D0B04" w:rsidP="0066271C">
      <w:r w:rsidRPr="004B23A3">
        <w:rPr>
          <w:b/>
          <w:bCs/>
        </w:rPr>
        <w:t>Supplemental Figure 2</w:t>
      </w:r>
      <w:r>
        <w:t xml:space="preserve">. </w:t>
      </w:r>
      <w:r w:rsidR="00F1136F">
        <w:t>Colony-forming units per milli</w:t>
      </w:r>
      <w:r w:rsidR="000D0CFB">
        <w:t xml:space="preserve">liter (CFU/mL) of </w:t>
      </w:r>
      <w:r w:rsidR="000D0CFB">
        <w:rPr>
          <w:i/>
          <w:iCs/>
        </w:rPr>
        <w:t>S. aureus</w:t>
      </w:r>
      <w:r w:rsidR="000D0CFB">
        <w:t xml:space="preserve"> planktonic populations (n=7-8) after 24-hour treatment with PBS with or without additional </w:t>
      </w:r>
      <w:r w:rsidR="002137DA">
        <w:t xml:space="preserve">50 mg/mL NaCl. No FOS was used in this assay. </w:t>
      </w:r>
      <w:r w:rsidR="0041038E">
        <w:t>n</w:t>
      </w:r>
      <w:r w:rsidR="002137DA">
        <w:t xml:space="preserve">s: not significant at </w:t>
      </w:r>
      <w:r w:rsidR="002137DA">
        <w:rPr>
          <w:rFonts w:cstheme="minorHAnsi"/>
        </w:rPr>
        <w:t>α</w:t>
      </w:r>
      <w:r w:rsidR="002137DA">
        <w:t>=0.05.</w:t>
      </w:r>
    </w:p>
    <w:p w14:paraId="3645FC51" w14:textId="75A93C82" w:rsidR="004B23A3" w:rsidRPr="004B23A3" w:rsidRDefault="004B23A3" w:rsidP="0066271C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78834614" wp14:editId="444276F4">
            <wp:extent cx="4450089" cy="3151638"/>
            <wp:effectExtent l="0" t="0" r="0" b="0"/>
            <wp:docPr id="4" name="Picture 4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har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0089" cy="3151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0CB14" w14:textId="5A208978" w:rsidR="00E41C7B" w:rsidRDefault="00CF6BF8">
      <w:r w:rsidRPr="004B23A3">
        <w:rPr>
          <w:b/>
          <w:bCs/>
        </w:rPr>
        <w:t>Supplemental Figure 3</w:t>
      </w:r>
      <w:r>
        <w:rPr>
          <w:b/>
          <w:bCs/>
        </w:rPr>
        <w:t>.</w:t>
      </w:r>
      <w:r w:rsidRPr="004B23A3">
        <w:rPr>
          <w:b/>
          <w:bCs/>
        </w:rPr>
        <w:t xml:space="preserve"> </w:t>
      </w:r>
      <w:r w:rsidR="000D10D0" w:rsidRPr="000053F5">
        <w:t xml:space="preserve">Assignment of the native and ring-opened forms of </w:t>
      </w:r>
      <w:r w:rsidR="000D10D0">
        <w:t>FOS</w:t>
      </w:r>
      <w:r w:rsidR="000D10D0" w:rsidRPr="000053F5">
        <w:t xml:space="preserve">. A 1D </w:t>
      </w:r>
      <w:r w:rsidR="000D10D0" w:rsidRPr="00574583">
        <w:rPr>
          <w:vertAlign w:val="superscript"/>
        </w:rPr>
        <w:t>31</w:t>
      </w:r>
      <w:r w:rsidR="000D10D0" w:rsidRPr="000053F5">
        <w:t xml:space="preserve">P spectrum was obtained immediately following preparation of </w:t>
      </w:r>
      <w:r w:rsidR="000D10D0">
        <w:t>FOS</w:t>
      </w:r>
      <w:r w:rsidR="000D10D0" w:rsidRPr="000053F5">
        <w:t xml:space="preserve"> with no </w:t>
      </w:r>
      <w:r w:rsidR="000D10D0">
        <w:t>CH</w:t>
      </w:r>
      <w:r w:rsidR="000D10D0" w:rsidRPr="000053F5">
        <w:t xml:space="preserve"> at pH 2.5. The original spectrum (red) shows two peaks for </w:t>
      </w:r>
      <w:r w:rsidR="000D10D0">
        <w:t>FOS</w:t>
      </w:r>
      <w:r w:rsidR="000D10D0" w:rsidRPr="000053F5">
        <w:t xml:space="preserve">, an upfield peak corresponding to the epoxide ring form and a downfield peak corresponding to the ring-opened form. After 18 h, the signal corresponding to the ring-opened form </w:t>
      </w:r>
      <w:r w:rsidR="000D10D0" w:rsidRPr="000053F5">
        <w:lastRenderedPageBreak/>
        <w:t>ha</w:t>
      </w:r>
      <w:r w:rsidR="008D3E09">
        <w:t xml:space="preserve">d </w:t>
      </w:r>
      <w:r w:rsidR="000D10D0" w:rsidRPr="000053F5">
        <w:t>increased relative to the native signal (black spectrum). For clarity, the spectrum recorded at 18 h has been shifted downfield by 1.5 ppm.</w:t>
      </w:r>
    </w:p>
    <w:sectPr w:rsidR="00E41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1N7Y0NTM0MjE1MzdR0lEKTi0uzszPAykwrAUASdssmiwAAAA="/>
  </w:docVars>
  <w:rsids>
    <w:rsidRoot w:val="00E274B8"/>
    <w:rsid w:val="000D0CFB"/>
    <w:rsid w:val="000D10D0"/>
    <w:rsid w:val="000F7D5A"/>
    <w:rsid w:val="001B1CCA"/>
    <w:rsid w:val="001B7A48"/>
    <w:rsid w:val="001D0B04"/>
    <w:rsid w:val="002137DA"/>
    <w:rsid w:val="00261504"/>
    <w:rsid w:val="003118A4"/>
    <w:rsid w:val="003337E7"/>
    <w:rsid w:val="0041038E"/>
    <w:rsid w:val="004B23A3"/>
    <w:rsid w:val="006169CF"/>
    <w:rsid w:val="00656EA9"/>
    <w:rsid w:val="0066271C"/>
    <w:rsid w:val="006B30AC"/>
    <w:rsid w:val="00883206"/>
    <w:rsid w:val="008D3E09"/>
    <w:rsid w:val="00960F2E"/>
    <w:rsid w:val="00994A20"/>
    <w:rsid w:val="00AB56BA"/>
    <w:rsid w:val="00AE34E0"/>
    <w:rsid w:val="00C4615E"/>
    <w:rsid w:val="00CF6BF8"/>
    <w:rsid w:val="00D32B10"/>
    <w:rsid w:val="00DB4CD6"/>
    <w:rsid w:val="00E05A8E"/>
    <w:rsid w:val="00E274B8"/>
    <w:rsid w:val="00E41C7B"/>
    <w:rsid w:val="00E60FA9"/>
    <w:rsid w:val="00F1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FCF91"/>
  <w15:chartTrackingRefBased/>
  <w15:docId w15:val="{D3C7EBCF-C58F-40FC-9759-B752035B1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0D10D0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337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7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7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7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7E7"/>
    <w:rPr>
      <w:b/>
      <w:bCs/>
      <w:sz w:val="20"/>
      <w:szCs w:val="20"/>
    </w:rPr>
  </w:style>
  <w:style w:type="paragraph" w:customStyle="1" w:styleId="MDPI42tablebody">
    <w:name w:val="MDPI_4.2_table_body"/>
    <w:qFormat/>
    <w:rsid w:val="00D32B10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Tucker, Luke</dc:creator>
  <cp:keywords/>
  <dc:description/>
  <cp:lastModifiedBy>Tucker, Luke</cp:lastModifiedBy>
  <cp:revision>3</cp:revision>
  <dcterms:created xsi:type="dcterms:W3CDTF">2021-02-25T16:48:00Z</dcterms:created>
  <dcterms:modified xsi:type="dcterms:W3CDTF">2021-02-26T00:36:00Z</dcterms:modified>
</cp:coreProperties>
</file>