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1CCF9" w14:textId="77777777" w:rsidR="00AF04BD" w:rsidRPr="003118E7" w:rsidRDefault="00AF04BD" w:rsidP="00AF04BD">
      <w:pPr>
        <w:rPr>
          <w:rFonts w:ascii="Palatino Linotype" w:hAnsi="Palatino Linotype"/>
          <w:b/>
          <w:sz w:val="20"/>
          <w:szCs w:val="20"/>
          <w:lang w:val="en-US"/>
        </w:rPr>
      </w:pPr>
      <w:r w:rsidRPr="003118E7">
        <w:rPr>
          <w:rFonts w:ascii="Palatino Linotype" w:hAnsi="Palatino Linotype"/>
          <w:b/>
          <w:sz w:val="20"/>
          <w:szCs w:val="20"/>
          <w:lang w:val="en-US"/>
        </w:rPr>
        <w:t>Supplementary materials for manuscript “A predictive model identified tick borne encephalitis high risk areas in regions were no cases were reported previously, Poland, 1999-2012”</w:t>
      </w:r>
    </w:p>
    <w:p w14:paraId="5B444716" w14:textId="77777777" w:rsidR="00AF04BD" w:rsidRPr="003118E7" w:rsidRDefault="00AF04BD" w:rsidP="00AF04BD">
      <w:pPr>
        <w:rPr>
          <w:rFonts w:ascii="Palatino Linotype" w:hAnsi="Palatino Linotype"/>
          <w:sz w:val="20"/>
          <w:szCs w:val="20"/>
          <w:lang w:val="en-US"/>
        </w:rPr>
      </w:pPr>
    </w:p>
    <w:p w14:paraId="20233E4E" w14:textId="371BB068" w:rsidR="00AC318B" w:rsidRPr="003118E7" w:rsidRDefault="00D7774C" w:rsidP="00AF04BD">
      <w:pPr>
        <w:rPr>
          <w:rFonts w:ascii="Palatino Linotype" w:hAnsi="Palatino Linotype"/>
          <w:b/>
          <w:sz w:val="20"/>
          <w:szCs w:val="20"/>
          <w:lang w:val="en-US"/>
        </w:rPr>
      </w:pPr>
      <w:r w:rsidRPr="003118E7">
        <w:rPr>
          <w:rFonts w:ascii="Palatino Linotype" w:hAnsi="Palatino Linotype"/>
          <w:b/>
          <w:sz w:val="20"/>
          <w:szCs w:val="20"/>
          <w:lang w:val="en-US"/>
        </w:rPr>
        <w:t>Text S4</w:t>
      </w:r>
      <w:r w:rsidR="00AC318B" w:rsidRPr="003118E7">
        <w:rPr>
          <w:rFonts w:ascii="Palatino Linotype" w:hAnsi="Palatino Linotype"/>
          <w:b/>
          <w:sz w:val="20"/>
          <w:szCs w:val="20"/>
          <w:lang w:val="en-US"/>
        </w:rPr>
        <w:t xml:space="preserve">. Results of </w:t>
      </w:r>
      <w:r w:rsidR="00E42880" w:rsidRPr="003118E7">
        <w:rPr>
          <w:rFonts w:ascii="Palatino Linotype" w:hAnsi="Palatino Linotype"/>
          <w:b/>
          <w:sz w:val="20"/>
          <w:szCs w:val="20"/>
          <w:lang w:val="en-US"/>
        </w:rPr>
        <w:t xml:space="preserve">the </w:t>
      </w:r>
      <w:r w:rsidR="00AC318B" w:rsidRPr="003118E7">
        <w:rPr>
          <w:rFonts w:ascii="Palatino Linotype" w:hAnsi="Palatino Linotype"/>
          <w:b/>
          <w:sz w:val="20"/>
          <w:szCs w:val="20"/>
          <w:lang w:val="en-US"/>
        </w:rPr>
        <w:t xml:space="preserve">preliminary analysis of time series with number of cases </w:t>
      </w:r>
      <w:r w:rsidR="00E42880" w:rsidRPr="003118E7">
        <w:rPr>
          <w:rFonts w:ascii="Palatino Linotype" w:hAnsi="Palatino Linotype"/>
          <w:b/>
          <w:sz w:val="20"/>
          <w:szCs w:val="20"/>
          <w:lang w:val="en-US"/>
        </w:rPr>
        <w:t xml:space="preserve">reported </w:t>
      </w:r>
      <w:r w:rsidR="00AC318B" w:rsidRPr="003118E7">
        <w:rPr>
          <w:rFonts w:ascii="Palatino Linotype" w:hAnsi="Palatino Linotype"/>
          <w:b/>
          <w:sz w:val="20"/>
          <w:szCs w:val="20"/>
          <w:lang w:val="en-US"/>
        </w:rPr>
        <w:t xml:space="preserve">from endemic </w:t>
      </w:r>
      <w:r w:rsidR="008A0159" w:rsidRPr="003118E7">
        <w:rPr>
          <w:rFonts w:ascii="Palatino Linotype" w:hAnsi="Palatino Linotype"/>
          <w:b/>
          <w:sz w:val="20"/>
          <w:szCs w:val="20"/>
          <w:lang w:val="en-US"/>
        </w:rPr>
        <w:t>municipalities</w:t>
      </w:r>
    </w:p>
    <w:p w14:paraId="48181727" w14:textId="77777777" w:rsidR="00AF04BD" w:rsidRPr="003118E7" w:rsidRDefault="00AF04BD" w:rsidP="00AF04BD">
      <w:pPr>
        <w:rPr>
          <w:rFonts w:ascii="Palatino Linotype" w:hAnsi="Palatino Linotype"/>
          <w:sz w:val="20"/>
          <w:szCs w:val="20"/>
          <w:lang w:val="en-US"/>
        </w:rPr>
      </w:pPr>
    </w:p>
    <w:p w14:paraId="0319F61B" w14:textId="164BBC60" w:rsidR="00AC318B" w:rsidRPr="003118E7" w:rsidRDefault="00AC318B" w:rsidP="00D56D70">
      <w:pPr>
        <w:ind w:firstLine="426"/>
        <w:rPr>
          <w:rFonts w:ascii="Palatino Linotype" w:hAnsi="Palatino Linotype"/>
          <w:sz w:val="20"/>
          <w:szCs w:val="20"/>
          <w:lang w:val="en-US"/>
        </w:rPr>
      </w:pPr>
      <w:r w:rsidRPr="003118E7">
        <w:rPr>
          <w:rFonts w:ascii="Palatino Linotype" w:hAnsi="Palatino Linotype"/>
          <w:sz w:val="20"/>
          <w:szCs w:val="20"/>
          <w:lang w:val="en-US"/>
        </w:rPr>
        <w:t xml:space="preserve">We extracted cases from the 108 endemic </w:t>
      </w:r>
      <w:r w:rsidR="008A0159" w:rsidRPr="003118E7">
        <w:rPr>
          <w:rFonts w:ascii="Palatino Linotype" w:hAnsi="Palatino Linotype"/>
          <w:sz w:val="20"/>
          <w:szCs w:val="20"/>
          <w:lang w:val="en-US"/>
        </w:rPr>
        <w:t>municipalities</w:t>
      </w:r>
      <w:r w:rsidRPr="003118E7">
        <w:rPr>
          <w:rFonts w:ascii="Palatino Linotype" w:hAnsi="Palatino Linotype"/>
          <w:sz w:val="20"/>
          <w:szCs w:val="20"/>
          <w:lang w:val="en-US"/>
        </w:rPr>
        <w:t xml:space="preserve">. We constructed a single time series comprising a sum of cases in all these districts, by </w:t>
      </w:r>
      <w:proofErr w:type="spellStart"/>
      <w:r w:rsidR="00FA2B12" w:rsidRPr="003118E7">
        <w:rPr>
          <w:rFonts w:ascii="Palatino Linotype" w:hAnsi="Palatino Linotype"/>
          <w:sz w:val="20"/>
          <w:szCs w:val="20"/>
          <w:lang w:val="en-US"/>
        </w:rPr>
        <w:t>dekad</w:t>
      </w:r>
      <w:proofErr w:type="spellEnd"/>
      <w:r w:rsidRPr="003118E7">
        <w:rPr>
          <w:rFonts w:ascii="Palatino Linotype" w:hAnsi="Palatino Linotype"/>
          <w:sz w:val="20"/>
          <w:szCs w:val="20"/>
          <w:lang w:val="en-US"/>
        </w:rPr>
        <w:t>.</w:t>
      </w:r>
    </w:p>
    <w:p w14:paraId="4203D01A" w14:textId="77777777" w:rsidR="00AF04BD" w:rsidRPr="003118E7" w:rsidRDefault="00AF04BD" w:rsidP="00AF04BD">
      <w:pPr>
        <w:rPr>
          <w:rFonts w:ascii="Palatino Linotype" w:hAnsi="Palatino Linotype"/>
          <w:sz w:val="20"/>
          <w:szCs w:val="20"/>
          <w:lang w:val="en-US"/>
        </w:rPr>
      </w:pPr>
    </w:p>
    <w:p w14:paraId="16030D07" w14:textId="22F4E6F4" w:rsidR="00AC318B" w:rsidRPr="003118E7" w:rsidRDefault="002467ED" w:rsidP="00E42880">
      <w:pPr>
        <w:outlineLvl w:val="0"/>
        <w:rPr>
          <w:rFonts w:ascii="Palatino Linotype" w:hAnsi="Palatino Linotype"/>
          <w:i/>
          <w:sz w:val="20"/>
          <w:szCs w:val="20"/>
          <w:lang w:val="en-US"/>
        </w:rPr>
      </w:pPr>
      <w:r w:rsidRPr="003118E7">
        <w:rPr>
          <w:rFonts w:ascii="Palatino Linotype" w:hAnsi="Palatino Linotype"/>
          <w:i/>
          <w:sz w:val="20"/>
          <w:szCs w:val="20"/>
          <w:lang w:val="en-US"/>
        </w:rPr>
        <w:t>4</w:t>
      </w:r>
      <w:r w:rsidR="00306CA6" w:rsidRPr="003118E7">
        <w:rPr>
          <w:rFonts w:ascii="Palatino Linotype" w:hAnsi="Palatino Linotype"/>
          <w:i/>
          <w:sz w:val="20"/>
          <w:szCs w:val="20"/>
          <w:lang w:val="en-US"/>
        </w:rPr>
        <w:t xml:space="preserve">.1. </w:t>
      </w:r>
      <w:proofErr w:type="spellStart"/>
      <w:r w:rsidR="00AC318B" w:rsidRPr="003118E7">
        <w:rPr>
          <w:rFonts w:ascii="Palatino Linotype" w:hAnsi="Palatino Linotype"/>
          <w:i/>
          <w:sz w:val="20"/>
          <w:szCs w:val="20"/>
          <w:lang w:val="en-US"/>
        </w:rPr>
        <w:t>Periodogram</w:t>
      </w:r>
      <w:proofErr w:type="spellEnd"/>
    </w:p>
    <w:p w14:paraId="3F3E35E9" w14:textId="77777777" w:rsidR="00AF04BD" w:rsidRPr="003118E7" w:rsidRDefault="00AF04BD" w:rsidP="00AF04BD">
      <w:pPr>
        <w:rPr>
          <w:rFonts w:ascii="Palatino Linotype" w:hAnsi="Palatino Linotype"/>
          <w:sz w:val="20"/>
          <w:szCs w:val="20"/>
          <w:lang w:val="en-GB"/>
        </w:rPr>
      </w:pPr>
    </w:p>
    <w:p w14:paraId="0E178743" w14:textId="387E2FDC" w:rsidR="00AC318B" w:rsidRPr="003118E7" w:rsidRDefault="00782BF7" w:rsidP="00D56D70">
      <w:pPr>
        <w:ind w:firstLine="426"/>
        <w:rPr>
          <w:rFonts w:ascii="Palatino Linotype" w:hAnsi="Palatino Linotype"/>
          <w:sz w:val="20"/>
          <w:szCs w:val="20"/>
          <w:lang w:val="en-GB"/>
        </w:rPr>
      </w:pPr>
      <w:r w:rsidRPr="003118E7">
        <w:rPr>
          <w:rFonts w:ascii="Palatino Linotype" w:hAnsi="Palatino Linotype"/>
          <w:sz w:val="20"/>
          <w:szCs w:val="20"/>
          <w:lang w:val="en-GB"/>
        </w:rPr>
        <w:t xml:space="preserve">The </w:t>
      </w:r>
      <w:proofErr w:type="spellStart"/>
      <w:r w:rsidRPr="003118E7">
        <w:rPr>
          <w:rFonts w:ascii="Palatino Linotype" w:hAnsi="Palatino Linotype"/>
          <w:sz w:val="20"/>
          <w:szCs w:val="20"/>
          <w:lang w:val="en-GB"/>
        </w:rPr>
        <w:t>p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>eriodogram</w:t>
      </w:r>
      <w:proofErr w:type="spellEnd"/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2467ED" w:rsidRPr="003118E7">
        <w:rPr>
          <w:rFonts w:ascii="Palatino Linotype" w:hAnsi="Palatino Linotype"/>
          <w:sz w:val="20"/>
          <w:szCs w:val="20"/>
          <w:lang w:val="en-GB"/>
        </w:rPr>
        <w:t xml:space="preserve">(Figure </w:t>
      </w:r>
      <w:r w:rsidR="003118E7" w:rsidRPr="003118E7">
        <w:rPr>
          <w:rFonts w:ascii="Palatino Linotype" w:hAnsi="Palatino Linotype"/>
          <w:sz w:val="20"/>
          <w:szCs w:val="20"/>
          <w:lang w:val="en-GB"/>
        </w:rPr>
        <w:t>S5</w:t>
      </w:r>
      <w:r w:rsidR="008C220F" w:rsidRPr="003118E7">
        <w:rPr>
          <w:rFonts w:ascii="Palatino Linotype" w:hAnsi="Palatino Linotype"/>
          <w:sz w:val="20"/>
          <w:szCs w:val="20"/>
          <w:lang w:val="en-GB"/>
        </w:rPr>
        <w:t xml:space="preserve">) 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has one dominating peak, which </w:t>
      </w:r>
      <w:r w:rsidRPr="003118E7">
        <w:rPr>
          <w:rFonts w:ascii="Palatino Linotype" w:hAnsi="Palatino Linotype"/>
          <w:sz w:val="20"/>
          <w:szCs w:val="20"/>
          <w:lang w:val="en-GB"/>
        </w:rPr>
        <w:t>indi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>c</w:t>
      </w:r>
      <w:r w:rsidRPr="003118E7">
        <w:rPr>
          <w:rFonts w:ascii="Palatino Linotype" w:hAnsi="Palatino Linotype"/>
          <w:sz w:val="20"/>
          <w:szCs w:val="20"/>
          <w:lang w:val="en-GB"/>
        </w:rPr>
        <w:t xml:space="preserve">ates existence of a cycle with 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>frequency 0.028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sym w:font="Symbol" w:char="F0BB"/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1/36 in natural </w:t>
      </w:r>
      <w:r w:rsidRPr="003118E7">
        <w:rPr>
          <w:rFonts w:ascii="Palatino Linotype" w:hAnsi="Palatino Linotype"/>
          <w:sz w:val="20"/>
          <w:szCs w:val="20"/>
          <w:lang w:val="en-GB"/>
        </w:rPr>
        <w:t>frequencies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 (i.e. number of cycles per </w:t>
      </w:r>
      <w:proofErr w:type="spellStart"/>
      <w:r w:rsidR="00FA2B12" w:rsidRPr="003118E7">
        <w:rPr>
          <w:rFonts w:ascii="Palatino Linotype" w:hAnsi="Palatino Linotype"/>
          <w:sz w:val="20"/>
          <w:szCs w:val="20"/>
          <w:lang w:val="en-GB"/>
        </w:rPr>
        <w:t>dekad</w:t>
      </w:r>
      <w:proofErr w:type="spellEnd"/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). </w:t>
      </w:r>
      <w:r w:rsidRPr="003118E7">
        <w:rPr>
          <w:rFonts w:ascii="Palatino Linotype" w:hAnsi="Palatino Linotype"/>
          <w:sz w:val="20"/>
          <w:szCs w:val="20"/>
          <w:lang w:val="en-GB"/>
        </w:rPr>
        <w:t xml:space="preserve">This 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corresponds to a cycle of the length of </w:t>
      </w:r>
      <w:r w:rsidRPr="003118E7">
        <w:rPr>
          <w:rFonts w:ascii="Palatino Linotype" w:hAnsi="Palatino Linotype"/>
          <w:sz w:val="20"/>
          <w:szCs w:val="20"/>
          <w:lang w:val="en-GB"/>
        </w:rPr>
        <w:t>approximately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 36 </w:t>
      </w:r>
      <w:proofErr w:type="spellStart"/>
      <w:r w:rsidR="00FA2B12" w:rsidRPr="003118E7">
        <w:rPr>
          <w:rFonts w:ascii="Palatino Linotype" w:hAnsi="Palatino Linotype"/>
          <w:sz w:val="20"/>
          <w:szCs w:val="20"/>
          <w:lang w:val="en-GB"/>
        </w:rPr>
        <w:t>dekad</w:t>
      </w:r>
      <w:r w:rsidR="00AC318B" w:rsidRPr="003118E7">
        <w:rPr>
          <w:rFonts w:ascii="Palatino Linotype" w:hAnsi="Palatino Linotype"/>
          <w:sz w:val="20"/>
          <w:szCs w:val="20"/>
          <w:lang w:val="en-GB"/>
        </w:rPr>
        <w:t>s</w:t>
      </w:r>
      <w:proofErr w:type="spellEnd"/>
      <w:r w:rsidR="00AC318B" w:rsidRPr="003118E7">
        <w:rPr>
          <w:rFonts w:ascii="Palatino Linotype" w:hAnsi="Palatino Linotype"/>
          <w:sz w:val="20"/>
          <w:szCs w:val="20"/>
          <w:lang w:val="en-GB"/>
        </w:rPr>
        <w:t xml:space="preserve">, or 1 year. </w:t>
      </w:r>
    </w:p>
    <w:p w14:paraId="337E8CBA" w14:textId="77777777" w:rsidR="00AF04BD" w:rsidRPr="003118E7" w:rsidRDefault="00AF04BD" w:rsidP="00AF04BD">
      <w:pPr>
        <w:rPr>
          <w:rFonts w:ascii="Palatino Linotype" w:hAnsi="Palatino Linotype"/>
          <w:sz w:val="20"/>
          <w:szCs w:val="20"/>
          <w:lang w:val="en-GB"/>
        </w:rPr>
      </w:pPr>
    </w:p>
    <w:p w14:paraId="37ACC4EC" w14:textId="77777777" w:rsidR="00AC318B" w:rsidRPr="003118E7" w:rsidRDefault="00AC318B" w:rsidP="00641678">
      <w:pPr>
        <w:jc w:val="center"/>
        <w:rPr>
          <w:rFonts w:ascii="Palatino Linotype" w:hAnsi="Palatino Linotype"/>
          <w:sz w:val="20"/>
          <w:szCs w:val="20"/>
        </w:rPr>
      </w:pPr>
      <w:r w:rsidRPr="003118E7">
        <w:rPr>
          <w:rFonts w:ascii="Palatino Linotype" w:hAnsi="Palatino Linotype"/>
          <w:noProof/>
          <w:sz w:val="20"/>
          <w:szCs w:val="20"/>
          <w:lang w:val="en-US" w:eastAsia="zh-CN"/>
        </w:rPr>
        <w:drawing>
          <wp:inline distT="0" distB="0" distL="0" distR="0" wp14:anchorId="214FAEFF" wp14:editId="46BA7832">
            <wp:extent cx="4935626" cy="3691467"/>
            <wp:effectExtent l="0" t="0" r="5080" b="4445"/>
            <wp:docPr id="5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03" cy="369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B5252" w14:textId="3E3E050B" w:rsidR="00AC318B" w:rsidRPr="003118E7" w:rsidRDefault="00E2458F" w:rsidP="00E42880">
      <w:pPr>
        <w:jc w:val="center"/>
        <w:outlineLvl w:val="0"/>
        <w:rPr>
          <w:rFonts w:ascii="Palatino Linotype" w:hAnsi="Palatino Linotype"/>
          <w:noProof/>
          <w:sz w:val="20"/>
          <w:szCs w:val="20"/>
          <w:lang w:val="en-US"/>
        </w:rPr>
      </w:pPr>
      <w:r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Figure </w:t>
      </w:r>
      <w:r w:rsidR="003118E7" w:rsidRPr="003118E7">
        <w:rPr>
          <w:rFonts w:ascii="Palatino Linotype" w:hAnsi="Palatino Linotype"/>
          <w:noProof/>
          <w:sz w:val="20"/>
          <w:szCs w:val="20"/>
          <w:lang w:val="en-US"/>
        </w:rPr>
        <w:t>S5</w:t>
      </w:r>
      <w:r w:rsidR="00782BF7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. </w:t>
      </w:r>
      <w:r w:rsidR="005C281F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Periodogram, </w:t>
      </w:r>
      <w:r w:rsidR="00FC6B86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108 endemic </w:t>
      </w:r>
      <w:r w:rsidR="008A0159" w:rsidRPr="003118E7">
        <w:rPr>
          <w:rFonts w:ascii="Palatino Linotype" w:hAnsi="Palatino Linotype"/>
          <w:noProof/>
          <w:sz w:val="20"/>
          <w:szCs w:val="20"/>
          <w:lang w:val="en-US"/>
        </w:rPr>
        <w:t>municipalities</w:t>
      </w:r>
      <w:r w:rsidR="005C281F" w:rsidRPr="003118E7">
        <w:rPr>
          <w:rFonts w:ascii="Palatino Linotype" w:hAnsi="Palatino Linotype"/>
          <w:noProof/>
          <w:sz w:val="20"/>
          <w:szCs w:val="20"/>
          <w:lang w:val="en-US"/>
        </w:rPr>
        <w:t>, 1999-2012.</w:t>
      </w:r>
    </w:p>
    <w:p w14:paraId="01CCF643" w14:textId="2A1E78E6" w:rsidR="005C281F" w:rsidRPr="003118E7" w:rsidRDefault="005C281F" w:rsidP="00AF04BD">
      <w:pPr>
        <w:rPr>
          <w:rFonts w:ascii="Palatino Linotype" w:hAnsi="Palatino Linotype"/>
          <w:sz w:val="20"/>
          <w:szCs w:val="20"/>
          <w:lang w:val="en-GB"/>
        </w:rPr>
      </w:pPr>
    </w:p>
    <w:p w14:paraId="1678402A" w14:textId="6C5452B5" w:rsidR="002467ED" w:rsidRPr="003118E7" w:rsidRDefault="002467ED" w:rsidP="002467ED">
      <w:pPr>
        <w:outlineLvl w:val="0"/>
        <w:rPr>
          <w:rFonts w:ascii="Palatino Linotype" w:hAnsi="Palatino Linotype"/>
          <w:i/>
          <w:sz w:val="20"/>
          <w:szCs w:val="20"/>
          <w:lang w:val="en-US"/>
        </w:rPr>
      </w:pPr>
      <w:r w:rsidRPr="003118E7">
        <w:rPr>
          <w:rFonts w:ascii="Palatino Linotype" w:hAnsi="Palatino Linotype"/>
          <w:i/>
          <w:sz w:val="20"/>
          <w:szCs w:val="20"/>
          <w:lang w:val="en-US"/>
        </w:rPr>
        <w:t>4.2. Partial autocorrelation plot</w:t>
      </w:r>
    </w:p>
    <w:p w14:paraId="6E10D2EA" w14:textId="77777777" w:rsidR="002467ED" w:rsidRPr="003118E7" w:rsidRDefault="002467ED" w:rsidP="00AF04BD">
      <w:pPr>
        <w:rPr>
          <w:rFonts w:ascii="Palatino Linotype" w:hAnsi="Palatino Linotype"/>
          <w:sz w:val="20"/>
          <w:szCs w:val="20"/>
          <w:lang w:val="en-US"/>
        </w:rPr>
      </w:pPr>
    </w:p>
    <w:p w14:paraId="1F6203A9" w14:textId="1808D60F" w:rsidR="00AC318B" w:rsidRPr="003118E7" w:rsidRDefault="00AC318B" w:rsidP="005C281F">
      <w:pPr>
        <w:ind w:firstLine="426"/>
        <w:rPr>
          <w:rFonts w:ascii="Palatino Linotype" w:hAnsi="Palatino Linotype"/>
          <w:sz w:val="20"/>
          <w:szCs w:val="20"/>
          <w:lang w:val="en-GB"/>
        </w:rPr>
      </w:pPr>
      <w:r w:rsidRPr="003118E7">
        <w:rPr>
          <w:rFonts w:ascii="Palatino Linotype" w:hAnsi="Palatino Linotype"/>
          <w:sz w:val="20"/>
          <w:szCs w:val="20"/>
          <w:lang w:val="en-GB"/>
        </w:rPr>
        <w:t>The partial autocorrelation plot indicates autocorrelation in the time series of TBE cases</w:t>
      </w:r>
      <w:r w:rsidR="002467ED" w:rsidRPr="003118E7">
        <w:rPr>
          <w:rFonts w:ascii="Palatino Linotype" w:hAnsi="Palatino Linotype"/>
          <w:sz w:val="20"/>
          <w:szCs w:val="20"/>
          <w:lang w:val="en-GB"/>
        </w:rPr>
        <w:t xml:space="preserve"> (Figure S4</w:t>
      </w:r>
      <w:r w:rsidR="000E6DF6" w:rsidRPr="003118E7">
        <w:rPr>
          <w:rFonts w:ascii="Palatino Linotype" w:hAnsi="Palatino Linotype"/>
          <w:sz w:val="20"/>
          <w:szCs w:val="20"/>
          <w:lang w:val="en-GB"/>
        </w:rPr>
        <w:t>.2)</w:t>
      </w:r>
      <w:r w:rsidRPr="003118E7">
        <w:rPr>
          <w:rFonts w:ascii="Palatino Linotype" w:hAnsi="Palatino Linotype"/>
          <w:sz w:val="20"/>
          <w:szCs w:val="20"/>
          <w:lang w:val="en-GB"/>
        </w:rPr>
        <w:t xml:space="preserve">. Especially, the first-order autocorrelation (lag 1) is high (0.8). Other significant autocorrelation coefficients are much </w:t>
      </w:r>
      <w:r w:rsidR="005C281F" w:rsidRPr="003118E7">
        <w:rPr>
          <w:rFonts w:ascii="Palatino Linotype" w:hAnsi="Palatino Linotype"/>
          <w:sz w:val="20"/>
          <w:szCs w:val="20"/>
          <w:lang w:val="en-GB"/>
        </w:rPr>
        <w:t>smaller,</w:t>
      </w:r>
      <w:r w:rsidRPr="003118E7">
        <w:rPr>
          <w:rFonts w:ascii="Palatino Linotype" w:hAnsi="Palatino Linotype"/>
          <w:sz w:val="20"/>
          <w:szCs w:val="20"/>
          <w:lang w:val="en-GB"/>
        </w:rPr>
        <w:t xml:space="preserve"> and they are likely due to annual cycle (negative correlation with lags of approximately</w:t>
      </w:r>
      <w:r w:rsidR="00FA2B12" w:rsidRPr="003118E7">
        <w:rPr>
          <w:rFonts w:ascii="Palatino Linotype" w:hAnsi="Palatino Linotype"/>
          <w:sz w:val="20"/>
          <w:szCs w:val="20"/>
          <w:lang w:val="en-GB"/>
        </w:rPr>
        <w:t xml:space="preserve"> 0.5 year and positive with lags</w:t>
      </w:r>
      <w:r w:rsidRPr="003118E7">
        <w:rPr>
          <w:rFonts w:ascii="Palatino Linotype" w:hAnsi="Palatino Linotype"/>
          <w:sz w:val="20"/>
          <w:szCs w:val="20"/>
          <w:lang w:val="en-GB"/>
        </w:rPr>
        <w:t xml:space="preserve"> of approximately 1 year).</w:t>
      </w:r>
    </w:p>
    <w:p w14:paraId="0E332537" w14:textId="77777777" w:rsidR="00AC318B" w:rsidRPr="003118E7" w:rsidRDefault="00AC318B" w:rsidP="00641678">
      <w:pPr>
        <w:jc w:val="center"/>
        <w:rPr>
          <w:rFonts w:ascii="Palatino Linotype" w:hAnsi="Palatino Linotype"/>
          <w:sz w:val="20"/>
          <w:szCs w:val="20"/>
          <w:lang w:val="en-GB"/>
        </w:rPr>
      </w:pPr>
      <w:r w:rsidRPr="003118E7">
        <w:rPr>
          <w:rFonts w:ascii="Palatino Linotype" w:hAnsi="Palatino Linotype"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598B1C1C" wp14:editId="253269B1">
            <wp:extent cx="4822879" cy="3615266"/>
            <wp:effectExtent l="0" t="0" r="3175" b="4445"/>
            <wp:docPr id="6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516" cy="363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4EDE8" w14:textId="4DD2B4CB" w:rsidR="005C281F" w:rsidRPr="003118E7" w:rsidRDefault="00E2458F" w:rsidP="00E42880">
      <w:pPr>
        <w:jc w:val="center"/>
        <w:outlineLvl w:val="0"/>
        <w:rPr>
          <w:rFonts w:ascii="Palatino Linotype" w:hAnsi="Palatino Linotype"/>
          <w:noProof/>
          <w:sz w:val="20"/>
          <w:szCs w:val="20"/>
          <w:lang w:val="en-US"/>
        </w:rPr>
      </w:pPr>
      <w:r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Figure </w:t>
      </w:r>
      <w:r w:rsidR="003118E7" w:rsidRPr="003118E7">
        <w:rPr>
          <w:rFonts w:ascii="Palatino Linotype" w:hAnsi="Palatino Linotype"/>
          <w:noProof/>
          <w:sz w:val="20"/>
          <w:szCs w:val="20"/>
          <w:lang w:val="en-US"/>
        </w:rPr>
        <w:t>S6</w:t>
      </w:r>
      <w:r w:rsidR="005C281F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. Partial autocorrelation plot, </w:t>
      </w:r>
      <w:r w:rsidR="00521897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108 endemic </w:t>
      </w:r>
      <w:r w:rsidR="008A0159" w:rsidRPr="003118E7">
        <w:rPr>
          <w:rFonts w:ascii="Palatino Linotype" w:hAnsi="Palatino Linotype"/>
          <w:noProof/>
          <w:sz w:val="20"/>
          <w:szCs w:val="20"/>
          <w:lang w:val="en-US"/>
        </w:rPr>
        <w:t>municipalities</w:t>
      </w:r>
      <w:r w:rsidR="005C281F" w:rsidRPr="003118E7">
        <w:rPr>
          <w:rFonts w:ascii="Palatino Linotype" w:hAnsi="Palatino Linotype"/>
          <w:noProof/>
          <w:sz w:val="20"/>
          <w:szCs w:val="20"/>
          <w:lang w:val="en-US"/>
        </w:rPr>
        <w:t>, 1999-2012.</w:t>
      </w:r>
    </w:p>
    <w:p w14:paraId="5B277902" w14:textId="77777777" w:rsidR="00AC318B" w:rsidRPr="003118E7" w:rsidRDefault="00AC318B" w:rsidP="00AF04BD">
      <w:pPr>
        <w:rPr>
          <w:rFonts w:ascii="Palatino Linotype" w:hAnsi="Palatino Linotype"/>
          <w:sz w:val="20"/>
          <w:szCs w:val="20"/>
          <w:lang w:val="en-GB"/>
        </w:rPr>
      </w:pPr>
    </w:p>
    <w:p w14:paraId="145A2D40" w14:textId="276EB966" w:rsidR="00AC318B" w:rsidRPr="003118E7" w:rsidRDefault="002467ED" w:rsidP="00E42880">
      <w:pPr>
        <w:outlineLvl w:val="0"/>
        <w:rPr>
          <w:rFonts w:ascii="Palatino Linotype" w:hAnsi="Palatino Linotype"/>
          <w:i/>
          <w:sz w:val="20"/>
          <w:szCs w:val="20"/>
          <w:lang w:val="en-GB"/>
        </w:rPr>
      </w:pPr>
      <w:r w:rsidRPr="003118E7">
        <w:rPr>
          <w:rFonts w:ascii="Palatino Linotype" w:hAnsi="Palatino Linotype"/>
          <w:i/>
          <w:sz w:val="20"/>
          <w:szCs w:val="20"/>
          <w:lang w:val="en-GB"/>
        </w:rPr>
        <w:t>4</w:t>
      </w:r>
      <w:r w:rsidR="00782BF7" w:rsidRPr="003118E7">
        <w:rPr>
          <w:rFonts w:ascii="Palatino Linotype" w:hAnsi="Palatino Linotype"/>
          <w:i/>
          <w:sz w:val="20"/>
          <w:szCs w:val="20"/>
          <w:lang w:val="en-GB"/>
        </w:rPr>
        <w:t xml:space="preserve">.3. </w:t>
      </w:r>
      <w:r w:rsidR="00AC318B" w:rsidRPr="003118E7">
        <w:rPr>
          <w:rFonts w:ascii="Palatino Linotype" w:hAnsi="Palatino Linotype"/>
          <w:i/>
          <w:sz w:val="20"/>
          <w:szCs w:val="20"/>
          <w:lang w:val="en-GB"/>
        </w:rPr>
        <w:t xml:space="preserve">Dickey-Fuller test </w:t>
      </w:r>
    </w:p>
    <w:p w14:paraId="4EF9C019" w14:textId="77777777" w:rsidR="00FC3616" w:rsidRPr="003118E7" w:rsidRDefault="00FC3616" w:rsidP="00AF04BD">
      <w:pPr>
        <w:rPr>
          <w:rFonts w:ascii="Palatino Linotype" w:hAnsi="Palatino Linotype"/>
          <w:sz w:val="20"/>
          <w:szCs w:val="20"/>
          <w:lang w:val="en-GB"/>
        </w:rPr>
      </w:pPr>
    </w:p>
    <w:p w14:paraId="6286BCD3" w14:textId="165BD651" w:rsidR="00AC318B" w:rsidRPr="003118E7" w:rsidRDefault="00AC318B" w:rsidP="00FC3616">
      <w:pPr>
        <w:ind w:firstLine="426"/>
        <w:rPr>
          <w:rFonts w:ascii="Palatino Linotype" w:hAnsi="Palatino Linotype"/>
          <w:sz w:val="20"/>
          <w:szCs w:val="20"/>
          <w:lang w:val="en-GB"/>
        </w:rPr>
      </w:pPr>
      <w:r w:rsidRPr="003118E7">
        <w:rPr>
          <w:rFonts w:ascii="Palatino Linotype" w:hAnsi="Palatino Linotype"/>
          <w:sz w:val="20"/>
          <w:szCs w:val="20"/>
          <w:lang w:val="en-GB"/>
        </w:rPr>
        <w:t>The Dickey – Fu</w:t>
      </w:r>
      <w:r w:rsidR="00BE01B8" w:rsidRPr="003118E7">
        <w:rPr>
          <w:rFonts w:ascii="Palatino Linotype" w:hAnsi="Palatino Linotype"/>
          <w:sz w:val="20"/>
          <w:szCs w:val="20"/>
          <w:lang w:val="en-GB"/>
        </w:rPr>
        <w:t>ll</w:t>
      </w:r>
      <w:r w:rsidR="0014613B" w:rsidRPr="003118E7">
        <w:rPr>
          <w:rFonts w:ascii="Palatino Linotype" w:hAnsi="Palatino Linotype"/>
          <w:sz w:val="20"/>
          <w:szCs w:val="20"/>
          <w:lang w:val="en-GB"/>
        </w:rPr>
        <w:t>er test is testing</w:t>
      </w:r>
      <w:r w:rsidR="00A416F5" w:rsidRPr="003118E7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Pr="003118E7">
        <w:rPr>
          <w:rFonts w:ascii="Palatino Linotype" w:hAnsi="Palatino Linotype"/>
          <w:sz w:val="20"/>
          <w:szCs w:val="20"/>
          <w:lang w:val="en-GB"/>
        </w:rPr>
        <w:t>the null hypothesis of whether a unit root is present in an autoregressive model</w:t>
      </w:r>
      <w:r w:rsidR="00E6267F" w:rsidRPr="003118E7">
        <w:rPr>
          <w:rFonts w:ascii="Palatino Linotype" w:hAnsi="Palatino Linotype"/>
          <w:sz w:val="20"/>
          <w:szCs w:val="20"/>
          <w:lang w:val="en-GB"/>
        </w:rPr>
        <w:t xml:space="preserve"> (Table </w:t>
      </w:r>
      <w:r w:rsidR="003118E7" w:rsidRPr="003118E7">
        <w:rPr>
          <w:rFonts w:ascii="Palatino Linotype" w:hAnsi="Palatino Linotype"/>
          <w:sz w:val="20"/>
          <w:szCs w:val="20"/>
          <w:lang w:val="en-GB"/>
        </w:rPr>
        <w:t>S2</w:t>
      </w:r>
      <w:r w:rsidR="007767D9" w:rsidRPr="003118E7">
        <w:rPr>
          <w:rFonts w:ascii="Palatino Linotype" w:hAnsi="Palatino Linotype"/>
          <w:sz w:val="20"/>
          <w:szCs w:val="20"/>
          <w:lang w:val="en-GB"/>
        </w:rPr>
        <w:t>)</w:t>
      </w:r>
      <w:r w:rsidRPr="003118E7">
        <w:rPr>
          <w:rFonts w:ascii="Palatino Linotype" w:hAnsi="Palatino Linotype"/>
          <w:sz w:val="20"/>
          <w:szCs w:val="20"/>
          <w:lang w:val="en-GB"/>
        </w:rPr>
        <w:t>. The significant result of this test indicates that the alternative hypothesis is true, i.e. our series is stationary.</w:t>
      </w:r>
    </w:p>
    <w:p w14:paraId="0BD9F5E6" w14:textId="26552299" w:rsidR="00257E7C" w:rsidRPr="003118E7" w:rsidRDefault="00257E7C" w:rsidP="00257E7C">
      <w:pPr>
        <w:rPr>
          <w:rFonts w:ascii="Palatino Linotype" w:hAnsi="Palatino Linotype"/>
          <w:sz w:val="20"/>
          <w:szCs w:val="20"/>
          <w:lang w:val="en-US"/>
        </w:rPr>
      </w:pPr>
    </w:p>
    <w:tbl>
      <w:tblPr>
        <w:tblW w:w="80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74"/>
        <w:gridCol w:w="1769"/>
        <w:gridCol w:w="1723"/>
        <w:gridCol w:w="1894"/>
      </w:tblGrid>
      <w:tr w:rsidR="001F4DA2" w:rsidRPr="003118E7" w14:paraId="44A526BF" w14:textId="77777777" w:rsidTr="00490740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B3AF1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D106D9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Test Statistic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E005765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1% Critical Value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25B01C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5% Critical Value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6E1EF46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10% Critical Value</w:t>
            </w:r>
          </w:p>
        </w:tc>
      </w:tr>
      <w:tr w:rsidR="001F4DA2" w:rsidRPr="003118E7" w14:paraId="6B55F1B9" w14:textId="77777777" w:rsidTr="0049074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50D2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  <w:lang w:val="fr-FR"/>
              </w:rPr>
              <w:t>Z(t)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3D30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-7.023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3D6B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-2.334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09B0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-1.648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7A48" w14:textId="77777777" w:rsidR="00257E7C" w:rsidRPr="003118E7" w:rsidRDefault="00257E7C" w:rsidP="00080DD1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3118E7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-1.283</w:t>
            </w:r>
          </w:p>
        </w:tc>
      </w:tr>
      <w:tr w:rsidR="001F4DA2" w:rsidRPr="003118E7" w14:paraId="09836166" w14:textId="77777777" w:rsidTr="00490740">
        <w:trPr>
          <w:trHeight w:val="300"/>
          <w:jc w:val="center"/>
        </w:trPr>
        <w:tc>
          <w:tcPr>
            <w:tcW w:w="8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30AE" w14:textId="77777777" w:rsidR="00257E7C" w:rsidRPr="003118E7" w:rsidRDefault="00257E7C" w:rsidP="00080DD1">
            <w:pPr>
              <w:rPr>
                <w:rFonts w:ascii="Palatino Linotype" w:hAnsi="Palatino Linotype" w:cs="Calibri"/>
                <w:sz w:val="20"/>
                <w:szCs w:val="20"/>
                <w:lang w:val="en-US"/>
              </w:rPr>
            </w:pPr>
            <w:r w:rsidRPr="003118E7">
              <w:rPr>
                <w:rFonts w:ascii="Palatino Linotype" w:hAnsi="Palatino Linotype" w:cs="Calibri"/>
                <w:sz w:val="20"/>
                <w:szCs w:val="20"/>
                <w:lang w:val="en-US"/>
              </w:rPr>
              <w:t>p-value for Z(t) = 0.0000</w:t>
            </w:r>
          </w:p>
        </w:tc>
      </w:tr>
    </w:tbl>
    <w:p w14:paraId="103C45E6" w14:textId="0473D87D" w:rsidR="00257E7C" w:rsidRPr="003118E7" w:rsidRDefault="00E6267F" w:rsidP="001F4DA2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3118E7">
        <w:rPr>
          <w:rFonts w:ascii="Palatino Linotype" w:hAnsi="Palatino Linotype"/>
          <w:sz w:val="20"/>
          <w:szCs w:val="20"/>
          <w:lang w:val="en-US"/>
        </w:rPr>
        <w:t xml:space="preserve">Table </w:t>
      </w:r>
      <w:r w:rsidR="003118E7" w:rsidRPr="003118E7">
        <w:rPr>
          <w:rFonts w:ascii="Palatino Linotype" w:hAnsi="Palatino Linotype"/>
          <w:sz w:val="20"/>
          <w:szCs w:val="20"/>
          <w:lang w:val="en-US"/>
        </w:rPr>
        <w:t>S2</w:t>
      </w:r>
      <w:r w:rsidR="00257E7C" w:rsidRPr="003118E7">
        <w:rPr>
          <w:rFonts w:ascii="Palatino Linotype" w:hAnsi="Palatino Linotype"/>
          <w:sz w:val="20"/>
          <w:szCs w:val="20"/>
          <w:lang w:val="en-US"/>
        </w:rPr>
        <w:t>. Augmented Dickey-Fuller test for unit root (n= 502)</w:t>
      </w:r>
      <w:r w:rsidR="00521897" w:rsidRPr="003118E7">
        <w:rPr>
          <w:rFonts w:ascii="Palatino Linotype" w:hAnsi="Palatino Linotype"/>
          <w:sz w:val="20"/>
          <w:szCs w:val="20"/>
          <w:lang w:val="en-US"/>
        </w:rPr>
        <w:t xml:space="preserve">, </w:t>
      </w:r>
      <w:r w:rsidR="00521897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108 endemic </w:t>
      </w:r>
      <w:r w:rsidR="008A0159" w:rsidRPr="003118E7">
        <w:rPr>
          <w:rFonts w:ascii="Palatino Linotype" w:hAnsi="Palatino Linotype"/>
          <w:noProof/>
          <w:sz w:val="20"/>
          <w:szCs w:val="20"/>
          <w:lang w:val="en-US"/>
        </w:rPr>
        <w:t>municipalities</w:t>
      </w:r>
      <w:r w:rsidR="00521897" w:rsidRPr="003118E7">
        <w:rPr>
          <w:rFonts w:ascii="Palatino Linotype" w:hAnsi="Palatino Linotype"/>
          <w:noProof/>
          <w:sz w:val="20"/>
          <w:szCs w:val="20"/>
          <w:lang w:val="en-US"/>
        </w:rPr>
        <w:t>, 1999-2012.</w:t>
      </w:r>
    </w:p>
    <w:p w14:paraId="0CD5EBF3" w14:textId="02265132" w:rsidR="00257E7C" w:rsidRPr="003118E7" w:rsidRDefault="00257E7C" w:rsidP="00257E7C">
      <w:pPr>
        <w:rPr>
          <w:rFonts w:ascii="Palatino Linotype" w:hAnsi="Palatino Linotype"/>
          <w:sz w:val="20"/>
          <w:szCs w:val="20"/>
          <w:lang w:val="en-US"/>
        </w:rPr>
      </w:pPr>
    </w:p>
    <w:p w14:paraId="282D5CDA" w14:textId="6B44E77C" w:rsidR="00A02232" w:rsidRPr="003118E7" w:rsidRDefault="00A02232" w:rsidP="00A02232">
      <w:pPr>
        <w:outlineLvl w:val="0"/>
        <w:rPr>
          <w:rFonts w:ascii="Palatino Linotype" w:hAnsi="Palatino Linotype"/>
          <w:i/>
          <w:sz w:val="20"/>
          <w:szCs w:val="20"/>
          <w:lang w:val="en-GB"/>
        </w:rPr>
      </w:pPr>
      <w:r w:rsidRPr="003118E7">
        <w:rPr>
          <w:rFonts w:ascii="Palatino Linotype" w:hAnsi="Palatino Linotype"/>
          <w:i/>
          <w:sz w:val="20"/>
          <w:szCs w:val="20"/>
          <w:lang w:val="en-GB"/>
        </w:rPr>
        <w:t xml:space="preserve">4.4. Longitudinal trend in the TBE times series </w:t>
      </w:r>
    </w:p>
    <w:p w14:paraId="130595E0" w14:textId="158AE170" w:rsidR="00A02232" w:rsidRPr="003118E7" w:rsidRDefault="00A02232" w:rsidP="00257E7C">
      <w:pPr>
        <w:rPr>
          <w:rFonts w:ascii="Palatino Linotype" w:hAnsi="Palatino Linotype"/>
          <w:sz w:val="20"/>
          <w:szCs w:val="20"/>
          <w:lang w:val="en-US"/>
        </w:rPr>
      </w:pPr>
    </w:p>
    <w:p w14:paraId="735232BD" w14:textId="4E685766" w:rsidR="00257E7C" w:rsidRPr="003118E7" w:rsidRDefault="00DC7D0C" w:rsidP="00257E7C">
      <w:pPr>
        <w:ind w:firstLine="426"/>
        <w:rPr>
          <w:rFonts w:ascii="Palatino Linotype" w:hAnsi="Palatino Linotype"/>
          <w:sz w:val="20"/>
          <w:szCs w:val="20"/>
          <w:lang w:val="en-US"/>
        </w:rPr>
      </w:pPr>
      <w:r w:rsidRPr="003118E7">
        <w:rPr>
          <w:rFonts w:ascii="Palatino Linotype" w:hAnsi="Palatino Linotype"/>
          <w:sz w:val="20"/>
          <w:szCs w:val="20"/>
          <w:lang w:val="en-US"/>
        </w:rPr>
        <w:t>T</w:t>
      </w:r>
      <w:r w:rsidR="00257E7C" w:rsidRPr="003118E7">
        <w:rPr>
          <w:rFonts w:ascii="Palatino Linotype" w:hAnsi="Palatino Linotype"/>
          <w:sz w:val="20"/>
          <w:szCs w:val="20"/>
          <w:lang w:val="en-US"/>
        </w:rPr>
        <w:t xml:space="preserve">he decomposition for seasonal, trend and random components showed no explicit increasing or decreasing trend in </w:t>
      </w:r>
      <w:r w:rsidR="007E486E" w:rsidRPr="003118E7">
        <w:rPr>
          <w:rFonts w:ascii="Palatino Linotype" w:hAnsi="Palatino Linotype"/>
          <w:sz w:val="20"/>
          <w:szCs w:val="20"/>
          <w:lang w:val="en-US"/>
        </w:rPr>
        <w:t xml:space="preserve">10-year </w:t>
      </w:r>
      <w:r w:rsidR="00257E7C" w:rsidRPr="003118E7">
        <w:rPr>
          <w:rFonts w:ascii="Palatino Linotype" w:hAnsi="Palatino Linotype"/>
          <w:sz w:val="20"/>
          <w:szCs w:val="20"/>
          <w:lang w:val="en-US"/>
        </w:rPr>
        <w:t xml:space="preserve">time series with number of cases from endemic </w:t>
      </w:r>
      <w:r w:rsidR="008A0159" w:rsidRPr="003118E7">
        <w:rPr>
          <w:rFonts w:ascii="Palatino Linotype" w:hAnsi="Palatino Linotype"/>
          <w:sz w:val="20"/>
          <w:szCs w:val="20"/>
          <w:lang w:val="en-US"/>
        </w:rPr>
        <w:t>municipalities</w:t>
      </w:r>
      <w:r w:rsidR="00CC5FA2" w:rsidRPr="003118E7">
        <w:rPr>
          <w:rFonts w:ascii="Palatino Linotype" w:hAnsi="Palatino Linotype"/>
          <w:sz w:val="20"/>
          <w:szCs w:val="20"/>
          <w:lang w:val="en-US"/>
        </w:rPr>
        <w:t xml:space="preserve"> (Figure </w:t>
      </w:r>
      <w:r w:rsidR="003118E7" w:rsidRPr="003118E7">
        <w:rPr>
          <w:rFonts w:ascii="Palatino Linotype" w:hAnsi="Palatino Linotype"/>
          <w:sz w:val="20"/>
          <w:szCs w:val="20"/>
          <w:lang w:val="en-US"/>
        </w:rPr>
        <w:t>S7</w:t>
      </w:r>
      <w:r w:rsidR="00FA1592" w:rsidRPr="003118E7">
        <w:rPr>
          <w:rFonts w:ascii="Palatino Linotype" w:hAnsi="Palatino Linotype"/>
          <w:sz w:val="20"/>
          <w:szCs w:val="20"/>
          <w:lang w:val="en-US"/>
        </w:rPr>
        <w:t>)</w:t>
      </w:r>
      <w:r w:rsidR="00257E7C" w:rsidRPr="003118E7">
        <w:rPr>
          <w:rFonts w:ascii="Palatino Linotype" w:hAnsi="Palatino Linotype"/>
          <w:sz w:val="20"/>
          <w:szCs w:val="20"/>
          <w:lang w:val="en-US"/>
        </w:rPr>
        <w:t>.</w:t>
      </w:r>
    </w:p>
    <w:p w14:paraId="00C9E863" w14:textId="6F8F1A53" w:rsidR="000B7352" w:rsidRPr="003118E7" w:rsidRDefault="00BE22D9" w:rsidP="00BE22D9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3118E7">
        <w:rPr>
          <w:rFonts w:ascii="Palatino Linotype" w:hAnsi="Palatino Linotype"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63BB12A2" wp14:editId="5D7A7B43">
            <wp:extent cx="5618998" cy="273473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763" cy="274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1C462" w14:textId="5EFCB463" w:rsidR="00BE22D9" w:rsidRPr="00257E7C" w:rsidRDefault="00723A03" w:rsidP="00945175">
      <w:pPr>
        <w:jc w:val="center"/>
        <w:rPr>
          <w:rFonts w:ascii="Palatino Linotype" w:hAnsi="Palatino Linotype"/>
          <w:noProof/>
          <w:sz w:val="20"/>
          <w:szCs w:val="20"/>
          <w:lang w:val="en-US"/>
        </w:rPr>
      </w:pPr>
      <w:r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Figure </w:t>
      </w:r>
      <w:r w:rsidR="003118E7" w:rsidRPr="003118E7">
        <w:rPr>
          <w:rFonts w:ascii="Palatino Linotype" w:hAnsi="Palatino Linotype"/>
          <w:noProof/>
          <w:sz w:val="20"/>
          <w:szCs w:val="20"/>
          <w:lang w:val="en-US"/>
        </w:rPr>
        <w:t>S7</w:t>
      </w:r>
      <w:r w:rsidR="00BE22D9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. TBE cases time series (black) and trend component (blue), </w:t>
      </w:r>
      <w:r w:rsidR="00533E26" w:rsidRPr="003118E7">
        <w:rPr>
          <w:rFonts w:ascii="Palatino Linotype" w:hAnsi="Palatino Linotype"/>
          <w:noProof/>
          <w:sz w:val="20"/>
          <w:szCs w:val="20"/>
          <w:lang w:val="en-US"/>
        </w:rPr>
        <w:t xml:space="preserve">108 endemic </w:t>
      </w:r>
      <w:r w:rsidR="008A0159" w:rsidRPr="003118E7">
        <w:rPr>
          <w:rFonts w:ascii="Palatino Linotype" w:hAnsi="Palatino Linotype"/>
          <w:noProof/>
          <w:sz w:val="20"/>
          <w:szCs w:val="20"/>
          <w:lang w:val="en-US"/>
        </w:rPr>
        <w:t>municipalities</w:t>
      </w:r>
      <w:r w:rsidR="00BE22D9" w:rsidRPr="003118E7">
        <w:rPr>
          <w:rFonts w:ascii="Palatino Linotype" w:hAnsi="Palatino Linotype"/>
          <w:noProof/>
          <w:sz w:val="20"/>
          <w:szCs w:val="20"/>
          <w:lang w:val="en-US"/>
        </w:rPr>
        <w:t>, 1999-2012.</w:t>
      </w:r>
      <w:bookmarkStart w:id="0" w:name="_GoBack"/>
      <w:bookmarkEnd w:id="0"/>
    </w:p>
    <w:sectPr w:rsidR="00BE22D9" w:rsidRPr="00257E7C" w:rsidSect="006241D8"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8E71C" w14:textId="77777777" w:rsidR="009E670D" w:rsidRDefault="009E670D" w:rsidP="001172EC">
      <w:r>
        <w:separator/>
      </w:r>
    </w:p>
  </w:endnote>
  <w:endnote w:type="continuationSeparator" w:id="0">
    <w:p w14:paraId="411A7F3F" w14:textId="77777777" w:rsidR="009E670D" w:rsidRDefault="009E670D" w:rsidP="0011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panose1 w:val="00000000000000000000"/>
    <w:charset w:val="00"/>
    <w:family w:val="roman"/>
    <w:notTrueType/>
    <w:pitch w:val="default"/>
  </w:font>
  <w:font w:name="DengXi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9B637" w14:textId="27EB5887" w:rsidR="001172EC" w:rsidRPr="001172EC" w:rsidRDefault="001172EC">
    <w:pPr>
      <w:pStyle w:val="Footer"/>
      <w:rPr>
        <w:rFonts w:ascii="Palatino Linotype" w:hAnsi="Palatino Linotype"/>
        <w:i/>
        <w:sz w:val="20"/>
        <w:szCs w:val="20"/>
      </w:rPr>
    </w:pPr>
    <w:r w:rsidRPr="001172EC">
      <w:rPr>
        <w:rFonts w:ascii="Palatino Linotype" w:hAnsi="Palatino Linotype"/>
        <w:i/>
        <w:sz w:val="20"/>
        <w:szCs w:val="20"/>
      </w:rPr>
      <w:t>T</w:t>
    </w:r>
    <w:r w:rsidR="00E3510D">
      <w:rPr>
        <w:rFonts w:ascii="Palatino Linotype" w:hAnsi="Palatino Linotype"/>
        <w:i/>
        <w:sz w:val="20"/>
        <w:szCs w:val="20"/>
      </w:rPr>
      <w:t>BE ecologic determinants, s</w:t>
    </w:r>
    <w:r w:rsidRPr="001172EC">
      <w:rPr>
        <w:rFonts w:ascii="Palatino Linotype" w:hAnsi="Palatino Linotype"/>
        <w:i/>
        <w:sz w:val="20"/>
        <w:szCs w:val="20"/>
      </w:rPr>
      <w:t>upplementary material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49CE9" w14:textId="77777777" w:rsidR="009E670D" w:rsidRDefault="009E670D" w:rsidP="001172EC">
      <w:r>
        <w:separator/>
      </w:r>
    </w:p>
  </w:footnote>
  <w:footnote w:type="continuationSeparator" w:id="0">
    <w:p w14:paraId="1FF74556" w14:textId="77777777" w:rsidR="009E670D" w:rsidRDefault="009E670D" w:rsidP="00117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855499"/>
    <w:multiLevelType w:val="multilevel"/>
    <w:tmpl w:val="0D5836AE"/>
    <w:lvl w:ilvl="0">
      <w:start w:val="1"/>
      <w:numFmt w:val="decimal"/>
      <w:pStyle w:val="Heading1"/>
      <w:lvlText w:val="S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S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8B"/>
    <w:rsid w:val="00004CB6"/>
    <w:rsid w:val="000B7352"/>
    <w:rsid w:val="000E6DF6"/>
    <w:rsid w:val="001172EC"/>
    <w:rsid w:val="0014613B"/>
    <w:rsid w:val="0019616A"/>
    <w:rsid w:val="001A2CA8"/>
    <w:rsid w:val="001F4DA2"/>
    <w:rsid w:val="002467ED"/>
    <w:rsid w:val="00257E7C"/>
    <w:rsid w:val="00306CA6"/>
    <w:rsid w:val="003118E7"/>
    <w:rsid w:val="00463583"/>
    <w:rsid w:val="00490740"/>
    <w:rsid w:val="00521897"/>
    <w:rsid w:val="00533E26"/>
    <w:rsid w:val="0058573A"/>
    <w:rsid w:val="00597A8F"/>
    <w:rsid w:val="005C281F"/>
    <w:rsid w:val="005E2499"/>
    <w:rsid w:val="006241D8"/>
    <w:rsid w:val="00641678"/>
    <w:rsid w:val="00723A03"/>
    <w:rsid w:val="007767D9"/>
    <w:rsid w:val="00782BF7"/>
    <w:rsid w:val="007D156D"/>
    <w:rsid w:val="007E486E"/>
    <w:rsid w:val="008A0159"/>
    <w:rsid w:val="008A52A2"/>
    <w:rsid w:val="008C04F3"/>
    <w:rsid w:val="008C220F"/>
    <w:rsid w:val="00945175"/>
    <w:rsid w:val="00984C20"/>
    <w:rsid w:val="009B6035"/>
    <w:rsid w:val="009E670D"/>
    <w:rsid w:val="00A02232"/>
    <w:rsid w:val="00A416F5"/>
    <w:rsid w:val="00AC318B"/>
    <w:rsid w:val="00AF04BD"/>
    <w:rsid w:val="00BE01B8"/>
    <w:rsid w:val="00BE22D9"/>
    <w:rsid w:val="00CC5FA2"/>
    <w:rsid w:val="00D17AD3"/>
    <w:rsid w:val="00D56D70"/>
    <w:rsid w:val="00D7774C"/>
    <w:rsid w:val="00DC7D0C"/>
    <w:rsid w:val="00E2458F"/>
    <w:rsid w:val="00E3510D"/>
    <w:rsid w:val="00E42880"/>
    <w:rsid w:val="00E6267F"/>
    <w:rsid w:val="00EC114B"/>
    <w:rsid w:val="00EF2900"/>
    <w:rsid w:val="00F13408"/>
    <w:rsid w:val="00FA1592"/>
    <w:rsid w:val="00FA2B12"/>
    <w:rsid w:val="00FC3616"/>
    <w:rsid w:val="00F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346A0"/>
  <w14:defaultImageDpi w14:val="32767"/>
  <w15:chartTrackingRefBased/>
  <w15:docId w15:val="{78D8BF59-1E34-AF4D-B6C8-DE9C603E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18B"/>
    <w:rPr>
      <w:rFonts w:ascii="Times New Roman" w:eastAsia="Times New Roman" w:hAnsi="Times New Roman" w:cs="Times New Roman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318B"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hAnsi="Calibri Light"/>
      <w:b/>
      <w:bCs/>
      <w:color w:val="2F5496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318B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318B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3763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318B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318B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F549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318B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318B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318B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318B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318B"/>
    <w:rPr>
      <w:rFonts w:ascii="Calibri Light" w:eastAsia="Times New Roman" w:hAnsi="Calibri Light" w:cs="Times New Roman"/>
      <w:b/>
      <w:bCs/>
      <w:color w:val="2F5496"/>
      <w:sz w:val="28"/>
      <w:szCs w:val="28"/>
      <w:lang w:val="en-US"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AC318B"/>
    <w:rPr>
      <w:rFonts w:ascii="Calibri Light" w:eastAsia="Times New Roman" w:hAnsi="Calibri Light" w:cs="Times New Roman"/>
      <w:b/>
      <w:bCs/>
      <w:color w:val="4472C4"/>
      <w:sz w:val="26"/>
      <w:szCs w:val="26"/>
      <w:lang w:eastAsia="pl-PL"/>
    </w:rPr>
  </w:style>
  <w:style w:type="character" w:customStyle="1" w:styleId="Heading3Char">
    <w:name w:val="Heading 3 Char"/>
    <w:basedOn w:val="DefaultParagraphFont"/>
    <w:link w:val="Heading3"/>
    <w:uiPriority w:val="9"/>
    <w:rsid w:val="00AC318B"/>
    <w:rPr>
      <w:rFonts w:ascii="Calibri Light" w:eastAsia="Times New Roman" w:hAnsi="Calibri Light" w:cs="Times New Roman"/>
      <w:color w:val="1F3763"/>
      <w:lang w:val="en-US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318B"/>
    <w:rPr>
      <w:rFonts w:ascii="Calibri Light" w:eastAsia="Times New Roman" w:hAnsi="Calibri Light" w:cs="Times New Roman"/>
      <w:i/>
      <w:iCs/>
      <w:color w:val="2F5496"/>
      <w:lang w:eastAsia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318B"/>
    <w:rPr>
      <w:rFonts w:ascii="Calibri Light" w:eastAsia="Times New Roman" w:hAnsi="Calibri Light" w:cs="Times New Roman"/>
      <w:color w:val="2F5496"/>
      <w:lang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318B"/>
    <w:rPr>
      <w:rFonts w:ascii="Calibri Light" w:eastAsia="Times New Roman" w:hAnsi="Calibri Light" w:cs="Times New Roman"/>
      <w:color w:val="1F3763"/>
      <w:lang w:eastAsia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318B"/>
    <w:rPr>
      <w:rFonts w:ascii="Calibri Light" w:eastAsia="Times New Roman" w:hAnsi="Calibri Light" w:cs="Times New Roman"/>
      <w:i/>
      <w:iCs/>
      <w:color w:val="1F3763"/>
      <w:lang w:eastAsia="pl-P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318B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318B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NoSpacing">
    <w:name w:val="No Spacing"/>
    <w:uiPriority w:val="1"/>
    <w:qFormat/>
    <w:rsid w:val="00AC318B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C3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1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1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1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18B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1172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2EC"/>
    <w:rPr>
      <w:rFonts w:ascii="Times New Roman" w:eastAsia="Times New Roman" w:hAnsi="Times New Roman" w:cs="Times New Roman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1172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2EC"/>
    <w:rPr>
      <w:rFonts w:ascii="Times New Roman" w:eastAsia="Times New Roman" w:hAnsi="Times New Roman" w:cs="Times New Roman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1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Stefanoff</dc:creator>
  <cp:keywords/>
  <dc:description/>
  <cp:lastModifiedBy>MDPI</cp:lastModifiedBy>
  <cp:revision>47</cp:revision>
  <dcterms:created xsi:type="dcterms:W3CDTF">2018-02-18T17:57:00Z</dcterms:created>
  <dcterms:modified xsi:type="dcterms:W3CDTF">2018-04-03T04:09:00Z</dcterms:modified>
</cp:coreProperties>
</file>