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CC10D" w14:textId="415D8B10" w:rsidR="00EA6423" w:rsidRPr="00D80609" w:rsidRDefault="00662C0A" w:rsidP="007C1690">
      <w:pPr>
        <w:pStyle w:val="MDPI11articletype"/>
        <w:spacing w:before="0"/>
      </w:pPr>
      <w:r>
        <w:t>Online Supplement for:</w:t>
      </w:r>
    </w:p>
    <w:p w14:paraId="3B26C3CC" w14:textId="193AD966" w:rsidR="00EA6423" w:rsidRPr="00D80609" w:rsidRDefault="00D347D5" w:rsidP="007C1690">
      <w:pPr>
        <w:pStyle w:val="MDPI12title"/>
        <w:spacing w:after="0" w:line="240" w:lineRule="auto"/>
      </w:pPr>
      <w:r>
        <w:t xml:space="preserve">The Oakville Oil Refinery Closure and Its Influence on Local Hospitalizations: A Natural Experiment on </w:t>
      </w:r>
      <w:r w:rsidR="003C314C">
        <w:t>S</w:t>
      </w:r>
      <w:r w:rsidR="0035668C">
        <w:t>ulfur</w:t>
      </w:r>
      <w:r>
        <w:t xml:space="preserve"> </w:t>
      </w:r>
      <w:r w:rsidR="003C314C">
        <w:t>D</w:t>
      </w:r>
      <w:r>
        <w:t>ioxide</w:t>
      </w:r>
    </w:p>
    <w:p w14:paraId="2098EAA6" w14:textId="6BC05052" w:rsidR="0011067A" w:rsidRDefault="0011067A" w:rsidP="007C1690">
      <w:pPr>
        <w:pStyle w:val="MDPI13authornames"/>
        <w:spacing w:after="0" w:line="240" w:lineRule="auto"/>
      </w:pPr>
      <w:r>
        <w:t>Wesley</w:t>
      </w:r>
      <w:r w:rsidRPr="00D80609">
        <w:t xml:space="preserve"> </w:t>
      </w:r>
      <w:r>
        <w:t>S. Burr</w:t>
      </w:r>
      <w:r w:rsidRPr="00D80609">
        <w:rPr>
          <w:vertAlign w:val="superscript"/>
        </w:rPr>
        <w:t>1</w:t>
      </w:r>
      <w:r w:rsidRPr="00D80609">
        <w:t xml:space="preserve">, </w:t>
      </w:r>
      <w:r>
        <w:t>Robert Dales</w:t>
      </w:r>
      <w:r>
        <w:rPr>
          <w:vertAlign w:val="superscript"/>
        </w:rPr>
        <w:t>1,2</w:t>
      </w:r>
      <w:r>
        <w:t>, Ling Liu</w:t>
      </w:r>
      <w:r>
        <w:rPr>
          <w:vertAlign w:val="superscript"/>
        </w:rPr>
        <w:t>1</w:t>
      </w:r>
      <w:r>
        <w:t>, Dave Stieb</w:t>
      </w:r>
      <w:r w:rsidR="00277067">
        <w:rPr>
          <w:vertAlign w:val="superscript"/>
        </w:rPr>
        <w:t>1,3</w:t>
      </w:r>
      <w:r w:rsidR="006D5868">
        <w:t>, Marc Smith-Doir</w:t>
      </w:r>
      <w:r>
        <w:t>on</w:t>
      </w:r>
      <w:r>
        <w:rPr>
          <w:vertAlign w:val="superscript"/>
        </w:rPr>
        <w:t>1</w:t>
      </w:r>
      <w:r>
        <w:t>, Branka Jovic</w:t>
      </w:r>
      <w:r>
        <w:rPr>
          <w:vertAlign w:val="superscript"/>
        </w:rPr>
        <w:t>1</w:t>
      </w:r>
      <w:r w:rsidR="00414523">
        <w:t xml:space="preserve">, Lisa </w:t>
      </w:r>
      <w:r>
        <w:t>Marie Kauri</w:t>
      </w:r>
      <w:r>
        <w:rPr>
          <w:vertAlign w:val="superscript"/>
        </w:rPr>
        <w:t>1</w:t>
      </w:r>
      <w:r w:rsidR="00414523">
        <w:t>,</w:t>
      </w:r>
      <w:r w:rsidR="006C7DB4">
        <w:t xml:space="preserve"> </w:t>
      </w:r>
      <w:r w:rsidR="00414523">
        <w:t>and Hwashin Hyun</w:t>
      </w:r>
      <w:r>
        <w:t xml:space="preserve"> Shin</w:t>
      </w:r>
      <w:r w:rsidR="00277067">
        <w:rPr>
          <w:vertAlign w:val="superscript"/>
        </w:rPr>
        <w:t>1,4</w:t>
      </w:r>
      <w:bookmarkStart w:id="0" w:name="_GoBack"/>
      <w:bookmarkEnd w:id="0"/>
      <w:r>
        <w:rPr>
          <w:vertAlign w:val="superscript"/>
        </w:rPr>
        <w:t xml:space="preserve"> *</w:t>
      </w:r>
      <w:r w:rsidRPr="00D80609">
        <w:t xml:space="preserve"> </w:t>
      </w:r>
    </w:p>
    <w:p w14:paraId="3EFD6B14" w14:textId="77777777" w:rsidR="007C1690" w:rsidRPr="007C1690" w:rsidRDefault="007C1690" w:rsidP="007C1690">
      <w:pPr>
        <w:pStyle w:val="MDPI14history"/>
      </w:pPr>
    </w:p>
    <w:p w14:paraId="256E93AF" w14:textId="4C376769" w:rsidR="0011067A" w:rsidRDefault="0011067A" w:rsidP="00DF55AF">
      <w:pPr>
        <w:pStyle w:val="MDPI16affiliation"/>
        <w:numPr>
          <w:ilvl w:val="0"/>
          <w:numId w:val="15"/>
        </w:numPr>
        <w:spacing w:line="240" w:lineRule="auto"/>
        <w:rPr>
          <w:lang w:val="en-CA"/>
        </w:rPr>
      </w:pPr>
      <w:r w:rsidRPr="000F5D88">
        <w:rPr>
          <w:lang w:val="en-CA"/>
        </w:rPr>
        <w:t xml:space="preserve">Environmental Health Science and Research Bureau, Health Canada, Ottawa, ON, </w:t>
      </w:r>
      <w:r>
        <w:rPr>
          <w:lang w:val="en-CA"/>
        </w:rPr>
        <w:t xml:space="preserve">K1A 0K9, </w:t>
      </w:r>
      <w:r w:rsidRPr="000F5D88">
        <w:rPr>
          <w:lang w:val="en-CA"/>
        </w:rPr>
        <w:t>Canada</w:t>
      </w:r>
    </w:p>
    <w:p w14:paraId="279C3DFC" w14:textId="56834CBD" w:rsidR="00DF55AF" w:rsidRPr="000F5D88" w:rsidRDefault="00DF55AF" w:rsidP="00DF55AF">
      <w:pPr>
        <w:pStyle w:val="MDPI16affiliation"/>
        <w:numPr>
          <w:ilvl w:val="0"/>
          <w:numId w:val="15"/>
        </w:numPr>
        <w:spacing w:line="240" w:lineRule="auto"/>
        <w:rPr>
          <w:lang w:val="en-CA"/>
        </w:rPr>
      </w:pPr>
      <w:r w:rsidRPr="00DF55AF">
        <w:rPr>
          <w:lang w:val="en-CA"/>
        </w:rPr>
        <w:t>Ottawa Hospital Research Institute, and University of Ottawa, Ottawa, ON K1H 8L6, Canada</w:t>
      </w:r>
    </w:p>
    <w:p w14:paraId="1E246EF4" w14:textId="11A5EF0F" w:rsidR="0011067A" w:rsidRDefault="00DF55AF" w:rsidP="007C1690">
      <w:pPr>
        <w:pStyle w:val="MDPI16affiliation"/>
        <w:spacing w:line="240" w:lineRule="auto"/>
        <w:rPr>
          <w:lang w:val="en-CA"/>
        </w:rPr>
      </w:pPr>
      <w:r>
        <w:rPr>
          <w:vertAlign w:val="superscript"/>
          <w:lang w:val="en-CA"/>
        </w:rPr>
        <w:t>3</w:t>
      </w:r>
      <w:r w:rsidR="0011067A" w:rsidRPr="000F5D88">
        <w:rPr>
          <w:lang w:val="en-CA"/>
        </w:rPr>
        <w:tab/>
      </w:r>
      <w:r>
        <w:rPr>
          <w:lang w:val="en-CA"/>
        </w:rPr>
        <w:t xml:space="preserve">  </w:t>
      </w:r>
      <w:r w:rsidR="0011067A" w:rsidRPr="000F5D88">
        <w:rPr>
          <w:lang w:val="en-CA"/>
        </w:rPr>
        <w:t xml:space="preserve">School of Epidemiology and Public Health, University of Ottawa, Ottawa, ON, </w:t>
      </w:r>
      <w:r w:rsidR="003D11D5" w:rsidRPr="003C7960">
        <w:t>K1</w:t>
      </w:r>
      <w:r w:rsidR="003D11D5">
        <w:t>G</w:t>
      </w:r>
      <w:r w:rsidR="003D11D5" w:rsidRPr="003C7960">
        <w:t xml:space="preserve"> </w:t>
      </w:r>
      <w:r w:rsidR="003D11D5">
        <w:t>5Z3</w:t>
      </w:r>
      <w:r w:rsidR="0011067A">
        <w:rPr>
          <w:lang w:val="en-CA"/>
        </w:rPr>
        <w:t xml:space="preserve">, </w:t>
      </w:r>
      <w:r w:rsidR="0011067A" w:rsidRPr="000F5D88">
        <w:rPr>
          <w:lang w:val="en-CA"/>
        </w:rPr>
        <w:t>Canada</w:t>
      </w:r>
    </w:p>
    <w:p w14:paraId="6DD9A2D4" w14:textId="67C3D960" w:rsidR="0011067A" w:rsidRPr="000F5D88" w:rsidRDefault="00DF55AF" w:rsidP="007C1690">
      <w:pPr>
        <w:pStyle w:val="MDPI16affiliation"/>
        <w:spacing w:line="240" w:lineRule="auto"/>
        <w:rPr>
          <w:lang w:val="en-CA"/>
        </w:rPr>
      </w:pPr>
      <w:r>
        <w:rPr>
          <w:vertAlign w:val="superscript"/>
          <w:lang w:val="en-CA"/>
        </w:rPr>
        <w:t>4</w:t>
      </w:r>
      <w:r w:rsidR="0011067A" w:rsidRPr="000F5D88">
        <w:rPr>
          <w:lang w:val="en-CA"/>
        </w:rPr>
        <w:tab/>
      </w:r>
      <w:r>
        <w:rPr>
          <w:lang w:val="en-CA"/>
        </w:rPr>
        <w:t xml:space="preserve">  </w:t>
      </w:r>
      <w:r w:rsidR="0011067A" w:rsidRPr="000F5D88">
        <w:rPr>
          <w:lang w:val="en-CA"/>
        </w:rPr>
        <w:t xml:space="preserve">Dept. of Mathematics and Statistics, Queen's University, Kingston, ON, </w:t>
      </w:r>
      <w:r w:rsidR="0011067A">
        <w:rPr>
          <w:lang w:val="en-CA"/>
        </w:rPr>
        <w:t xml:space="preserve">K7L 3N6, </w:t>
      </w:r>
      <w:r w:rsidR="0011067A" w:rsidRPr="000F5D88">
        <w:rPr>
          <w:lang w:val="en-CA"/>
        </w:rPr>
        <w:t>Canada</w:t>
      </w:r>
    </w:p>
    <w:p w14:paraId="64D9F77F" w14:textId="77777777" w:rsidR="004F1E7C" w:rsidRDefault="004F1E7C" w:rsidP="007C1690">
      <w:pPr>
        <w:pStyle w:val="Mdeck2authorcorrespondence"/>
        <w:spacing w:line="240" w:lineRule="auto"/>
        <w:rPr>
          <w:b/>
        </w:rPr>
      </w:pPr>
    </w:p>
    <w:p w14:paraId="514880A5" w14:textId="67FF4A21" w:rsidR="0011067A" w:rsidRPr="000F5D88" w:rsidRDefault="0011067A" w:rsidP="007C1690">
      <w:pPr>
        <w:pStyle w:val="Mdeck2authorcorrespondence"/>
        <w:spacing w:line="240" w:lineRule="auto"/>
      </w:pPr>
      <w:r w:rsidRPr="000F5D88">
        <w:rPr>
          <w:b/>
        </w:rPr>
        <w:t>*</w:t>
      </w:r>
      <w:r w:rsidRPr="000F5D88">
        <w:tab/>
      </w:r>
      <w:r w:rsidR="00DF55AF">
        <w:t xml:space="preserve">  </w:t>
      </w:r>
      <w:r w:rsidRPr="000F5D88">
        <w:t>Correspondence: hwashin.shin@canada.ca; Tel.: +1-613-851-3658</w:t>
      </w:r>
    </w:p>
    <w:p w14:paraId="5956FC18" w14:textId="2F2AF8B3" w:rsidR="00662C0A" w:rsidRDefault="00662C0A" w:rsidP="007C1690">
      <w:pPr>
        <w:pStyle w:val="MDPI15academiceditor"/>
        <w:spacing w:after="0" w:line="240" w:lineRule="auto"/>
      </w:pPr>
    </w:p>
    <w:p w14:paraId="1E93C744" w14:textId="4EF7A1BE" w:rsidR="00662C0A" w:rsidRDefault="00922595" w:rsidP="007C1690">
      <w:pPr>
        <w:pStyle w:val="MDPI15academiceditor"/>
        <w:spacing w:after="0" w:line="240" w:lineRule="auto"/>
      </w:pPr>
      <w:r>
        <w:t>In this Online S</w:t>
      </w:r>
      <w:r w:rsidR="00662C0A">
        <w:t>upplement we present a number of representative figures supporting our explorations into methods of standardizing rates of respiratory hospitalizations. The figures show three selected r</w:t>
      </w:r>
      <w:r w:rsidR="00745D65">
        <w:t>esults for eac</w:t>
      </w:r>
      <w:r w:rsidR="00EF527A">
        <w:t>h of Oakville</w:t>
      </w:r>
      <w:r w:rsidR="00745D65">
        <w:t>, City of Toronto (Toronto)</w:t>
      </w:r>
      <w:r w:rsidR="00662C0A">
        <w:t>, and the Greater Toronto Area</w:t>
      </w:r>
      <w:r w:rsidR="00745D65">
        <w:t xml:space="preserve"> (GTA)</w:t>
      </w:r>
      <w:r w:rsidR="00662C0A">
        <w:t>, all geographically co-located in the “Golden Horseshoe” north/north-west of Lake Ontario in Ontario, Canada.</w:t>
      </w:r>
      <w:r w:rsidR="00EF0F28">
        <w:t xml:space="preserve"> All figures should be compared to Figure 2 of the associated paper for context.</w:t>
      </w:r>
      <w:r w:rsidR="002065E8">
        <w:t xml:space="preserve"> The first figure for each geographic area is non-standardized against any demographic distribution; the second is </w:t>
      </w:r>
      <w:r w:rsidR="00E4236C">
        <w:t xml:space="preserve">standardized (or normalized may be the more appropriate word) against the population of that area for the given year; and the third is truly standardized, against a standard of the population demographic distribution for the </w:t>
      </w:r>
      <w:r w:rsidR="00745D65">
        <w:t>GTA</w:t>
      </w:r>
      <w:r w:rsidR="00E4236C">
        <w:t xml:space="preserve"> for 2006, a census year. We conclude the supplement with a supplemental table showing summary statistics for the GTA, for contrast with Table S1.</w:t>
      </w:r>
    </w:p>
    <w:p w14:paraId="6C416A3A" w14:textId="77777777" w:rsidR="00662C0A" w:rsidRPr="00662C0A" w:rsidRDefault="00662C0A" w:rsidP="007C1690">
      <w:pPr>
        <w:pStyle w:val="MDPI15academiceditor"/>
        <w:spacing w:after="0" w:line="240" w:lineRule="auto"/>
      </w:pPr>
    </w:p>
    <w:p w14:paraId="2532BDAD" w14:textId="692C428D" w:rsidR="006C2DB8" w:rsidRPr="00A94AD6" w:rsidRDefault="00662C0A" w:rsidP="007C1690">
      <w:pPr>
        <w:pStyle w:val="MDPI22heading2"/>
        <w:spacing w:before="0" w:after="0" w:line="240" w:lineRule="auto"/>
        <w:ind w:firstLine="420"/>
        <w:rPr>
          <w:i w:val="0"/>
          <w:szCs w:val="20"/>
        </w:rPr>
      </w:pPr>
      <w:r>
        <w:rPr>
          <w:i w:val="0"/>
          <w:snapToGrid/>
          <w:szCs w:val="20"/>
          <w:lang w:val="en-CA" w:eastAsia="en-CA" w:bidi="ar-SA"/>
        </w:rPr>
        <w:drawing>
          <wp:inline distT="0" distB="0" distL="0" distR="0" wp14:anchorId="62020FE2" wp14:editId="0B79B4EC">
            <wp:extent cx="5387340" cy="3496078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akville_RespMorb_Total_NonStandardized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3979" cy="350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85EA9" w14:textId="08DA7D37" w:rsidR="00430B5D" w:rsidRDefault="006C2DB8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bookmarkStart w:id="1" w:name="_Ref473300564"/>
      <w:r w:rsidRPr="00CE39C8">
        <w:rPr>
          <w:rFonts w:ascii="Palatino Linotype" w:hAnsi="Palatino Linotype"/>
          <w:sz w:val="20"/>
          <w:szCs w:val="20"/>
        </w:rPr>
        <w:t xml:space="preserve">Figure </w:t>
      </w:r>
      <w:r w:rsidR="00662C0A">
        <w:rPr>
          <w:rFonts w:ascii="Palatino Linotype" w:hAnsi="Palatino Linotype"/>
          <w:sz w:val="20"/>
          <w:szCs w:val="20"/>
        </w:rPr>
        <w:t>S1</w:t>
      </w:r>
      <w:bookmarkEnd w:id="1"/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 w:rsidRPr="00745D65">
        <w:rPr>
          <w:rFonts w:ascii="Palatino Linotype" w:hAnsi="Palatino Linotype" w:cs="Arial"/>
          <w:sz w:val="20"/>
          <w:szCs w:val="20"/>
        </w:rPr>
        <w:t>Oakville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Pr="008F734D">
        <w:rPr>
          <w:rFonts w:ascii="Palatino Linotype" w:hAnsi="Palatino Linotype" w:cs="Arial"/>
          <w:b w:val="0"/>
          <w:sz w:val="20"/>
          <w:szCs w:val="20"/>
        </w:rPr>
        <w:t>easonal (3-month block</w:t>
      </w:r>
      <w:r w:rsidR="00137CF7"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 w:rsidR="00DA6A46">
        <w:rPr>
          <w:rFonts w:ascii="Palatino Linotype" w:hAnsi="Palatino Linotype" w:cs="Arial"/>
          <w:b w:val="0"/>
          <w:sz w:val="20"/>
          <w:szCs w:val="20"/>
        </w:rPr>
        <w:t xml:space="preserve">non-age-standardized </w:t>
      </w:r>
      <w:r w:rsidR="00662C0A"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8F734D">
        <w:rPr>
          <w:rFonts w:ascii="Palatino Linotype" w:hAnsi="Palatino Linotype" w:cs="Arial"/>
          <w:b w:val="0"/>
          <w:sz w:val="20"/>
          <w:szCs w:val="20"/>
        </w:rPr>
        <w:t xml:space="preserve">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 w:rsidR="00662C0A">
        <w:rPr>
          <w:rFonts w:ascii="Palatino Linotype" w:hAnsi="Palatino Linotype" w:cs="Arial"/>
          <w:b w:val="0"/>
          <w:sz w:val="20"/>
          <w:szCs w:val="20"/>
        </w:rPr>
        <w:t>0</w:t>
      </w:r>
      <w:r w:rsidR="00051A14">
        <w:rPr>
          <w:rFonts w:ascii="Palatino Linotype" w:hAnsi="Palatino Linotype" w:cs="Arial"/>
          <w:b w:val="0"/>
          <w:sz w:val="20"/>
          <w:szCs w:val="20"/>
        </w:rPr>
        <w:t xml:space="preserve">: (1) </w:t>
      </w:r>
      <w:r w:rsidR="005C7C02">
        <w:rPr>
          <w:rFonts w:ascii="Palatino Linotype" w:hAnsi="Palatino Linotype" w:cs="Arial"/>
          <w:b w:val="0"/>
          <w:sz w:val="20"/>
          <w:szCs w:val="20"/>
        </w:rPr>
        <w:t xml:space="preserve">open circles for </w:t>
      </w:r>
      <w:r w:rsidR="00051A14">
        <w:rPr>
          <w:rFonts w:ascii="Palatino Linotype" w:hAnsi="Palatino Linotype" w:cs="Arial"/>
          <w:b w:val="0"/>
          <w:sz w:val="20"/>
          <w:szCs w:val="20"/>
        </w:rPr>
        <w:t>c</w:t>
      </w:r>
      <w:r w:rsidR="005C7C02">
        <w:rPr>
          <w:rFonts w:ascii="Palatino Linotype" w:hAnsi="Palatino Linotype" w:cs="Arial"/>
          <w:b w:val="0"/>
          <w:sz w:val="20"/>
          <w:szCs w:val="20"/>
        </w:rPr>
        <w:t xml:space="preserve">old seasons; </w:t>
      </w:r>
      <w:r w:rsidR="00051A14">
        <w:rPr>
          <w:rFonts w:ascii="Palatino Linotype" w:hAnsi="Palatino Linotype" w:cs="Arial"/>
          <w:b w:val="0"/>
          <w:sz w:val="20"/>
          <w:szCs w:val="20"/>
        </w:rPr>
        <w:t xml:space="preserve">(2) </w:t>
      </w:r>
      <w:r w:rsidR="005C7C02">
        <w:rPr>
          <w:rFonts w:ascii="Palatino Linotype" w:hAnsi="Palatino Linotype" w:cs="Arial"/>
          <w:b w:val="0"/>
          <w:sz w:val="20"/>
          <w:szCs w:val="20"/>
        </w:rPr>
        <w:t>filled circles for warm seasons; and (3) v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5C7C02">
        <w:rPr>
          <w:rFonts w:ascii="Palatino Linotype" w:hAnsi="Palatino Linotype" w:cs="Arial"/>
          <w:b w:val="0"/>
          <w:sz w:val="20"/>
          <w:szCs w:val="20"/>
        </w:rPr>
        <w:t>for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9B20A3">
        <w:rPr>
          <w:rFonts w:ascii="Palatino Linotype" w:hAnsi="Palatino Linotype" w:cs="Arial"/>
          <w:b w:val="0"/>
          <w:sz w:val="20"/>
          <w:szCs w:val="20"/>
        </w:rPr>
        <w:t>of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9B20A3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Pr="00CE39C8">
        <w:rPr>
          <w:rFonts w:ascii="Palatino Linotype" w:hAnsi="Palatino Linotype" w:cs="Arial"/>
          <w:b w:val="0"/>
          <w:sz w:val="20"/>
          <w:szCs w:val="20"/>
        </w:rPr>
        <w:t>.</w:t>
      </w:r>
      <w:r w:rsidR="00D36754">
        <w:rPr>
          <w:rFonts w:ascii="Palatino Linotype" w:hAnsi="Palatino Linotype" w:cs="Arial"/>
          <w:sz w:val="20"/>
          <w:szCs w:val="20"/>
        </w:rPr>
        <w:t xml:space="preserve"> </w:t>
      </w:r>
    </w:p>
    <w:p w14:paraId="4F5709B8" w14:textId="77777777" w:rsidR="00662C0A" w:rsidRDefault="00662C0A" w:rsidP="007C1690">
      <w:pPr>
        <w:adjustRightInd w:val="0"/>
        <w:snapToGrid w:val="0"/>
        <w:spacing w:after="0" w:line="240" w:lineRule="auto"/>
      </w:pPr>
      <w:bookmarkStart w:id="2" w:name="OLE_LINK3"/>
    </w:p>
    <w:p w14:paraId="1DAF2D01" w14:textId="2AD30532" w:rsidR="00662C0A" w:rsidRDefault="006A0845" w:rsidP="002364C9">
      <w:pPr>
        <w:pStyle w:val="Caption"/>
        <w:spacing w:after="0" w:line="240" w:lineRule="auto"/>
        <w:ind w:left="426" w:firstLine="0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CA"/>
        </w:rPr>
        <w:lastRenderedPageBreak/>
        <w:drawing>
          <wp:inline distT="0" distB="0" distL="0" distR="0" wp14:anchorId="4DD93F19" wp14:editId="02B7C615">
            <wp:extent cx="5257800" cy="3070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akville_RespMorb_Total_ByPop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734" cy="307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A1CF7" w14:textId="4830432D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S2</w:t>
      </w:r>
      <w:r w:rsidRPr="00CE39C8">
        <w:rPr>
          <w:rFonts w:ascii="Palatino Linotype" w:hAnsi="Palatino Linotype"/>
          <w:sz w:val="20"/>
          <w:szCs w:val="20"/>
        </w:rPr>
        <w:t>:</w:t>
      </w:r>
      <w:r w:rsidR="00745D65">
        <w:rPr>
          <w:rFonts w:ascii="Palatino Linotype" w:hAnsi="Palatino Linotype"/>
          <w:sz w:val="20"/>
          <w:szCs w:val="20"/>
        </w:rPr>
        <w:t xml:space="preserve"> </w:t>
      </w:r>
      <w:r w:rsidR="00745D65" w:rsidRPr="00745D65">
        <w:rPr>
          <w:rFonts w:ascii="Palatino Linotype" w:hAnsi="Palatino Linotype" w:cs="Arial"/>
          <w:sz w:val="20"/>
          <w:szCs w:val="20"/>
        </w:rPr>
        <w:t>Oakville</w:t>
      </w:r>
      <w:r w:rsidRPr="00CE39C8">
        <w:rPr>
          <w:rFonts w:ascii="Palatino Linotype" w:hAnsi="Palatino Linotype"/>
          <w:sz w:val="20"/>
          <w:szCs w:val="20"/>
        </w:rPr>
        <w:t xml:space="preserve">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Pr="008F734D">
        <w:rPr>
          <w:rFonts w:ascii="Palatino Linotype" w:hAnsi="Palatino Linotype" w:cs="Arial"/>
          <w:b w:val="0"/>
          <w:sz w:val="20"/>
          <w:szCs w:val="20"/>
        </w:rPr>
        <w:t>easonal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 w:rsidR="00C74FC2">
        <w:rPr>
          <w:rFonts w:ascii="Palatino Linotype" w:hAnsi="Palatino Linotype" w:cs="Arial"/>
          <w:b w:val="0"/>
          <w:sz w:val="20"/>
          <w:szCs w:val="20"/>
        </w:rPr>
        <w:t>year-by-year age-</w:t>
      </w:r>
      <w:r w:rsidR="007214C9">
        <w:rPr>
          <w:rFonts w:ascii="Palatino Linotype" w:hAnsi="Palatino Linotype" w:cs="Arial"/>
          <w:b w:val="0"/>
          <w:sz w:val="20"/>
          <w:szCs w:val="20"/>
        </w:rPr>
        <w:t>standardized</w:t>
      </w:r>
      <w:r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 xml:space="preserve">0, in 1000-persons per year. </w:t>
      </w:r>
      <w:r w:rsidR="007214C9">
        <w:rPr>
          <w:rFonts w:ascii="Palatino Linotype" w:hAnsi="Palatino Linotype" w:cs="Arial"/>
          <w:b w:val="0"/>
          <w:sz w:val="20"/>
          <w:szCs w:val="20"/>
        </w:rPr>
        <w:t>Standardization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done against Oakville population for </w:t>
      </w:r>
      <w:r w:rsidRPr="00C74FC2">
        <w:rPr>
          <w:rFonts w:ascii="Palatino Linotype" w:hAnsi="Palatino Linotype" w:cs="Arial"/>
          <w:b w:val="0"/>
          <w:i/>
          <w:sz w:val="20"/>
          <w:szCs w:val="20"/>
        </w:rPr>
        <w:t>given</w:t>
      </w:r>
      <w:r>
        <w:rPr>
          <w:rFonts w:ascii="Palatino Linotype" w:hAnsi="Palatino Linotype" w:cs="Arial"/>
          <w:b w:val="0"/>
          <w:sz w:val="20"/>
          <w:szCs w:val="20"/>
        </w:rPr>
        <w:t xml:space="preserve"> year</w:t>
      </w:r>
      <w:r w:rsidR="00C74FC2">
        <w:rPr>
          <w:rFonts w:ascii="Palatino Linotype" w:hAnsi="Palatino Linotype" w:cs="Arial"/>
          <w:b w:val="0"/>
          <w:sz w:val="20"/>
          <w:szCs w:val="20"/>
        </w:rPr>
        <w:t xml:space="preserve"> (evolving over time)</w:t>
      </w:r>
      <w:r w:rsidR="008A3006">
        <w:rPr>
          <w:rFonts w:ascii="Palatino Linotype" w:hAnsi="Palatino Linotype" w:cs="Arial"/>
          <w:b w:val="0"/>
          <w:sz w:val="20"/>
          <w:szCs w:val="20"/>
        </w:rPr>
        <w:t>: (1) open circles for cold seasons; (2) filled circles for warm seasons; and (3) v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8A3006">
        <w:rPr>
          <w:rFonts w:ascii="Palatino Linotype" w:hAnsi="Palatino Linotype" w:cs="Arial"/>
          <w:b w:val="0"/>
          <w:sz w:val="20"/>
          <w:szCs w:val="20"/>
        </w:rPr>
        <w:t>for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8A3006">
        <w:rPr>
          <w:rFonts w:ascii="Palatino Linotype" w:hAnsi="Palatino Linotype" w:cs="Arial"/>
          <w:b w:val="0"/>
          <w:sz w:val="20"/>
          <w:szCs w:val="20"/>
        </w:rPr>
        <w:t>of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8A3006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>.</w:t>
      </w:r>
    </w:p>
    <w:p w14:paraId="513D47B4" w14:textId="77777777" w:rsidR="00A663AA" w:rsidRPr="00A663AA" w:rsidRDefault="00A663AA" w:rsidP="00A663AA"/>
    <w:p w14:paraId="1F668AFF" w14:textId="71FE1172" w:rsidR="00662C0A" w:rsidRPr="00CC2102" w:rsidRDefault="00662C0A" w:rsidP="002364C9">
      <w:pPr>
        <w:spacing w:after="0" w:line="240" w:lineRule="auto"/>
        <w:ind w:right="55" w:firstLine="284"/>
        <w:jc w:val="center"/>
      </w:pPr>
      <w:r>
        <w:rPr>
          <w:noProof/>
          <w:lang w:eastAsia="en-CA"/>
        </w:rPr>
        <w:drawing>
          <wp:inline distT="0" distB="0" distL="0" distR="0" wp14:anchorId="140D3A6E" wp14:editId="3C932BA7">
            <wp:extent cx="5455920" cy="2952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akville_RespMorb_Total_ByPopn_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54563" w14:textId="7AADF55D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S3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 w:rsidRPr="00745D65">
        <w:rPr>
          <w:rFonts w:ascii="Palatino Linotype" w:hAnsi="Palatino Linotype" w:cs="Arial"/>
          <w:sz w:val="20"/>
          <w:szCs w:val="20"/>
        </w:rPr>
        <w:t>Oakville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Pr="008F734D">
        <w:rPr>
          <w:rFonts w:ascii="Palatino Linotype" w:hAnsi="Palatino Linotype" w:cs="Arial"/>
          <w:b w:val="0"/>
          <w:sz w:val="20"/>
          <w:szCs w:val="20"/>
        </w:rPr>
        <w:t>easonal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 w:rsidR="00C74FC2">
        <w:rPr>
          <w:rFonts w:ascii="Palatino Linotype" w:hAnsi="Palatino Linotype" w:cs="Arial"/>
          <w:b w:val="0"/>
          <w:sz w:val="20"/>
          <w:szCs w:val="20"/>
        </w:rPr>
        <w:t xml:space="preserve">population </w:t>
      </w:r>
      <w:r>
        <w:rPr>
          <w:rFonts w:ascii="Palatino Linotype" w:hAnsi="Palatino Linotype" w:cs="Arial"/>
          <w:b w:val="0"/>
          <w:sz w:val="20"/>
          <w:szCs w:val="20"/>
        </w:rPr>
        <w:t>age-standardized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total</w:t>
      </w:r>
      <w:r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>0, in 1000-persons per year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. </w:t>
      </w:r>
      <w:r>
        <w:rPr>
          <w:rFonts w:ascii="Palatino Linotype" w:hAnsi="Palatino Linotype" w:cs="Arial"/>
          <w:b w:val="0"/>
          <w:sz w:val="20"/>
          <w:szCs w:val="20"/>
        </w:rPr>
        <w:t xml:space="preserve">Standardization done against </w:t>
      </w:r>
      <w:r w:rsidR="00C74FC2">
        <w:rPr>
          <w:rFonts w:ascii="Palatino Linotype" w:hAnsi="Palatino Linotype" w:cs="Arial"/>
          <w:b w:val="0"/>
          <w:sz w:val="20"/>
          <w:szCs w:val="20"/>
        </w:rPr>
        <w:t>a fixed</w:t>
      </w:r>
      <w:r>
        <w:rPr>
          <w:rFonts w:ascii="Palatino Linotype" w:hAnsi="Palatino Linotype" w:cs="Arial"/>
          <w:b w:val="0"/>
          <w:sz w:val="20"/>
          <w:szCs w:val="20"/>
        </w:rPr>
        <w:t xml:space="preserve"> population distribution for </w:t>
      </w:r>
      <w:r w:rsidR="008A3006">
        <w:rPr>
          <w:rFonts w:ascii="Palatino Linotype" w:hAnsi="Palatino Linotype" w:cs="Arial"/>
          <w:b w:val="0"/>
          <w:sz w:val="20"/>
          <w:szCs w:val="20"/>
        </w:rPr>
        <w:t>the GTA in 2006, a census year: (1) open circles for cold seasons; (2) filled circles for warm seasons; and (3) v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8A3006">
        <w:rPr>
          <w:rFonts w:ascii="Palatino Linotype" w:hAnsi="Palatino Linotype" w:cs="Arial"/>
          <w:b w:val="0"/>
          <w:sz w:val="20"/>
          <w:szCs w:val="20"/>
        </w:rPr>
        <w:t>for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8A3006">
        <w:rPr>
          <w:rFonts w:ascii="Palatino Linotype" w:hAnsi="Palatino Linotype" w:cs="Arial"/>
          <w:b w:val="0"/>
          <w:sz w:val="20"/>
          <w:szCs w:val="20"/>
        </w:rPr>
        <w:t>of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8A3006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8A3006" w:rsidRPr="00CE39C8">
        <w:rPr>
          <w:rFonts w:ascii="Palatino Linotype" w:hAnsi="Palatino Linotype" w:cs="Arial"/>
          <w:b w:val="0"/>
          <w:sz w:val="20"/>
          <w:szCs w:val="20"/>
        </w:rPr>
        <w:t>.</w:t>
      </w:r>
      <w:r w:rsidR="008A3006">
        <w:rPr>
          <w:rFonts w:ascii="Palatino Linotype" w:hAnsi="Palatino Linotype" w:cs="Arial"/>
          <w:sz w:val="20"/>
          <w:szCs w:val="20"/>
        </w:rPr>
        <w:t xml:space="preserve"> </w:t>
      </w:r>
      <w:r w:rsidR="002C082F">
        <w:rPr>
          <w:rFonts w:ascii="Palatino Linotype" w:hAnsi="Palatino Linotype" w:cs="Arial"/>
          <w:sz w:val="20"/>
          <w:szCs w:val="20"/>
        </w:rPr>
        <w:t>Note</w:t>
      </w:r>
      <w:r w:rsidR="002C082F">
        <w:rPr>
          <w:rFonts w:ascii="Palatino Linotype" w:hAnsi="Palatino Linotype" w:cs="Arial"/>
          <w:b w:val="0"/>
          <w:sz w:val="20"/>
          <w:szCs w:val="20"/>
        </w:rPr>
        <w:t>: this figure is the same figure, without the explanatory means, as Figure 2 of the main paper, included here for flow and comparison purposes.</w:t>
      </w:r>
    </w:p>
    <w:p w14:paraId="37FC4673" w14:textId="2093C899" w:rsidR="00662C0A" w:rsidRDefault="00842B85" w:rsidP="002364C9">
      <w:pPr>
        <w:pStyle w:val="Caption"/>
        <w:spacing w:after="0" w:line="240" w:lineRule="auto"/>
        <w:ind w:left="567" w:right="55" w:hanging="283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CA"/>
        </w:rPr>
        <w:lastRenderedPageBreak/>
        <w:drawing>
          <wp:inline distT="0" distB="0" distL="0" distR="0" wp14:anchorId="608351BF" wp14:editId="57B845B4">
            <wp:extent cx="5267325" cy="32385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oronto_RespMorb_Total_NonStandardized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E8F89" w14:textId="2BE272D8" w:rsidR="00922595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b w:val="0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4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Toronto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Pr="008F734D">
        <w:rPr>
          <w:rFonts w:ascii="Palatino Linotype" w:hAnsi="Palatino Linotype" w:cs="Arial"/>
          <w:b w:val="0"/>
          <w:sz w:val="20"/>
          <w:szCs w:val="20"/>
        </w:rPr>
        <w:t>easonal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>)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</w:t>
      </w:r>
      <w:r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non-age-standardized 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s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>0</w:t>
      </w:r>
      <w:r w:rsidR="00922595">
        <w:rPr>
          <w:rFonts w:ascii="Palatino Linotype" w:hAnsi="Palatino Linotype" w:cs="Arial"/>
          <w:b w:val="0"/>
          <w:sz w:val="20"/>
          <w:szCs w:val="20"/>
        </w:rPr>
        <w:t>: (1) open circles for cold seasons; (2) filled circles for warm seasons; and (3) v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922595">
        <w:rPr>
          <w:rFonts w:ascii="Palatino Linotype" w:hAnsi="Palatino Linotype" w:cs="Arial"/>
          <w:b w:val="0"/>
          <w:sz w:val="20"/>
          <w:szCs w:val="20"/>
        </w:rPr>
        <w:t>for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922595">
        <w:rPr>
          <w:rFonts w:ascii="Palatino Linotype" w:hAnsi="Palatino Linotype" w:cs="Arial"/>
          <w:b w:val="0"/>
          <w:sz w:val="20"/>
          <w:szCs w:val="20"/>
        </w:rPr>
        <w:t>of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922595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>.</w:t>
      </w:r>
    </w:p>
    <w:p w14:paraId="4517EFF7" w14:textId="553A6F59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69A1A16E" w14:textId="0847E2FC" w:rsidR="004A6739" w:rsidRPr="004A6739" w:rsidRDefault="006A0845" w:rsidP="002364C9">
      <w:pPr>
        <w:spacing w:after="0" w:line="240" w:lineRule="auto"/>
        <w:ind w:firstLine="284"/>
        <w:jc w:val="center"/>
      </w:pPr>
      <w:r>
        <w:rPr>
          <w:noProof/>
          <w:lang w:eastAsia="en-CA"/>
        </w:rPr>
        <w:drawing>
          <wp:inline distT="0" distB="0" distL="0" distR="0" wp14:anchorId="5D77BBB2" wp14:editId="13CA8E32">
            <wp:extent cx="5280660" cy="3159579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onto_RespMorb_Total_ByPop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208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2A7" w14:textId="01B8C3A8" w:rsidR="00662C0A" w:rsidRDefault="00662C0A" w:rsidP="00922595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5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Toronto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>easonal</w:t>
      </w:r>
      <w:r w:rsidRPr="008F734D">
        <w:rPr>
          <w:rFonts w:ascii="Palatino Linotype" w:hAnsi="Palatino Linotype" w:cs="Arial"/>
          <w:b w:val="0"/>
          <w:sz w:val="20"/>
          <w:szCs w:val="20"/>
        </w:rPr>
        <w:t xml:space="preserve">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>)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year-by-year age-standardized 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 xml:space="preserve">0, in 1000-persons per year. Normalization done against </w:t>
      </w:r>
      <w:r w:rsidR="00842B85">
        <w:rPr>
          <w:rFonts w:ascii="Palatino Linotype" w:hAnsi="Palatino Linotype" w:cs="Arial"/>
          <w:b w:val="0"/>
          <w:sz w:val="20"/>
          <w:szCs w:val="20"/>
        </w:rPr>
        <w:t>Toronto</w:t>
      </w:r>
      <w:r>
        <w:rPr>
          <w:rFonts w:ascii="Palatino Linotype" w:hAnsi="Palatino Linotype" w:cs="Arial"/>
          <w:b w:val="0"/>
          <w:sz w:val="20"/>
          <w:szCs w:val="20"/>
        </w:rPr>
        <w:t xml:space="preserve"> population for </w:t>
      </w:r>
      <w:r w:rsidRPr="002065E8">
        <w:rPr>
          <w:rFonts w:ascii="Palatino Linotype" w:hAnsi="Palatino Linotype" w:cs="Arial"/>
          <w:b w:val="0"/>
          <w:i/>
          <w:sz w:val="20"/>
          <w:szCs w:val="20"/>
        </w:rPr>
        <w:t>given</w:t>
      </w:r>
      <w:r>
        <w:rPr>
          <w:rFonts w:ascii="Palatino Linotype" w:hAnsi="Palatino Linotype" w:cs="Arial"/>
          <w:b w:val="0"/>
          <w:sz w:val="20"/>
          <w:szCs w:val="20"/>
        </w:rPr>
        <w:t xml:space="preserve"> year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(evolving over time</w:t>
      </w:r>
      <w:proofErr w:type="gramStart"/>
      <w:r w:rsidR="002065E8">
        <w:rPr>
          <w:rFonts w:ascii="Palatino Linotype" w:hAnsi="Palatino Linotype" w:cs="Arial"/>
          <w:b w:val="0"/>
          <w:sz w:val="20"/>
          <w:szCs w:val="20"/>
        </w:rPr>
        <w:t>)</w:t>
      </w:r>
      <w:r w:rsidR="00922595" w:rsidRPr="00922595"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922595">
        <w:rPr>
          <w:rFonts w:ascii="Palatino Linotype" w:hAnsi="Palatino Linotype" w:cs="Arial"/>
          <w:b w:val="0"/>
          <w:sz w:val="20"/>
          <w:szCs w:val="20"/>
        </w:rPr>
        <w:t>:</w:t>
      </w:r>
      <w:proofErr w:type="gramEnd"/>
      <w:r w:rsidR="00922595">
        <w:rPr>
          <w:rFonts w:ascii="Palatino Linotype" w:hAnsi="Palatino Linotype" w:cs="Arial"/>
          <w:b w:val="0"/>
          <w:sz w:val="20"/>
          <w:szCs w:val="20"/>
        </w:rPr>
        <w:t xml:space="preserve"> (1) open circles for cold seasons; (2) filled circles for warm seasons; and (3) v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922595">
        <w:rPr>
          <w:rFonts w:ascii="Palatino Linotype" w:hAnsi="Palatino Linotype" w:cs="Arial"/>
          <w:b w:val="0"/>
          <w:sz w:val="20"/>
          <w:szCs w:val="20"/>
        </w:rPr>
        <w:t>for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922595">
        <w:rPr>
          <w:rFonts w:ascii="Palatino Linotype" w:hAnsi="Palatino Linotype" w:cs="Arial"/>
          <w:b w:val="0"/>
          <w:sz w:val="20"/>
          <w:szCs w:val="20"/>
        </w:rPr>
        <w:t>of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922595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922595" w:rsidRPr="00CE39C8">
        <w:rPr>
          <w:rFonts w:ascii="Palatino Linotype" w:hAnsi="Palatino Linotype" w:cs="Arial"/>
          <w:b w:val="0"/>
          <w:sz w:val="20"/>
          <w:szCs w:val="20"/>
        </w:rPr>
        <w:t>.</w:t>
      </w:r>
    </w:p>
    <w:p w14:paraId="433257F0" w14:textId="7CE507DC" w:rsidR="004A6739" w:rsidRPr="004A6739" w:rsidRDefault="004A6739" w:rsidP="002364C9">
      <w:pPr>
        <w:spacing w:after="0" w:line="240" w:lineRule="auto"/>
        <w:ind w:firstLine="284"/>
        <w:jc w:val="center"/>
      </w:pPr>
      <w:r>
        <w:rPr>
          <w:noProof/>
          <w:lang w:eastAsia="en-CA"/>
        </w:rPr>
        <w:lastRenderedPageBreak/>
        <w:drawing>
          <wp:inline distT="0" distB="0" distL="0" distR="0" wp14:anchorId="796B7556" wp14:editId="6A654DCF">
            <wp:extent cx="5387340" cy="312420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oronto_RespMorb_Total_ByPopn_S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8734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84FEF" w14:textId="43332AA0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6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Toronto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>easonal</w:t>
      </w:r>
      <w:r w:rsidRPr="008F734D">
        <w:rPr>
          <w:rFonts w:ascii="Palatino Linotype" w:hAnsi="Palatino Linotype" w:cs="Arial"/>
          <w:b w:val="0"/>
          <w:sz w:val="20"/>
          <w:szCs w:val="20"/>
        </w:rPr>
        <w:t xml:space="preserve">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>)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population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 </w:t>
      </w:r>
      <w:r>
        <w:rPr>
          <w:rFonts w:ascii="Palatino Linotype" w:hAnsi="Palatino Linotype" w:cs="Arial"/>
          <w:b w:val="0"/>
          <w:sz w:val="20"/>
          <w:szCs w:val="20"/>
        </w:rPr>
        <w:t xml:space="preserve">age-standardized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>0, in 1000-persons per year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. </w:t>
      </w:r>
      <w:r>
        <w:rPr>
          <w:rFonts w:ascii="Palatino Linotype" w:hAnsi="Palatino Linotype" w:cs="Arial"/>
          <w:b w:val="0"/>
          <w:sz w:val="20"/>
          <w:szCs w:val="20"/>
        </w:rPr>
        <w:t xml:space="preserve">Standardization done against </w:t>
      </w:r>
      <w:r w:rsidR="002065E8">
        <w:rPr>
          <w:rFonts w:ascii="Palatino Linotype" w:hAnsi="Palatino Linotype" w:cs="Arial"/>
          <w:b w:val="0"/>
          <w:sz w:val="20"/>
          <w:szCs w:val="20"/>
        </w:rPr>
        <w:t>a fixed</w:t>
      </w:r>
      <w:r>
        <w:rPr>
          <w:rFonts w:ascii="Palatino Linotype" w:hAnsi="Palatino Linotype" w:cs="Arial"/>
          <w:b w:val="0"/>
          <w:sz w:val="20"/>
          <w:szCs w:val="20"/>
        </w:rPr>
        <w:t xml:space="preserve"> population distribution for</w:t>
      </w:r>
      <w:r w:rsidR="000F7674">
        <w:rPr>
          <w:rFonts w:ascii="Palatino Linotype" w:hAnsi="Palatino Linotype" w:cs="Arial"/>
          <w:b w:val="0"/>
          <w:sz w:val="20"/>
          <w:szCs w:val="20"/>
        </w:rPr>
        <w:t xml:space="preserve"> the GTA in 2006, a census year: (1) open circles for cold seasons; (2) filled circles for warm seasons; and (3) v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0F7674">
        <w:rPr>
          <w:rFonts w:ascii="Palatino Linotype" w:hAnsi="Palatino Linotype" w:cs="Arial"/>
          <w:b w:val="0"/>
          <w:sz w:val="20"/>
          <w:szCs w:val="20"/>
        </w:rPr>
        <w:t>for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0F7674">
        <w:rPr>
          <w:rFonts w:ascii="Palatino Linotype" w:hAnsi="Palatino Linotype" w:cs="Arial"/>
          <w:b w:val="0"/>
          <w:sz w:val="20"/>
          <w:szCs w:val="20"/>
        </w:rPr>
        <w:t>of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0F7674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>.</w:t>
      </w:r>
      <w:r w:rsidR="000F7674"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2B648292" w14:textId="77777777" w:rsidR="000F7674" w:rsidRPr="000F7674" w:rsidRDefault="000F7674" w:rsidP="000F7674"/>
    <w:p w14:paraId="694E8767" w14:textId="109F6667" w:rsidR="00662C0A" w:rsidRDefault="004A6739" w:rsidP="002364C9">
      <w:pPr>
        <w:pStyle w:val="Caption"/>
        <w:spacing w:after="0" w:line="240" w:lineRule="auto"/>
        <w:ind w:left="567" w:hanging="283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CA"/>
        </w:rPr>
        <w:drawing>
          <wp:inline distT="0" distB="0" distL="0" distR="0" wp14:anchorId="4E282A00" wp14:editId="791A4032">
            <wp:extent cx="5204460" cy="32956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TA_RespMorb_Total_NonStandardized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0446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39503" w14:textId="63E5198B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7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GTA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>easonal</w:t>
      </w:r>
      <w:r w:rsidRPr="008F734D">
        <w:rPr>
          <w:rFonts w:ascii="Palatino Linotype" w:hAnsi="Palatino Linotype" w:cs="Arial"/>
          <w:b w:val="0"/>
          <w:sz w:val="20"/>
          <w:szCs w:val="20"/>
        </w:rPr>
        <w:t xml:space="preserve">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non-age-standardized </w:t>
      </w:r>
      <w:r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s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>0</w:t>
      </w:r>
      <w:r w:rsidR="000F7674">
        <w:rPr>
          <w:rFonts w:ascii="Palatino Linotype" w:hAnsi="Palatino Linotype" w:cs="Arial"/>
          <w:b w:val="0"/>
          <w:sz w:val="20"/>
          <w:szCs w:val="20"/>
        </w:rPr>
        <w:t>: (1) open circles for cold seasons; (2) filled circles for warm seasons; and (3) v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0F7674">
        <w:rPr>
          <w:rFonts w:ascii="Palatino Linotype" w:hAnsi="Palatino Linotype" w:cs="Arial"/>
          <w:b w:val="0"/>
          <w:sz w:val="20"/>
          <w:szCs w:val="20"/>
        </w:rPr>
        <w:t>for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0F7674">
        <w:rPr>
          <w:rFonts w:ascii="Palatino Linotype" w:hAnsi="Palatino Linotype" w:cs="Arial"/>
          <w:b w:val="0"/>
          <w:sz w:val="20"/>
          <w:szCs w:val="20"/>
        </w:rPr>
        <w:t>of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0F7674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0F7674" w:rsidRPr="00CE39C8">
        <w:rPr>
          <w:rFonts w:ascii="Palatino Linotype" w:hAnsi="Palatino Linotype" w:cs="Arial"/>
          <w:b w:val="0"/>
          <w:sz w:val="20"/>
          <w:szCs w:val="20"/>
        </w:rPr>
        <w:t>.</w:t>
      </w:r>
      <w:r w:rsidR="000F7674"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707C64FB" w14:textId="3E600004" w:rsidR="004A6739" w:rsidRPr="004A6739" w:rsidRDefault="006A0845" w:rsidP="002364C9">
      <w:pPr>
        <w:spacing w:after="0" w:line="240" w:lineRule="auto"/>
        <w:ind w:firstLine="284"/>
      </w:pPr>
      <w:r>
        <w:rPr>
          <w:noProof/>
          <w:lang w:eastAsia="en-CA"/>
        </w:rPr>
        <w:lastRenderedPageBreak/>
        <w:drawing>
          <wp:inline distT="0" distB="0" distL="0" distR="0" wp14:anchorId="35C47739" wp14:editId="3E6F13C8">
            <wp:extent cx="5273040" cy="318897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A_RespMorb_Total_ByPopn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8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AD3A0" w14:textId="6E8185AC" w:rsidR="00662C0A" w:rsidRDefault="00662C0A" w:rsidP="007C1690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8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GTA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>easonal</w:t>
      </w:r>
      <w:r w:rsidRPr="008F734D">
        <w:rPr>
          <w:rFonts w:ascii="Palatino Linotype" w:hAnsi="Palatino Linotype" w:cs="Arial"/>
          <w:b w:val="0"/>
          <w:sz w:val="20"/>
          <w:szCs w:val="20"/>
        </w:rPr>
        <w:t xml:space="preserve">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 w:rsidR="002065E8">
        <w:rPr>
          <w:rFonts w:ascii="Palatino Linotype" w:hAnsi="Palatino Linotype" w:cs="Arial"/>
          <w:b w:val="0"/>
          <w:sz w:val="20"/>
          <w:szCs w:val="20"/>
        </w:rPr>
        <w:t>year-by-year age-standardized total</w:t>
      </w:r>
      <w:r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 xml:space="preserve">0, in 1000-persons per year. </w:t>
      </w:r>
      <w:r w:rsidR="002065E8">
        <w:rPr>
          <w:rFonts w:ascii="Palatino Linotype" w:hAnsi="Palatino Linotype" w:cs="Arial"/>
          <w:b w:val="0"/>
          <w:sz w:val="20"/>
          <w:szCs w:val="20"/>
        </w:rPr>
        <w:t>Standardization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done against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the current </w:t>
      </w:r>
      <w:r w:rsidR="004A6739">
        <w:rPr>
          <w:rFonts w:ascii="Palatino Linotype" w:hAnsi="Palatino Linotype" w:cs="Arial"/>
          <w:b w:val="0"/>
          <w:sz w:val="20"/>
          <w:szCs w:val="20"/>
        </w:rPr>
        <w:t>GTA</w:t>
      </w:r>
      <w:r>
        <w:rPr>
          <w:rFonts w:ascii="Palatino Linotype" w:hAnsi="Palatino Linotype" w:cs="Arial"/>
          <w:b w:val="0"/>
          <w:sz w:val="20"/>
          <w:szCs w:val="20"/>
        </w:rPr>
        <w:t xml:space="preserve"> population for </w:t>
      </w:r>
      <w:r w:rsidRPr="002065E8">
        <w:rPr>
          <w:rFonts w:ascii="Palatino Linotype" w:hAnsi="Palatino Linotype" w:cs="Arial"/>
          <w:b w:val="0"/>
          <w:i/>
          <w:sz w:val="20"/>
          <w:szCs w:val="20"/>
        </w:rPr>
        <w:t>given</w:t>
      </w:r>
      <w:r>
        <w:rPr>
          <w:rFonts w:ascii="Palatino Linotype" w:hAnsi="Palatino Linotype" w:cs="Arial"/>
          <w:b w:val="0"/>
          <w:sz w:val="20"/>
          <w:szCs w:val="20"/>
        </w:rPr>
        <w:t xml:space="preserve"> year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 (evolving over time)</w:t>
      </w:r>
      <w:r w:rsidR="00A23882">
        <w:rPr>
          <w:rFonts w:ascii="Palatino Linotype" w:hAnsi="Palatino Linotype" w:cs="Arial"/>
          <w:b w:val="0"/>
          <w:sz w:val="20"/>
          <w:szCs w:val="20"/>
        </w:rPr>
        <w:t>: (1) open circles for cold seasons; (2) filled circles for warm seasons; and (3) v</w:t>
      </w:r>
      <w:r w:rsidR="00A23882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A23882">
        <w:rPr>
          <w:rFonts w:ascii="Palatino Linotype" w:hAnsi="Palatino Linotype" w:cs="Arial"/>
          <w:b w:val="0"/>
          <w:sz w:val="20"/>
          <w:szCs w:val="20"/>
        </w:rPr>
        <w:t>for</w:t>
      </w:r>
      <w:r w:rsidR="00A23882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A23882">
        <w:rPr>
          <w:rFonts w:ascii="Palatino Linotype" w:hAnsi="Palatino Linotype" w:cs="Arial"/>
          <w:b w:val="0"/>
          <w:sz w:val="20"/>
          <w:szCs w:val="20"/>
        </w:rPr>
        <w:t>of</w:t>
      </w:r>
      <w:r w:rsidR="00A23882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A23882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A23882" w:rsidRPr="00CE39C8">
        <w:rPr>
          <w:rFonts w:ascii="Palatino Linotype" w:hAnsi="Palatino Linotype" w:cs="Arial"/>
          <w:b w:val="0"/>
          <w:sz w:val="20"/>
          <w:szCs w:val="20"/>
        </w:rPr>
        <w:t>.</w:t>
      </w:r>
      <w:r w:rsidR="00A23882"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08B6138C" w14:textId="77777777" w:rsidR="00A80C19" w:rsidRPr="00A80C19" w:rsidRDefault="00A80C19" w:rsidP="00A80C19"/>
    <w:p w14:paraId="54071BD3" w14:textId="64025A4E" w:rsidR="004A6739" w:rsidRPr="004A6739" w:rsidRDefault="004A6739" w:rsidP="002364C9">
      <w:pPr>
        <w:spacing w:after="0" w:line="240" w:lineRule="auto"/>
        <w:ind w:firstLine="284"/>
      </w:pPr>
      <w:r>
        <w:rPr>
          <w:noProof/>
          <w:lang w:eastAsia="en-CA"/>
        </w:rPr>
        <w:drawing>
          <wp:inline distT="0" distB="0" distL="0" distR="0" wp14:anchorId="3D4D5DCA" wp14:editId="2136D884">
            <wp:extent cx="5265420" cy="30480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TA_RespMorb_Total_ByPopn_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89802" w14:textId="31719CCB" w:rsidR="00A80C19" w:rsidRPr="00BF324E" w:rsidRDefault="00662C0A" w:rsidP="00BF324E">
      <w:pPr>
        <w:pStyle w:val="Caption"/>
        <w:spacing w:after="0" w:line="240" w:lineRule="auto"/>
        <w:ind w:left="567" w:firstLine="0"/>
        <w:jc w:val="left"/>
        <w:rPr>
          <w:rFonts w:ascii="Palatino Linotype" w:hAnsi="Palatino Linotype" w:cs="Arial"/>
          <w:b w:val="0"/>
          <w:sz w:val="20"/>
          <w:szCs w:val="20"/>
        </w:rPr>
      </w:pPr>
      <w:r w:rsidRPr="00CE39C8">
        <w:rPr>
          <w:rFonts w:ascii="Palatino Linotype" w:hAnsi="Palatino Linotype"/>
          <w:sz w:val="20"/>
          <w:szCs w:val="20"/>
        </w:rPr>
        <w:t xml:space="preserve">Figure </w:t>
      </w:r>
      <w:r>
        <w:rPr>
          <w:rFonts w:ascii="Palatino Linotype" w:hAnsi="Palatino Linotype"/>
          <w:sz w:val="20"/>
          <w:szCs w:val="20"/>
        </w:rPr>
        <w:t>S</w:t>
      </w:r>
      <w:r w:rsidR="00C12DE0">
        <w:rPr>
          <w:rFonts w:ascii="Palatino Linotype" w:hAnsi="Palatino Linotype"/>
          <w:sz w:val="20"/>
          <w:szCs w:val="20"/>
        </w:rPr>
        <w:t>9</w:t>
      </w:r>
      <w:r w:rsidRPr="00CE39C8">
        <w:rPr>
          <w:rFonts w:ascii="Palatino Linotype" w:hAnsi="Palatino Linotype"/>
          <w:sz w:val="20"/>
          <w:szCs w:val="20"/>
        </w:rPr>
        <w:t xml:space="preserve">: </w:t>
      </w:r>
      <w:r w:rsidR="00745D65">
        <w:rPr>
          <w:rFonts w:ascii="Palatino Linotype" w:hAnsi="Palatino Linotype"/>
          <w:sz w:val="20"/>
          <w:szCs w:val="20"/>
        </w:rPr>
        <w:t xml:space="preserve">GTA </w:t>
      </w:r>
      <w:r w:rsidR="00745D65">
        <w:rPr>
          <w:rFonts w:ascii="Palatino Linotype" w:hAnsi="Palatino Linotype" w:cs="Arial"/>
          <w:b w:val="0"/>
          <w:sz w:val="20"/>
          <w:szCs w:val="20"/>
        </w:rPr>
        <w:t>s</w:t>
      </w:r>
      <w:r w:rsidR="00745D65" w:rsidRPr="008F734D">
        <w:rPr>
          <w:rFonts w:ascii="Palatino Linotype" w:hAnsi="Palatino Linotype" w:cs="Arial"/>
          <w:b w:val="0"/>
          <w:sz w:val="20"/>
          <w:szCs w:val="20"/>
        </w:rPr>
        <w:t>easonal</w:t>
      </w:r>
      <w:r w:rsidRPr="008F734D">
        <w:rPr>
          <w:rFonts w:ascii="Palatino Linotype" w:hAnsi="Palatino Linotype" w:cs="Arial"/>
          <w:b w:val="0"/>
          <w:sz w:val="20"/>
          <w:szCs w:val="20"/>
        </w:rPr>
        <w:t xml:space="preserve"> (3-month block</w:t>
      </w:r>
      <w:r>
        <w:rPr>
          <w:rFonts w:ascii="Palatino Linotype" w:hAnsi="Palatino Linotype" w:cs="Arial"/>
          <w:b w:val="0"/>
          <w:sz w:val="20"/>
          <w:szCs w:val="20"/>
        </w:rPr>
        <w:t>s</w:t>
      </w:r>
      <w:r w:rsidRPr="008B2FEA">
        <w:rPr>
          <w:rFonts w:ascii="Palatino Linotype" w:hAnsi="Palatino Linotype" w:cs="Arial"/>
          <w:b w:val="0"/>
          <w:sz w:val="20"/>
          <w:szCs w:val="20"/>
        </w:rPr>
        <w:t xml:space="preserve">) </w:t>
      </w:r>
      <w:r>
        <w:rPr>
          <w:rFonts w:ascii="Palatino Linotype" w:hAnsi="Palatino Linotype" w:cs="Arial"/>
          <w:b w:val="0"/>
          <w:sz w:val="20"/>
          <w:szCs w:val="20"/>
        </w:rPr>
        <w:t xml:space="preserve">age-standardized </w:t>
      </w:r>
      <w:r w:rsidR="002065E8">
        <w:rPr>
          <w:rFonts w:ascii="Palatino Linotype" w:hAnsi="Palatino Linotype" w:cs="Arial"/>
          <w:b w:val="0"/>
          <w:sz w:val="20"/>
          <w:szCs w:val="20"/>
        </w:rPr>
        <w:t xml:space="preserve">total </w:t>
      </w:r>
      <w:r w:rsidRPr="008B2FEA">
        <w:rPr>
          <w:rFonts w:ascii="Palatino Linotype" w:hAnsi="Palatino Linotype" w:cs="Arial"/>
          <w:b w:val="0"/>
          <w:sz w:val="20"/>
          <w:szCs w:val="20"/>
        </w:rPr>
        <w:t>respiratory hospitalization</w:t>
      </w:r>
      <w:r>
        <w:rPr>
          <w:rFonts w:ascii="Palatino Linotype" w:hAnsi="Palatino Linotype" w:cs="Arial"/>
          <w:b w:val="0"/>
          <w:sz w:val="20"/>
          <w:szCs w:val="20"/>
        </w:rPr>
        <w:t xml:space="preserve"> rate from </w:t>
      </w:r>
      <w:r w:rsidRPr="00CE39C8">
        <w:rPr>
          <w:rFonts w:ascii="Palatino Linotype" w:hAnsi="Palatino Linotype" w:cs="Arial"/>
          <w:b w:val="0"/>
          <w:sz w:val="20"/>
          <w:szCs w:val="20"/>
        </w:rPr>
        <w:t>1996 through 201</w:t>
      </w:r>
      <w:r>
        <w:rPr>
          <w:rFonts w:ascii="Palatino Linotype" w:hAnsi="Palatino Linotype" w:cs="Arial"/>
          <w:b w:val="0"/>
          <w:sz w:val="20"/>
          <w:szCs w:val="20"/>
        </w:rPr>
        <w:t>0, in 1000-persons per year</w:t>
      </w:r>
      <w:r w:rsidRPr="00CE39C8">
        <w:rPr>
          <w:rFonts w:ascii="Palatino Linotype" w:hAnsi="Palatino Linotype" w:cs="Arial"/>
          <w:b w:val="0"/>
          <w:sz w:val="20"/>
          <w:szCs w:val="20"/>
        </w:rPr>
        <w:t xml:space="preserve">. </w:t>
      </w:r>
      <w:r>
        <w:rPr>
          <w:rFonts w:ascii="Palatino Linotype" w:hAnsi="Palatino Linotype" w:cs="Arial"/>
          <w:b w:val="0"/>
          <w:sz w:val="20"/>
          <w:szCs w:val="20"/>
        </w:rPr>
        <w:t xml:space="preserve">Standardization done against </w:t>
      </w:r>
      <w:r w:rsidR="002065E8">
        <w:rPr>
          <w:rFonts w:ascii="Palatino Linotype" w:hAnsi="Palatino Linotype" w:cs="Arial"/>
          <w:b w:val="0"/>
          <w:sz w:val="20"/>
          <w:szCs w:val="20"/>
        </w:rPr>
        <w:t>a fixed</w:t>
      </w:r>
      <w:r>
        <w:rPr>
          <w:rFonts w:ascii="Palatino Linotype" w:hAnsi="Palatino Linotype" w:cs="Arial"/>
          <w:b w:val="0"/>
          <w:sz w:val="20"/>
          <w:szCs w:val="20"/>
        </w:rPr>
        <w:t xml:space="preserve"> population distribution for </w:t>
      </w:r>
      <w:r w:rsidR="00A80C19">
        <w:rPr>
          <w:rFonts w:ascii="Palatino Linotype" w:hAnsi="Palatino Linotype" w:cs="Arial"/>
          <w:b w:val="0"/>
          <w:sz w:val="20"/>
          <w:szCs w:val="20"/>
        </w:rPr>
        <w:t>the GTA in 2006, a census year: (1) open circles for cold seasons; (2) filled circles for warm seasons; and (3) v</w:t>
      </w:r>
      <w:r w:rsidR="00A80C19" w:rsidRPr="00CE39C8">
        <w:rPr>
          <w:rFonts w:ascii="Palatino Linotype" w:hAnsi="Palatino Linotype" w:cs="Arial"/>
          <w:b w:val="0"/>
          <w:sz w:val="20"/>
          <w:szCs w:val="20"/>
        </w:rPr>
        <w:t xml:space="preserve">ertical dashed lines </w:t>
      </w:r>
      <w:r w:rsidR="00A80C19">
        <w:rPr>
          <w:rFonts w:ascii="Palatino Linotype" w:hAnsi="Palatino Linotype" w:cs="Arial"/>
          <w:b w:val="0"/>
          <w:sz w:val="20"/>
          <w:szCs w:val="20"/>
        </w:rPr>
        <w:t>for</w:t>
      </w:r>
      <w:r w:rsidR="00A80C19" w:rsidRPr="00CE39C8">
        <w:rPr>
          <w:rFonts w:ascii="Palatino Linotype" w:hAnsi="Palatino Linotype" w:cs="Arial"/>
          <w:b w:val="0"/>
          <w:sz w:val="20"/>
          <w:szCs w:val="20"/>
        </w:rPr>
        <w:t xml:space="preserve"> the period </w:t>
      </w:r>
      <w:r w:rsidR="00A80C19">
        <w:rPr>
          <w:rFonts w:ascii="Palatino Linotype" w:hAnsi="Palatino Linotype" w:cs="Arial"/>
          <w:b w:val="0"/>
          <w:sz w:val="20"/>
          <w:szCs w:val="20"/>
        </w:rPr>
        <w:t>of</w:t>
      </w:r>
      <w:r w:rsidR="00A80C19" w:rsidRPr="00CE39C8">
        <w:rPr>
          <w:rFonts w:ascii="Palatino Linotype" w:hAnsi="Palatino Linotype" w:cs="Arial"/>
          <w:b w:val="0"/>
          <w:sz w:val="20"/>
          <w:szCs w:val="20"/>
        </w:rPr>
        <w:t xml:space="preserve"> the refinery</w:t>
      </w:r>
      <w:r w:rsidR="00A80C19">
        <w:rPr>
          <w:rFonts w:ascii="Palatino Linotype" w:hAnsi="Palatino Linotype" w:cs="Arial"/>
          <w:b w:val="0"/>
          <w:sz w:val="20"/>
          <w:szCs w:val="20"/>
        </w:rPr>
        <w:t xml:space="preserve"> closure</w:t>
      </w:r>
      <w:r w:rsidR="00A80C19" w:rsidRPr="00CE39C8">
        <w:rPr>
          <w:rFonts w:ascii="Palatino Linotype" w:hAnsi="Palatino Linotype" w:cs="Arial"/>
          <w:b w:val="0"/>
          <w:sz w:val="20"/>
          <w:szCs w:val="20"/>
        </w:rPr>
        <w:t>.</w:t>
      </w:r>
    </w:p>
    <w:p w14:paraId="2889D721" w14:textId="533D0D69" w:rsidR="00662C0A" w:rsidRDefault="00BB1F36" w:rsidP="00A80C19">
      <w:pPr>
        <w:pStyle w:val="Caption"/>
        <w:spacing w:after="0" w:line="240" w:lineRule="auto"/>
        <w:ind w:left="0" w:firstLine="0"/>
        <w:jc w:val="left"/>
        <w:rPr>
          <w:rFonts w:ascii="Palatino Linotype" w:hAnsi="Palatino Linotype"/>
          <w:snapToGrid w:val="0"/>
          <w:sz w:val="18"/>
          <w:szCs w:val="18"/>
          <w:lang w:bidi="en-US"/>
        </w:rPr>
      </w:pPr>
      <w:r>
        <w:rPr>
          <w:rFonts w:ascii="Palatino Linotype" w:hAnsi="Palatino Linotype"/>
          <w:snapToGrid w:val="0"/>
          <w:sz w:val="18"/>
          <w:szCs w:val="18"/>
          <w:lang w:bidi="en-US"/>
        </w:rPr>
        <w:lastRenderedPageBreak/>
        <w:t xml:space="preserve">Table 4 of the paper presents the yearly statistics for hospitalizations for Oakville, Ontario. The following table, Table S1, presents the complementary statistics for the </w:t>
      </w:r>
      <w:r w:rsidR="00745D65">
        <w:rPr>
          <w:rFonts w:ascii="Palatino Linotype" w:hAnsi="Palatino Linotype"/>
          <w:snapToGrid w:val="0"/>
          <w:sz w:val="18"/>
          <w:szCs w:val="18"/>
          <w:lang w:bidi="en-US"/>
        </w:rPr>
        <w:t>GTA</w:t>
      </w:r>
      <w:r w:rsidR="00DB1C98">
        <w:rPr>
          <w:rFonts w:ascii="Palatino Linotype" w:hAnsi="Palatino Linotype"/>
          <w:snapToGrid w:val="0"/>
          <w:sz w:val="18"/>
          <w:szCs w:val="18"/>
          <w:lang w:bidi="en-US"/>
        </w:rPr>
        <w:t>, for comparison purposes.</w:t>
      </w:r>
    </w:p>
    <w:p w14:paraId="37A5D0B2" w14:textId="77777777" w:rsidR="00BF324E" w:rsidRPr="00BF324E" w:rsidRDefault="00BF324E" w:rsidP="00BF324E">
      <w:pPr>
        <w:rPr>
          <w:lang w:bidi="en-US"/>
        </w:rPr>
      </w:pPr>
    </w:p>
    <w:p w14:paraId="00522DA0" w14:textId="76809F5E" w:rsidR="00BB1F36" w:rsidRDefault="00BB1F36" w:rsidP="007C1690">
      <w:pPr>
        <w:adjustRightInd w:val="0"/>
        <w:snapToGrid w:val="0"/>
        <w:spacing w:after="0" w:line="240" w:lineRule="auto"/>
        <w:rPr>
          <w:rFonts w:ascii="Palatino Linotype" w:hAnsi="Palatino Linotype"/>
          <w:snapToGrid w:val="0"/>
          <w:sz w:val="18"/>
          <w:szCs w:val="18"/>
          <w:lang w:bidi="en-US"/>
        </w:rPr>
      </w:pPr>
      <w:r>
        <w:rPr>
          <w:rFonts w:ascii="Palatino Linotype" w:hAnsi="Palatino Linotype"/>
          <w:b/>
          <w:snapToGrid w:val="0"/>
          <w:sz w:val="18"/>
          <w:szCs w:val="18"/>
          <w:lang w:bidi="en-US"/>
        </w:rPr>
        <w:t>Table S1</w:t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t xml:space="preserve">: yearly mean, standard deviation and maximum counts (with daily resolution) for all-cause, circulatory and respiratory hospitalizations for the </w:t>
      </w:r>
      <w:r w:rsidR="00745D65">
        <w:rPr>
          <w:rFonts w:ascii="Palatino Linotype" w:hAnsi="Palatino Linotype"/>
          <w:snapToGrid w:val="0"/>
          <w:sz w:val="18"/>
          <w:szCs w:val="18"/>
          <w:lang w:bidi="en-US"/>
        </w:rPr>
        <w:t>GTA</w:t>
      </w:r>
      <w:r>
        <w:rPr>
          <w:rFonts w:ascii="Palatino Linotype" w:hAnsi="Palatino Linotype"/>
          <w:snapToGrid w:val="0"/>
          <w:sz w:val="18"/>
          <w:szCs w:val="18"/>
          <w:lang w:bidi="en-US"/>
        </w:rPr>
        <w:t>, a region encompassing Toronto, Ontario as well as a number of other co-located cities.</w:t>
      </w:r>
    </w:p>
    <w:tbl>
      <w:tblPr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1036"/>
        <w:gridCol w:w="904"/>
        <w:gridCol w:w="905"/>
        <w:gridCol w:w="905"/>
        <w:gridCol w:w="905"/>
        <w:gridCol w:w="905"/>
        <w:gridCol w:w="905"/>
        <w:gridCol w:w="905"/>
        <w:gridCol w:w="905"/>
        <w:gridCol w:w="905"/>
      </w:tblGrid>
      <w:tr w:rsidR="00BB1F36" w:rsidRPr="002F4AA0" w14:paraId="496C26D7" w14:textId="77777777" w:rsidTr="008D78F6">
        <w:trPr>
          <w:cantSplit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DC8F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n-CA"/>
              </w:rPr>
            </w:pP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30F2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Daily All-</w:t>
            </w:r>
            <w:proofErr w:type="spellStart"/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Cause</w:t>
            </w: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vertAlign w:val="superscript"/>
                <w:lang w:eastAsia="en-CA"/>
              </w:rPr>
              <w:t>a</w:t>
            </w:r>
            <w:proofErr w:type="spellEnd"/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062F8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 xml:space="preserve">Daily </w:t>
            </w:r>
            <w:proofErr w:type="spellStart"/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Circulatory</w:t>
            </w: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vertAlign w:val="superscript"/>
                <w:lang w:eastAsia="en-CA"/>
              </w:rPr>
              <w:t>b</w:t>
            </w:r>
            <w:proofErr w:type="spellEnd"/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1A0A1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 xml:space="preserve">Daily </w:t>
            </w:r>
            <w:proofErr w:type="spellStart"/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Respiratory</w:t>
            </w: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vertAlign w:val="superscript"/>
                <w:lang w:eastAsia="en-CA"/>
              </w:rPr>
              <w:t>c</w:t>
            </w:r>
            <w:proofErr w:type="spellEnd"/>
          </w:p>
        </w:tc>
      </w:tr>
      <w:tr w:rsidR="00BB1F36" w:rsidRPr="002F4AA0" w14:paraId="3B5B697A" w14:textId="77777777" w:rsidTr="008D78F6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E497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Year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5092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Mean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FB11B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proofErr w:type="spellStart"/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SD</w:t>
            </w: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vertAlign w:val="superscript"/>
                <w:lang w:eastAsia="en-CA"/>
              </w:rPr>
              <w:t>d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17E6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proofErr w:type="spellStart"/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Max</w:t>
            </w: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vertAlign w:val="superscript"/>
                <w:lang w:eastAsia="en-CA"/>
              </w:rPr>
              <w:t>e</w:t>
            </w:r>
            <w:proofErr w:type="spellEnd"/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3AA26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Mean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3343F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SD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1074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Max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C1B7E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Mean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77316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SD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E350" w14:textId="77777777" w:rsidR="00BB1F36" w:rsidRPr="002F4AA0" w:rsidRDefault="00BB1F36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b/>
                <w:color w:val="000000"/>
                <w:sz w:val="18"/>
                <w:szCs w:val="18"/>
                <w:lang w:eastAsia="en-CA"/>
              </w:rPr>
              <w:t>Max</w:t>
            </w:r>
          </w:p>
        </w:tc>
      </w:tr>
      <w:tr w:rsidR="002D32E0" w:rsidRPr="002F4AA0" w14:paraId="5CCA1C25" w14:textId="77777777" w:rsidTr="009912E2">
        <w:trPr>
          <w:cantSplit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3900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1996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7A03" w14:textId="1954350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888.9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83BC" w14:textId="2FF11EC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212.8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7115" w14:textId="3C84771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1257.0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F0EF" w14:textId="427273AE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135.9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C8CB" w14:textId="35A5D99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EC46" w14:textId="39E83CE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176E" w14:textId="1ECD6E7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83.2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89A" w14:textId="09A61EB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27.6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03EC" w14:textId="7617BBC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172.0</w:t>
            </w:r>
          </w:p>
        </w:tc>
      </w:tr>
      <w:tr w:rsidR="002D32E0" w:rsidRPr="002F4AA0" w14:paraId="0E2E4C16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A61C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1997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64E1" w14:textId="64C80BC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856.9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C403" w14:textId="32755A3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199.1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6A60" w14:textId="598D4E4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1187.0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C30F" w14:textId="2A1A810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135.5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FCA8" w14:textId="66821A4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6337" w14:textId="3B775FE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18F1" w14:textId="5BD4CFB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7CE3" w14:textId="1936656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F82B" w14:textId="0437E95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172.0</w:t>
            </w:r>
          </w:p>
        </w:tc>
      </w:tr>
      <w:tr w:rsidR="002D32E0" w:rsidRPr="002F4AA0" w14:paraId="03A2E450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9FE4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1998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B4A2" w14:textId="4BBCA3B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850.3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9DA4" w14:textId="38B45DB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193.2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80E9" w14:textId="1844698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1174.0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266F" w14:textId="4D47271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132.4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6E93" w14:textId="1384019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25.9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0013" w14:textId="413DDCB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185.0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D0B7" w14:textId="63DB5CCE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79.6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C10B" w14:textId="75A250F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25.3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7E30" w14:textId="48999D3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167.0</w:t>
            </w:r>
          </w:p>
        </w:tc>
      </w:tr>
      <w:tr w:rsidR="002D32E0" w:rsidRPr="002F4AA0" w14:paraId="5FAB1646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819E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1999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58D9" w14:textId="6CCA1F1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843.4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5D7E" w14:textId="2C3CF46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182.3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6A64" w14:textId="627FC0E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1107.0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39F8" w14:textId="33E4023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127.6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CF69" w14:textId="1C0E5B1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D3B2" w14:textId="3381E7C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184.0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4ABA" w14:textId="67D8E29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82.5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8D18" w14:textId="6B4DFF8E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D584" w14:textId="1FC0C62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182.0</w:t>
            </w:r>
          </w:p>
        </w:tc>
      </w:tr>
      <w:tr w:rsidR="002D32E0" w:rsidRPr="002F4AA0" w14:paraId="00BEA114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55CB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28D5" w14:textId="0225189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820.7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5648" w14:textId="099E7BE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174.1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FF5F" w14:textId="7A44821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1101.0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92AF" w14:textId="183C04E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126.3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461A" w14:textId="2E888DF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24.7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171C" w14:textId="4AE274E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190.0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4179" w14:textId="7D46D9A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72.7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908E" w14:textId="398ACF1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6A02" w14:textId="72E12C4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196.0</w:t>
            </w:r>
          </w:p>
        </w:tc>
      </w:tr>
      <w:tr w:rsidR="002D32E0" w:rsidRPr="002F4AA0" w14:paraId="6B1EEA08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2148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96A8" w14:textId="68D32E8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842.2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85A8" w14:textId="76A8883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174.7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5F53" w14:textId="34227BD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1100.0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DADA" w14:textId="681E0FA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127.3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C604" w14:textId="1A6FF1B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8C14" w14:textId="37ADF8A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188.0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A23A" w14:textId="4C3EC66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72.6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3F13" w14:textId="4540F81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71A0" w14:textId="2515B92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128.0</w:t>
            </w:r>
          </w:p>
        </w:tc>
      </w:tr>
      <w:tr w:rsidR="002D32E0" w:rsidRPr="002F4AA0" w14:paraId="62F5A17F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1CC2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0F07" w14:textId="559E629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826.1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3D22" w14:textId="6AFF1E2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168.5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2708" w14:textId="58C5B87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1043.0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240B" w14:textId="7B8FEFE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122.5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6E11" w14:textId="4675A5E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8B98" w14:textId="714A442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171.0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2526" w14:textId="48886DF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2853" w14:textId="6F6B920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EC5D" w14:textId="5497053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123.0</w:t>
            </w:r>
          </w:p>
        </w:tc>
      </w:tr>
      <w:tr w:rsidR="002D32E0" w:rsidRPr="002F4AA0" w14:paraId="1B6169C8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6CB1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76D3" w14:textId="5330CEB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780.2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6329" w14:textId="1C0B53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169.5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BB97" w14:textId="4EEA7E4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1045.0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6353" w14:textId="657EA05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114.4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6556" w14:textId="064DC60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24.7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4339" w14:textId="1BB4F54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166.0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B746" w14:textId="2BF90C9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67.2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E2E6" w14:textId="32FDD23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9608" w14:textId="3B43B4D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155.0</w:t>
            </w:r>
          </w:p>
        </w:tc>
      </w:tr>
      <w:tr w:rsidR="002D32E0" w:rsidRPr="002F4AA0" w14:paraId="5B62FCA8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CBF7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7FF3" w14:textId="02595DD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802.8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501E" w14:textId="45B9F52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165.2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5A46" w14:textId="2E3171C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1039.0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254B" w14:textId="61D939D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117.2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7D73" w14:textId="52EA10B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24.7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5808" w14:textId="30074CBE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176.0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E7AC" w14:textId="63C1192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66.6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973D" w14:textId="5A5C7D9F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CC43" w14:textId="66F4FBA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123.0</w:t>
            </w:r>
          </w:p>
        </w:tc>
      </w:tr>
      <w:tr w:rsidR="002D32E0" w:rsidRPr="002F4AA0" w14:paraId="40E22E9B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9C75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3620" w14:textId="5C04137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803.1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731F" w14:textId="7DAED4D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167.3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2BBA" w14:textId="322DA7B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1063.0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52A5" w14:textId="134E776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114.5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2FC7" w14:textId="1FC2289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22.8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A2BC" w14:textId="708C961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169.0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DE0A" w14:textId="545ADDF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F403" w14:textId="7C0BD20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20.9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CA6B" w14:textId="6CE05DB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141.0</w:t>
            </w:r>
          </w:p>
        </w:tc>
      </w:tr>
      <w:tr w:rsidR="002D32E0" w:rsidRPr="002F4AA0" w14:paraId="0B06DF76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D1F1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D808" w14:textId="358F983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776.1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5757" w14:textId="6742069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156.1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736F" w14:textId="6CA0CF6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1040.0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201A" w14:textId="7ECCB40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112.8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3075" w14:textId="5E082FF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C187" w14:textId="6150DFE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167.0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F8B7" w14:textId="727F4D9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67.6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3F74" w14:textId="26AD3FA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023D" w14:textId="61F9125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110.0</w:t>
            </w:r>
          </w:p>
        </w:tc>
      </w:tr>
      <w:tr w:rsidR="002D32E0" w:rsidRPr="002F4AA0" w14:paraId="773368EF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71A2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1D6F" w14:textId="1407D54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767.4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ED0A" w14:textId="4EA51FA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148.8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5794" w14:textId="6FF8C81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971.0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6C0F" w14:textId="2F6B9AC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109.5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4421" w14:textId="00C1858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872C" w14:textId="0AE40AA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164.0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6D04" w14:textId="456C216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66.2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F79C" w14:textId="00108AB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0E9C" w14:textId="2A05DA1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141.0</w:t>
            </w:r>
          </w:p>
        </w:tc>
      </w:tr>
      <w:tr w:rsidR="002D32E0" w:rsidRPr="002F4AA0" w14:paraId="0E233233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992E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3308" w14:textId="519463A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765.9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9205" w14:textId="6F42326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147.9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BB09" w14:textId="29DDD8F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986.0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0D5B" w14:textId="5864622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21AB" w14:textId="365D82C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6D26" w14:textId="7F35C07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162.0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FDFB" w14:textId="3738D8CA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66.8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258" w14:textId="5CB808C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B3D8" w14:textId="5F641EA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121.0</w:t>
            </w:r>
          </w:p>
        </w:tc>
      </w:tr>
      <w:tr w:rsidR="002D32E0" w:rsidRPr="002F4AA0" w14:paraId="1A1515F0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8200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2009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3209" w14:textId="06743163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778.4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5CCF" w14:textId="74CD485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147.4</w:t>
            </w:r>
          </w:p>
        </w:tc>
        <w:tc>
          <w:tcPr>
            <w:tcW w:w="9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4D5C" w14:textId="545F670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1022.0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AC4C" w14:textId="2224593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110.4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AC55" w14:textId="0B87806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9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3914" w14:textId="2F47453B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155.0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2AC61" w14:textId="604A7E70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69.1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BF4F" w14:textId="7A8D0582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16.6</w:t>
            </w:r>
          </w:p>
        </w:tc>
        <w:tc>
          <w:tcPr>
            <w:tcW w:w="9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0AC5" w14:textId="57511865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124.0</w:t>
            </w:r>
          </w:p>
        </w:tc>
      </w:tr>
      <w:tr w:rsidR="002D32E0" w:rsidRPr="002F4AA0" w14:paraId="691D2228" w14:textId="77777777" w:rsidTr="009912E2">
        <w:trPr>
          <w:cantSplit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6105" w14:textId="77777777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 w:rsidRPr="002F4AA0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  <w:t>2010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1C592" w14:textId="1268193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789.8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5A30" w14:textId="0AD1AA8C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148.0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CFDD" w14:textId="168696B1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1026.0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FFE64" w14:textId="73E9169D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2980" w14:textId="64CAA526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1846" w14:textId="0ED7906E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166.0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80A2C" w14:textId="08C88044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68.5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B2489" w14:textId="43209648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5A7D" w14:textId="21914DD9" w:rsidR="002D32E0" w:rsidRPr="002F4AA0" w:rsidRDefault="002D32E0" w:rsidP="007C1690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CA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142.0</w:t>
            </w:r>
          </w:p>
        </w:tc>
      </w:tr>
    </w:tbl>
    <w:p w14:paraId="6D25878F" w14:textId="67EC6C68" w:rsidR="00BB1F36" w:rsidRPr="002F4AA0" w:rsidRDefault="00BB1F36" w:rsidP="00BF324E">
      <w:pPr>
        <w:pStyle w:val="Caption"/>
        <w:adjustRightInd w:val="0"/>
        <w:snapToGrid w:val="0"/>
        <w:spacing w:after="0" w:line="240" w:lineRule="auto"/>
        <w:ind w:left="0" w:right="425" w:firstLine="0"/>
        <w:jc w:val="both"/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</w:pPr>
      <w:proofErr w:type="gramStart"/>
      <w:r w:rsidRPr="002F4AA0">
        <w:rPr>
          <w:rFonts w:ascii="Palatino Linotype" w:hAnsi="Palatino Linotype" w:cs="Arial"/>
          <w:b w:val="0"/>
          <w:sz w:val="18"/>
          <w:szCs w:val="20"/>
          <w:vertAlign w:val="superscript"/>
        </w:rPr>
        <w:t>a</w:t>
      </w:r>
      <w:r w:rsidRPr="002F4AA0">
        <w:rPr>
          <w:rFonts w:ascii="Palatino Linotype" w:hAnsi="Palatino Linotype" w:cs="Arial"/>
          <w:b w:val="0"/>
          <w:sz w:val="18"/>
          <w:szCs w:val="20"/>
        </w:rPr>
        <w:t>non-accidental</w:t>
      </w:r>
      <w:proofErr w:type="gramEnd"/>
      <w:r w:rsidRPr="002F4AA0">
        <w:rPr>
          <w:rFonts w:ascii="Palatino Linotype" w:hAnsi="Palatino Linotype" w:cs="Arial"/>
          <w:b w:val="0"/>
          <w:sz w:val="18"/>
          <w:szCs w:val="20"/>
        </w:rPr>
        <w:t xml:space="preserve"> (ICD-10, A00-R99);  </w:t>
      </w:r>
      <w:r w:rsidRPr="002F4AA0">
        <w:rPr>
          <w:rFonts w:ascii="Palatino Linotype" w:hAnsi="Palatino Linotype" w:cs="Arial"/>
          <w:b w:val="0"/>
          <w:sz w:val="18"/>
          <w:szCs w:val="20"/>
          <w:vertAlign w:val="superscript"/>
        </w:rPr>
        <w:t>b</w:t>
      </w:r>
      <w:r w:rsidRPr="002F4AA0">
        <w:rPr>
          <w:rFonts w:ascii="Palatino Linotype" w:hAnsi="Palatino Linotype" w:cs="Arial"/>
          <w:b w:val="0"/>
          <w:sz w:val="18"/>
          <w:szCs w:val="20"/>
        </w:rPr>
        <w:t xml:space="preserve">ICD-10, I00-I99; </w:t>
      </w:r>
      <w:r w:rsidRPr="002F4AA0">
        <w:rPr>
          <w:rFonts w:ascii="Palatino Linotype" w:hAnsi="Palatino Linotype" w:cs="Arial"/>
          <w:b w:val="0"/>
          <w:sz w:val="18"/>
          <w:szCs w:val="20"/>
          <w:vertAlign w:val="superscript"/>
        </w:rPr>
        <w:t>c</w:t>
      </w:r>
      <w:r w:rsidRPr="002F4AA0">
        <w:rPr>
          <w:rFonts w:ascii="Palatino Linotype" w:hAnsi="Palatino Linotype" w:cs="Arial"/>
          <w:b w:val="0"/>
          <w:sz w:val="18"/>
          <w:szCs w:val="20"/>
        </w:rPr>
        <w:t xml:space="preserve">ICD-10, J00-J99. </w:t>
      </w:r>
      <w:proofErr w:type="spellStart"/>
      <w:proofErr w:type="gramStart"/>
      <w:r w:rsidRPr="002F4AA0">
        <w:rPr>
          <w:rFonts w:ascii="Palatino Linotype" w:eastAsia="Times New Roman" w:hAnsi="Palatino Linotype" w:cs="Arial"/>
          <w:b w:val="0"/>
          <w:sz w:val="18"/>
          <w:szCs w:val="20"/>
          <w:vertAlign w:val="superscript"/>
          <w:lang w:eastAsia="en-CA"/>
        </w:rPr>
        <w:t>d</w:t>
      </w:r>
      <w:r w:rsidRPr="002F4AA0"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  <w:t>standard</w:t>
      </w:r>
      <w:proofErr w:type="spellEnd"/>
      <w:proofErr w:type="gramEnd"/>
      <w:r w:rsidRPr="002F4AA0"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  <w:t xml:space="preserve"> deviation;</w:t>
      </w:r>
      <w:r w:rsidRPr="002F4AA0">
        <w:rPr>
          <w:rFonts w:ascii="Palatino Linotype" w:eastAsia="Times New Roman" w:hAnsi="Palatino Linotype" w:cs="Arial"/>
          <w:sz w:val="18"/>
          <w:szCs w:val="20"/>
          <w:vertAlign w:val="superscript"/>
          <w:lang w:eastAsia="en-CA"/>
        </w:rPr>
        <w:t xml:space="preserve"> </w:t>
      </w:r>
      <w:r w:rsidRPr="002F4AA0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2F4AA0">
        <w:rPr>
          <w:rFonts w:ascii="Palatino Linotype" w:eastAsia="Times New Roman" w:hAnsi="Palatino Linotype" w:cs="Arial"/>
          <w:b w:val="0"/>
          <w:sz w:val="18"/>
          <w:szCs w:val="20"/>
          <w:vertAlign w:val="superscript"/>
          <w:lang w:eastAsia="en-CA"/>
        </w:rPr>
        <w:t>e</w:t>
      </w:r>
      <w:r w:rsidR="00BF324E"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  <w:t>annual</w:t>
      </w:r>
      <w:proofErr w:type="spellEnd"/>
      <w:r w:rsidR="00BF324E"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  <w:t xml:space="preserve"> </w:t>
      </w:r>
      <w:r w:rsidRPr="002F4AA0">
        <w:rPr>
          <w:rFonts w:ascii="Palatino Linotype" w:eastAsia="Times New Roman" w:hAnsi="Palatino Linotype" w:cs="Arial"/>
          <w:b w:val="0"/>
          <w:sz w:val="18"/>
          <w:szCs w:val="20"/>
          <w:lang w:eastAsia="en-CA"/>
        </w:rPr>
        <w:t>maximum of daily maximum counts.</w:t>
      </w:r>
    </w:p>
    <w:p w14:paraId="40ADCB15" w14:textId="77777777" w:rsidR="00BB1F36" w:rsidRDefault="00BB1F36" w:rsidP="007C1690">
      <w:pPr>
        <w:adjustRightInd w:val="0"/>
        <w:snapToGrid w:val="0"/>
        <w:spacing w:after="0" w:line="240" w:lineRule="auto"/>
        <w:rPr>
          <w:rFonts w:ascii="Palatino Linotype" w:hAnsi="Palatino Linotype"/>
          <w:snapToGrid w:val="0"/>
          <w:sz w:val="18"/>
          <w:szCs w:val="18"/>
          <w:lang w:bidi="en-US"/>
        </w:rPr>
      </w:pPr>
    </w:p>
    <w:p w14:paraId="36225EFA" w14:textId="77777777" w:rsidR="00662C0A" w:rsidRDefault="00662C0A" w:rsidP="007C1690">
      <w:pPr>
        <w:adjustRightInd w:val="0"/>
        <w:snapToGrid w:val="0"/>
        <w:spacing w:after="0" w:line="240" w:lineRule="auto"/>
        <w:rPr>
          <w:rFonts w:ascii="Palatino Linotype" w:hAnsi="Palatino Linotype"/>
          <w:snapToGrid w:val="0"/>
          <w:sz w:val="18"/>
          <w:szCs w:val="18"/>
          <w:lang w:bidi="en-US"/>
        </w:rPr>
      </w:pPr>
    </w:p>
    <w:p w14:paraId="7C1ACDF1" w14:textId="712BBDEF" w:rsidR="00A01504" w:rsidRPr="00991BB0" w:rsidRDefault="00F80D63" w:rsidP="007C1690">
      <w:pPr>
        <w:adjustRightInd w:val="0"/>
        <w:snapToGrid w:val="0"/>
        <w:spacing w:after="0" w:line="240" w:lineRule="auto"/>
        <w:rPr>
          <w:rFonts w:ascii="Palatino Linotype" w:hAnsi="Palatino Linotype"/>
          <w:sz w:val="18"/>
        </w:rPr>
      </w:pPr>
      <w:r w:rsidRPr="00D80609">
        <w:rPr>
          <w:rFonts w:ascii="Palatino Linotype" w:hAnsi="Palatino Linotype"/>
          <w:noProof/>
          <w:snapToGrid w:val="0"/>
          <w:sz w:val="18"/>
          <w:szCs w:val="18"/>
          <w:lang w:eastAsia="en-CA"/>
        </w:rPr>
        <w:drawing>
          <wp:anchor distT="0" distB="0" distL="114300" distR="114300" simplePos="0" relativeHeight="251659264" behindDoc="1" locked="0" layoutInCell="1" allowOverlap="1" wp14:anchorId="2D601839" wp14:editId="5A8E1068">
            <wp:simplePos x="0" y="0"/>
            <wp:positionH relativeFrom="margin">
              <wp:align>left</wp:align>
            </wp:positionH>
            <wp:positionV relativeFrom="paragraph">
              <wp:posOffset>206187</wp:posOffset>
            </wp:positionV>
            <wp:extent cx="1000800" cy="360000"/>
            <wp:effectExtent l="0" t="0" r="0" b="2540"/>
            <wp:wrapTight wrapText="bothSides">
              <wp:wrapPolygon edited="0">
                <wp:start x="0" y="0"/>
                <wp:lineTo x="0" y="20608"/>
                <wp:lineTo x="20970" y="20608"/>
                <wp:lineTo x="20970" y="0"/>
                <wp:lineTo x="0" y="0"/>
              </wp:wrapPolygon>
            </wp:wrapTight>
            <wp:docPr id="4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/>
                  </pic:blipFill>
                  <pic:spPr bwMode="auto">
                    <a:xfrm>
                      <a:off x="0" y="0"/>
                      <a:ext cx="10008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80609">
        <w:rPr>
          <w:rFonts w:ascii="Palatino Linotype" w:hAnsi="Palatino Linotype"/>
          <w:snapToGrid w:val="0"/>
          <w:sz w:val="18"/>
          <w:szCs w:val="18"/>
          <w:lang w:bidi="en-US"/>
        </w:rPr>
        <w:t xml:space="preserve">© </w:t>
      </w:r>
      <w:r w:rsidR="00643E4D">
        <w:rPr>
          <w:rFonts w:ascii="Palatino Linotype" w:hAnsi="Palatino Linotype"/>
          <w:snapToGrid w:val="0"/>
          <w:sz w:val="18"/>
          <w:szCs w:val="18"/>
          <w:lang w:bidi="en-US"/>
        </w:rPr>
        <w:t>201</w:t>
      </w:r>
      <w:r w:rsidR="00874E44">
        <w:rPr>
          <w:rFonts w:ascii="Palatino Linotype" w:hAnsi="Palatino Linotype"/>
          <w:snapToGrid w:val="0"/>
          <w:sz w:val="18"/>
          <w:szCs w:val="18"/>
          <w:lang w:bidi="en-US"/>
        </w:rPr>
        <w:t>8</w:t>
      </w:r>
      <w:r w:rsidRPr="00D80609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by the authors. Submitted for possible open access publication under the </w:t>
      </w:r>
      <w:r w:rsidRPr="00D80609">
        <w:rPr>
          <w:rFonts w:ascii="Palatino Linotype" w:hAnsi="Palatino Linotype"/>
          <w:snapToGrid w:val="0"/>
          <w:sz w:val="18"/>
          <w:szCs w:val="18"/>
          <w:lang w:bidi="en-US"/>
        </w:rPr>
        <w:br/>
        <w:t>terms and conditions of the Creative Commons Attribution (</w:t>
      </w:r>
      <w:r w:rsidR="00EA3851">
        <w:rPr>
          <w:rFonts w:ascii="Palatino Linotype" w:hAnsi="Palatino Linotype"/>
          <w:snapToGrid w:val="0"/>
          <w:sz w:val="18"/>
          <w:szCs w:val="18"/>
          <w:lang w:bidi="en-US"/>
        </w:rPr>
        <w:t>CC BY</w:t>
      </w:r>
      <w:r w:rsidRPr="00D80609">
        <w:rPr>
          <w:rFonts w:ascii="Palatino Linotype" w:hAnsi="Palatino Linotype"/>
          <w:snapToGrid w:val="0"/>
          <w:sz w:val="18"/>
          <w:szCs w:val="18"/>
          <w:lang w:bidi="en-US"/>
        </w:rPr>
        <w:t>) license (http://creativecommons.org/licenses/by/4.0/).</w:t>
      </w:r>
      <w:bookmarkEnd w:id="2"/>
    </w:p>
    <w:sectPr w:rsidR="00A01504" w:rsidRPr="00991BB0" w:rsidSect="00305CED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B83AF" w14:textId="77777777" w:rsidR="00265AB5" w:rsidRDefault="00265AB5" w:rsidP="00C1340D">
      <w:r>
        <w:separator/>
      </w:r>
    </w:p>
  </w:endnote>
  <w:endnote w:type="continuationSeparator" w:id="0">
    <w:p w14:paraId="5A528BCB" w14:textId="77777777" w:rsidR="00265AB5" w:rsidRDefault="00265AB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0A097" w14:textId="77777777" w:rsidR="00662C0A" w:rsidRPr="00590BF9" w:rsidRDefault="00662C0A" w:rsidP="00590BF9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</w:rPr>
      <w:id w:val="1717389558"/>
      <w:docPartObj>
        <w:docPartGallery w:val="Page Numbers (Top of Page)"/>
        <w:docPartUnique/>
      </w:docPartObj>
    </w:sdtPr>
    <w:sdtEndPr>
      <w:rPr>
        <w:i w:val="0"/>
      </w:rPr>
    </w:sdtEndPr>
    <w:sdtContent>
      <w:p w14:paraId="5EBB50F1" w14:textId="1D791400" w:rsidR="00662C0A" w:rsidRPr="00783845" w:rsidRDefault="00662C0A" w:rsidP="00EA1763">
        <w:pPr>
          <w:pStyle w:val="MDPIfooterfirstpage"/>
          <w:spacing w:line="240" w:lineRule="auto"/>
          <w:jc w:val="both"/>
          <w:rPr>
            <w:lang w:val="en-CA"/>
          </w:rPr>
        </w:pPr>
        <w:r w:rsidRPr="009231ED">
          <w:rPr>
            <w:i/>
            <w:szCs w:val="16"/>
          </w:rPr>
          <w:t>Int. J. Environ. Res. Public Health</w:t>
        </w:r>
        <w:r w:rsidRPr="009231ED">
          <w:rPr>
            <w:szCs w:val="16"/>
          </w:rPr>
          <w:t xml:space="preserve"> </w:t>
        </w:r>
        <w:r w:rsidRPr="009231ED">
          <w:rPr>
            <w:b/>
            <w:szCs w:val="16"/>
          </w:rPr>
          <w:t>201</w:t>
        </w:r>
        <w:r>
          <w:rPr>
            <w:b/>
            <w:szCs w:val="16"/>
          </w:rPr>
          <w:t>8</w:t>
        </w:r>
        <w:r w:rsidRPr="009231ED">
          <w:rPr>
            <w:szCs w:val="16"/>
          </w:rPr>
          <w:t xml:space="preserve">, </w:t>
        </w:r>
        <w:r w:rsidRPr="009231ED">
          <w:rPr>
            <w:i/>
            <w:szCs w:val="16"/>
          </w:rPr>
          <w:t>1</w:t>
        </w:r>
        <w:r>
          <w:rPr>
            <w:rFonts w:eastAsia="SimSun"/>
            <w:i/>
            <w:szCs w:val="16"/>
            <w:lang w:eastAsia="zh-CN"/>
          </w:rPr>
          <w:t>5</w:t>
        </w:r>
        <w:r w:rsidRPr="009231ED">
          <w:rPr>
            <w:szCs w:val="16"/>
          </w:rPr>
          <w:t>,</w:t>
        </w:r>
        <w:r w:rsidRPr="00FB75B2">
          <w:rPr>
            <w:iCs/>
            <w:szCs w:val="16"/>
          </w:rPr>
          <w:t xml:space="preserve"> </w:t>
        </w:r>
        <w:r w:rsidRPr="00783845">
          <w:rPr>
            <w:lang w:val="en-CA"/>
          </w:rPr>
          <w:t xml:space="preserve">x; </w:t>
        </w:r>
        <w:proofErr w:type="spellStart"/>
        <w:r w:rsidRPr="00783845">
          <w:rPr>
            <w:lang w:val="en-CA"/>
          </w:rPr>
          <w:t>doi</w:t>
        </w:r>
        <w:proofErr w:type="spellEnd"/>
        <w:r w:rsidRPr="00783845">
          <w:rPr>
            <w:lang w:val="en-CA"/>
          </w:rPr>
          <w:t xml:space="preserve">: </w:t>
        </w:r>
        <w:r w:rsidRPr="00C7178D">
          <w:rPr>
            <w:rFonts w:eastAsiaTheme="minorEastAsia"/>
            <w:szCs w:val="16"/>
            <w:lang w:eastAsia="zh-CN"/>
          </w:rPr>
          <w:t>FOR PEER REVIEW</w:t>
        </w:r>
        <w:r>
          <w:rPr>
            <w:rFonts w:eastAsiaTheme="minorEastAsia"/>
            <w:szCs w:val="16"/>
            <w:lang w:eastAsia="zh-CN"/>
          </w:rPr>
          <w:t xml:space="preserve"> </w:t>
        </w:r>
        <w:r w:rsidRPr="00783845">
          <w:rPr>
            <w:lang w:val="en-CA"/>
          </w:rPr>
          <w:tab/>
          <w:t>www.mdpi.com/journal/</w:t>
        </w:r>
        <w:r>
          <w:t>ijerph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74918" w14:textId="77777777" w:rsidR="00265AB5" w:rsidRDefault="00265AB5" w:rsidP="00C1340D">
      <w:r>
        <w:separator/>
      </w:r>
    </w:p>
  </w:footnote>
  <w:footnote w:type="continuationSeparator" w:id="0">
    <w:p w14:paraId="4D3E52AD" w14:textId="77777777" w:rsidR="00265AB5" w:rsidRDefault="00265AB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520C0" w14:textId="77777777" w:rsidR="00662C0A" w:rsidRDefault="00662C0A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39081" w14:textId="2E900B42" w:rsidR="00662C0A" w:rsidRPr="00305CED" w:rsidRDefault="00662C0A" w:rsidP="00305CED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Environ. Res. Public Health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15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DF55AF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DF55AF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B08B8" w14:textId="77777777" w:rsidR="00662C0A" w:rsidRDefault="00662C0A" w:rsidP="008810B3">
    <w:pPr>
      <w:pStyle w:val="MDPIheaderjournallogo"/>
    </w:pPr>
    <w:r>
      <w:rPr>
        <w:i w:val="0"/>
        <w:noProof/>
        <w:szCs w:val="16"/>
        <w:lang w:val="en-CA" w:eastAsia="en-CA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05A7B1F" wp14:editId="1A321A8C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CCAD2F" w14:textId="77777777" w:rsidR="00662C0A" w:rsidRDefault="00662C0A" w:rsidP="00D350F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B11CEA">
                            <w:rPr>
                              <w:i w:val="0"/>
                              <w:noProof/>
                              <w:szCs w:val="16"/>
                              <w:lang w:val="en-CA" w:eastAsia="en-CA"/>
                            </w:rPr>
                            <w:drawing>
                              <wp:inline distT="0" distB="0" distL="0" distR="0" wp14:anchorId="1DCF2A5D" wp14:editId="2F98FED0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14:paraId="67CCAD2F" w14:textId="77777777" w:rsidR="00662C0A" w:rsidRDefault="00662C0A" w:rsidP="00D350F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B11CEA">
                      <w:rPr>
                        <w:i w:val="0"/>
                        <w:noProof/>
                        <w:szCs w:val="16"/>
                        <w:lang w:val="en-CA" w:eastAsia="en-CA"/>
                      </w:rPr>
                      <w:drawing>
                        <wp:inline distT="0" distB="0" distL="0" distR="0" wp14:anchorId="1DCF2A5D" wp14:editId="2F98FED0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CA" w:eastAsia="en-CA"/>
      </w:rPr>
      <w:drawing>
        <wp:inline distT="0" distB="0" distL="0" distR="0" wp14:anchorId="0F312EE0" wp14:editId="6CDFFBD3">
          <wp:extent cx="1830736" cy="432000"/>
          <wp:effectExtent l="0" t="0" r="0" b="6350"/>
          <wp:docPr id="3" name="Picture 3" descr="C:\Users\home\Desktop\logos\png\ijerph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Desktop\logos\png\ijerph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0736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48EF"/>
    <w:multiLevelType w:val="hybridMultilevel"/>
    <w:tmpl w:val="9DC2AFE6"/>
    <w:lvl w:ilvl="0" w:tplc="9154CE82">
      <w:start w:val="1"/>
      <w:numFmt w:val="decimal"/>
      <w:lvlText w:val="%1"/>
      <w:lvlJc w:val="left"/>
      <w:pPr>
        <w:ind w:left="473" w:hanging="360"/>
      </w:pPr>
      <w:rPr>
        <w:rFonts w:hint="default"/>
        <w:vertAlign w:val="superscript"/>
      </w:rPr>
    </w:lvl>
    <w:lvl w:ilvl="1" w:tplc="10090019" w:tentative="1">
      <w:start w:val="1"/>
      <w:numFmt w:val="lowerLetter"/>
      <w:lvlText w:val="%2."/>
      <w:lvlJc w:val="left"/>
      <w:pPr>
        <w:ind w:left="1193" w:hanging="360"/>
      </w:pPr>
    </w:lvl>
    <w:lvl w:ilvl="2" w:tplc="1009001B" w:tentative="1">
      <w:start w:val="1"/>
      <w:numFmt w:val="lowerRoman"/>
      <w:lvlText w:val="%3."/>
      <w:lvlJc w:val="right"/>
      <w:pPr>
        <w:ind w:left="1913" w:hanging="180"/>
      </w:pPr>
    </w:lvl>
    <w:lvl w:ilvl="3" w:tplc="1009000F" w:tentative="1">
      <w:start w:val="1"/>
      <w:numFmt w:val="decimal"/>
      <w:lvlText w:val="%4."/>
      <w:lvlJc w:val="left"/>
      <w:pPr>
        <w:ind w:left="2633" w:hanging="360"/>
      </w:pPr>
    </w:lvl>
    <w:lvl w:ilvl="4" w:tplc="10090019" w:tentative="1">
      <w:start w:val="1"/>
      <w:numFmt w:val="lowerLetter"/>
      <w:lvlText w:val="%5."/>
      <w:lvlJc w:val="left"/>
      <w:pPr>
        <w:ind w:left="3353" w:hanging="360"/>
      </w:pPr>
    </w:lvl>
    <w:lvl w:ilvl="5" w:tplc="1009001B" w:tentative="1">
      <w:start w:val="1"/>
      <w:numFmt w:val="lowerRoman"/>
      <w:lvlText w:val="%6."/>
      <w:lvlJc w:val="right"/>
      <w:pPr>
        <w:ind w:left="4073" w:hanging="180"/>
      </w:pPr>
    </w:lvl>
    <w:lvl w:ilvl="6" w:tplc="1009000F" w:tentative="1">
      <w:start w:val="1"/>
      <w:numFmt w:val="decimal"/>
      <w:lvlText w:val="%7."/>
      <w:lvlJc w:val="left"/>
      <w:pPr>
        <w:ind w:left="4793" w:hanging="360"/>
      </w:pPr>
    </w:lvl>
    <w:lvl w:ilvl="7" w:tplc="10090019" w:tentative="1">
      <w:start w:val="1"/>
      <w:numFmt w:val="lowerLetter"/>
      <w:lvlText w:val="%8."/>
      <w:lvlJc w:val="left"/>
      <w:pPr>
        <w:ind w:left="5513" w:hanging="360"/>
      </w:pPr>
    </w:lvl>
    <w:lvl w:ilvl="8" w:tplc="10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DAE7527"/>
    <w:multiLevelType w:val="hybridMultilevel"/>
    <w:tmpl w:val="6D6C34C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0B505B"/>
    <w:multiLevelType w:val="hybridMultilevel"/>
    <w:tmpl w:val="E3F84D4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C75EF0"/>
    <w:multiLevelType w:val="hybridMultilevel"/>
    <w:tmpl w:val="62A2795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C370A"/>
    <w:multiLevelType w:val="hybridMultilevel"/>
    <w:tmpl w:val="96EA3A9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>
    <w:nsid w:val="6CFD7783"/>
    <w:multiLevelType w:val="hybridMultilevel"/>
    <w:tmpl w:val="6DAE2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F70B0"/>
    <w:multiLevelType w:val="hybridMultilevel"/>
    <w:tmpl w:val="B2F4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20A64"/>
    <w:multiLevelType w:val="hybridMultilevel"/>
    <w:tmpl w:val="01E4F04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1">
    <w:nsid w:val="7A5C650A"/>
    <w:multiLevelType w:val="hybridMultilevel"/>
    <w:tmpl w:val="38127C30"/>
    <w:lvl w:ilvl="0" w:tplc="A77E0DF8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10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  <w:num w:numId="1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D5"/>
    <w:rsid w:val="00000637"/>
    <w:rsid w:val="000006F8"/>
    <w:rsid w:val="00004544"/>
    <w:rsid w:val="000046B6"/>
    <w:rsid w:val="00004BA7"/>
    <w:rsid w:val="00005FC2"/>
    <w:rsid w:val="00011BC3"/>
    <w:rsid w:val="0001283B"/>
    <w:rsid w:val="00013484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CEA"/>
    <w:rsid w:val="00037F00"/>
    <w:rsid w:val="00041A10"/>
    <w:rsid w:val="00041E09"/>
    <w:rsid w:val="00042441"/>
    <w:rsid w:val="0004245C"/>
    <w:rsid w:val="00042C12"/>
    <w:rsid w:val="000439F3"/>
    <w:rsid w:val="00043F91"/>
    <w:rsid w:val="00044417"/>
    <w:rsid w:val="0004473F"/>
    <w:rsid w:val="00045898"/>
    <w:rsid w:val="00046FE3"/>
    <w:rsid w:val="00050716"/>
    <w:rsid w:val="00050C65"/>
    <w:rsid w:val="00051A14"/>
    <w:rsid w:val="000520E3"/>
    <w:rsid w:val="000551E0"/>
    <w:rsid w:val="000554E4"/>
    <w:rsid w:val="000562B9"/>
    <w:rsid w:val="00056DBB"/>
    <w:rsid w:val="000578BD"/>
    <w:rsid w:val="000602E4"/>
    <w:rsid w:val="000605CD"/>
    <w:rsid w:val="00063A6A"/>
    <w:rsid w:val="0006467F"/>
    <w:rsid w:val="00064C2A"/>
    <w:rsid w:val="00066489"/>
    <w:rsid w:val="000668DA"/>
    <w:rsid w:val="00071D03"/>
    <w:rsid w:val="00073BD9"/>
    <w:rsid w:val="0007449C"/>
    <w:rsid w:val="00074892"/>
    <w:rsid w:val="00077A9D"/>
    <w:rsid w:val="00077B09"/>
    <w:rsid w:val="00082D78"/>
    <w:rsid w:val="000833FA"/>
    <w:rsid w:val="000848F9"/>
    <w:rsid w:val="00087671"/>
    <w:rsid w:val="00094176"/>
    <w:rsid w:val="000971AB"/>
    <w:rsid w:val="000A0E49"/>
    <w:rsid w:val="000A0F29"/>
    <w:rsid w:val="000A3155"/>
    <w:rsid w:val="000A411D"/>
    <w:rsid w:val="000A45A9"/>
    <w:rsid w:val="000A561E"/>
    <w:rsid w:val="000A5FAE"/>
    <w:rsid w:val="000B05D0"/>
    <w:rsid w:val="000B38AC"/>
    <w:rsid w:val="000B3AAA"/>
    <w:rsid w:val="000B4000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3120"/>
    <w:rsid w:val="000D5554"/>
    <w:rsid w:val="000D755C"/>
    <w:rsid w:val="000E08FD"/>
    <w:rsid w:val="000E35FE"/>
    <w:rsid w:val="000E37D1"/>
    <w:rsid w:val="000E7A5D"/>
    <w:rsid w:val="000E7A90"/>
    <w:rsid w:val="000F0E85"/>
    <w:rsid w:val="000F0F9F"/>
    <w:rsid w:val="000F4E0E"/>
    <w:rsid w:val="000F7674"/>
    <w:rsid w:val="0010048A"/>
    <w:rsid w:val="00100B2F"/>
    <w:rsid w:val="00100FE2"/>
    <w:rsid w:val="00103433"/>
    <w:rsid w:val="00103634"/>
    <w:rsid w:val="0011067A"/>
    <w:rsid w:val="00112F1B"/>
    <w:rsid w:val="00116749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37CF7"/>
    <w:rsid w:val="00140A39"/>
    <w:rsid w:val="0014158B"/>
    <w:rsid w:val="001417A2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57E7E"/>
    <w:rsid w:val="00160C50"/>
    <w:rsid w:val="0016263E"/>
    <w:rsid w:val="001632F9"/>
    <w:rsid w:val="00163372"/>
    <w:rsid w:val="00165A01"/>
    <w:rsid w:val="001665A2"/>
    <w:rsid w:val="0016702F"/>
    <w:rsid w:val="00170227"/>
    <w:rsid w:val="001732EE"/>
    <w:rsid w:val="001739FB"/>
    <w:rsid w:val="00173FC0"/>
    <w:rsid w:val="001763AE"/>
    <w:rsid w:val="00176BBA"/>
    <w:rsid w:val="00176DC5"/>
    <w:rsid w:val="00176E73"/>
    <w:rsid w:val="0017709E"/>
    <w:rsid w:val="001770D0"/>
    <w:rsid w:val="00180173"/>
    <w:rsid w:val="001812DE"/>
    <w:rsid w:val="00184B65"/>
    <w:rsid w:val="00184ECF"/>
    <w:rsid w:val="001854A7"/>
    <w:rsid w:val="001860DD"/>
    <w:rsid w:val="00186432"/>
    <w:rsid w:val="001867F4"/>
    <w:rsid w:val="00191BDC"/>
    <w:rsid w:val="00192141"/>
    <w:rsid w:val="001929BE"/>
    <w:rsid w:val="00193EBD"/>
    <w:rsid w:val="00194DCB"/>
    <w:rsid w:val="00197F9A"/>
    <w:rsid w:val="001A0D5B"/>
    <w:rsid w:val="001A103B"/>
    <w:rsid w:val="001A1E12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2A2E"/>
    <w:rsid w:val="001C3B86"/>
    <w:rsid w:val="001C6374"/>
    <w:rsid w:val="001D0A2E"/>
    <w:rsid w:val="001D0BD8"/>
    <w:rsid w:val="001D0D48"/>
    <w:rsid w:val="001D4C88"/>
    <w:rsid w:val="001D4CBF"/>
    <w:rsid w:val="001D5C42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1F6F40"/>
    <w:rsid w:val="0020147D"/>
    <w:rsid w:val="002021CF"/>
    <w:rsid w:val="002026F5"/>
    <w:rsid w:val="002065E8"/>
    <w:rsid w:val="00206B4D"/>
    <w:rsid w:val="0021202D"/>
    <w:rsid w:val="00214190"/>
    <w:rsid w:val="00216FA9"/>
    <w:rsid w:val="00220209"/>
    <w:rsid w:val="002220D5"/>
    <w:rsid w:val="00223198"/>
    <w:rsid w:val="00223A64"/>
    <w:rsid w:val="00225217"/>
    <w:rsid w:val="00225F3F"/>
    <w:rsid w:val="00226AB1"/>
    <w:rsid w:val="00226E05"/>
    <w:rsid w:val="00234505"/>
    <w:rsid w:val="00235077"/>
    <w:rsid w:val="00235973"/>
    <w:rsid w:val="002364C9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6B8C"/>
    <w:rsid w:val="00257403"/>
    <w:rsid w:val="0025777F"/>
    <w:rsid w:val="00261B77"/>
    <w:rsid w:val="002623FD"/>
    <w:rsid w:val="00262F3A"/>
    <w:rsid w:val="00263052"/>
    <w:rsid w:val="00263890"/>
    <w:rsid w:val="0026479E"/>
    <w:rsid w:val="00265AB5"/>
    <w:rsid w:val="002665A2"/>
    <w:rsid w:val="00271978"/>
    <w:rsid w:val="00272574"/>
    <w:rsid w:val="00273440"/>
    <w:rsid w:val="0027513B"/>
    <w:rsid w:val="0027593D"/>
    <w:rsid w:val="00275F7E"/>
    <w:rsid w:val="00276B71"/>
    <w:rsid w:val="00277067"/>
    <w:rsid w:val="0027713B"/>
    <w:rsid w:val="00281029"/>
    <w:rsid w:val="002813F6"/>
    <w:rsid w:val="00285954"/>
    <w:rsid w:val="0028727D"/>
    <w:rsid w:val="002915B6"/>
    <w:rsid w:val="0029287A"/>
    <w:rsid w:val="002929BC"/>
    <w:rsid w:val="00294C2F"/>
    <w:rsid w:val="0029628E"/>
    <w:rsid w:val="00296EB7"/>
    <w:rsid w:val="002A22BD"/>
    <w:rsid w:val="002A31E4"/>
    <w:rsid w:val="002A66E9"/>
    <w:rsid w:val="002A68BF"/>
    <w:rsid w:val="002A6B46"/>
    <w:rsid w:val="002B0BCA"/>
    <w:rsid w:val="002B37F5"/>
    <w:rsid w:val="002B44FC"/>
    <w:rsid w:val="002B4981"/>
    <w:rsid w:val="002B75A2"/>
    <w:rsid w:val="002B7893"/>
    <w:rsid w:val="002C082F"/>
    <w:rsid w:val="002C0E6A"/>
    <w:rsid w:val="002C174C"/>
    <w:rsid w:val="002C28DD"/>
    <w:rsid w:val="002C300A"/>
    <w:rsid w:val="002C5045"/>
    <w:rsid w:val="002C6C5F"/>
    <w:rsid w:val="002C7423"/>
    <w:rsid w:val="002C7CEB"/>
    <w:rsid w:val="002D0834"/>
    <w:rsid w:val="002D2055"/>
    <w:rsid w:val="002D32E0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5D0E"/>
    <w:rsid w:val="002F6006"/>
    <w:rsid w:val="002F667B"/>
    <w:rsid w:val="002F6728"/>
    <w:rsid w:val="002F6FC8"/>
    <w:rsid w:val="00300F39"/>
    <w:rsid w:val="003026C3"/>
    <w:rsid w:val="0030282D"/>
    <w:rsid w:val="0030286C"/>
    <w:rsid w:val="0030379B"/>
    <w:rsid w:val="003053D7"/>
    <w:rsid w:val="00305668"/>
    <w:rsid w:val="00305CED"/>
    <w:rsid w:val="003066AC"/>
    <w:rsid w:val="00306771"/>
    <w:rsid w:val="0030792C"/>
    <w:rsid w:val="00307DAD"/>
    <w:rsid w:val="00312344"/>
    <w:rsid w:val="00312F5B"/>
    <w:rsid w:val="0031308C"/>
    <w:rsid w:val="0031392A"/>
    <w:rsid w:val="003167AC"/>
    <w:rsid w:val="00320B50"/>
    <w:rsid w:val="00321655"/>
    <w:rsid w:val="0032250E"/>
    <w:rsid w:val="00322580"/>
    <w:rsid w:val="0032279F"/>
    <w:rsid w:val="003229F7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2406"/>
    <w:rsid w:val="003430F2"/>
    <w:rsid w:val="003444F5"/>
    <w:rsid w:val="00344684"/>
    <w:rsid w:val="00344DFE"/>
    <w:rsid w:val="00346A68"/>
    <w:rsid w:val="00346B1B"/>
    <w:rsid w:val="00347596"/>
    <w:rsid w:val="00350CC3"/>
    <w:rsid w:val="00352D55"/>
    <w:rsid w:val="0035313A"/>
    <w:rsid w:val="0035340A"/>
    <w:rsid w:val="00353B41"/>
    <w:rsid w:val="0035469E"/>
    <w:rsid w:val="0035521D"/>
    <w:rsid w:val="0035668C"/>
    <w:rsid w:val="00357207"/>
    <w:rsid w:val="00357575"/>
    <w:rsid w:val="00360451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4DB7"/>
    <w:rsid w:val="00376FA1"/>
    <w:rsid w:val="00377C96"/>
    <w:rsid w:val="00381C2D"/>
    <w:rsid w:val="00381D89"/>
    <w:rsid w:val="00381FC4"/>
    <w:rsid w:val="00383346"/>
    <w:rsid w:val="003835CE"/>
    <w:rsid w:val="003855CF"/>
    <w:rsid w:val="003902E6"/>
    <w:rsid w:val="00391035"/>
    <w:rsid w:val="003911F6"/>
    <w:rsid w:val="00391F71"/>
    <w:rsid w:val="003938E0"/>
    <w:rsid w:val="00394742"/>
    <w:rsid w:val="00395BA5"/>
    <w:rsid w:val="003A0FDD"/>
    <w:rsid w:val="003A116E"/>
    <w:rsid w:val="003A1FCC"/>
    <w:rsid w:val="003A2168"/>
    <w:rsid w:val="003A3F7E"/>
    <w:rsid w:val="003A445F"/>
    <w:rsid w:val="003A4FD3"/>
    <w:rsid w:val="003A5E59"/>
    <w:rsid w:val="003A7697"/>
    <w:rsid w:val="003B2A22"/>
    <w:rsid w:val="003B3A7C"/>
    <w:rsid w:val="003B4E63"/>
    <w:rsid w:val="003B559A"/>
    <w:rsid w:val="003B65E3"/>
    <w:rsid w:val="003B6F7D"/>
    <w:rsid w:val="003C014C"/>
    <w:rsid w:val="003C245C"/>
    <w:rsid w:val="003C2C26"/>
    <w:rsid w:val="003C314C"/>
    <w:rsid w:val="003C4A20"/>
    <w:rsid w:val="003C4AAF"/>
    <w:rsid w:val="003C7C01"/>
    <w:rsid w:val="003D11D5"/>
    <w:rsid w:val="003D1BCF"/>
    <w:rsid w:val="003D2888"/>
    <w:rsid w:val="003D2BC8"/>
    <w:rsid w:val="003D2F1C"/>
    <w:rsid w:val="003D5A5A"/>
    <w:rsid w:val="003D6836"/>
    <w:rsid w:val="003D6D89"/>
    <w:rsid w:val="003D6DF8"/>
    <w:rsid w:val="003D740F"/>
    <w:rsid w:val="003E08EB"/>
    <w:rsid w:val="003E0C56"/>
    <w:rsid w:val="003E14E1"/>
    <w:rsid w:val="003E2B81"/>
    <w:rsid w:val="003E5F91"/>
    <w:rsid w:val="003E645A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07802"/>
    <w:rsid w:val="00411667"/>
    <w:rsid w:val="004123C0"/>
    <w:rsid w:val="00412F36"/>
    <w:rsid w:val="00412FD3"/>
    <w:rsid w:val="004137AF"/>
    <w:rsid w:val="00414523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0B5D"/>
    <w:rsid w:val="0043115A"/>
    <w:rsid w:val="00431490"/>
    <w:rsid w:val="00432800"/>
    <w:rsid w:val="00433837"/>
    <w:rsid w:val="00433E98"/>
    <w:rsid w:val="00434423"/>
    <w:rsid w:val="00436BA8"/>
    <w:rsid w:val="0043748F"/>
    <w:rsid w:val="004378B1"/>
    <w:rsid w:val="0044006E"/>
    <w:rsid w:val="004407B9"/>
    <w:rsid w:val="00441209"/>
    <w:rsid w:val="00441AF9"/>
    <w:rsid w:val="00441FA3"/>
    <w:rsid w:val="004466AA"/>
    <w:rsid w:val="00446CA3"/>
    <w:rsid w:val="00447428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38D9"/>
    <w:rsid w:val="00467F33"/>
    <w:rsid w:val="00471859"/>
    <w:rsid w:val="00473A83"/>
    <w:rsid w:val="0047430D"/>
    <w:rsid w:val="00475F95"/>
    <w:rsid w:val="00476172"/>
    <w:rsid w:val="004773CF"/>
    <w:rsid w:val="00477487"/>
    <w:rsid w:val="0048098C"/>
    <w:rsid w:val="00480BAE"/>
    <w:rsid w:val="00480E4E"/>
    <w:rsid w:val="00481ADA"/>
    <w:rsid w:val="00483436"/>
    <w:rsid w:val="00484615"/>
    <w:rsid w:val="004869B2"/>
    <w:rsid w:val="00492418"/>
    <w:rsid w:val="00492DD6"/>
    <w:rsid w:val="004934AC"/>
    <w:rsid w:val="004938FB"/>
    <w:rsid w:val="0049504D"/>
    <w:rsid w:val="00495448"/>
    <w:rsid w:val="004971EB"/>
    <w:rsid w:val="004975CF"/>
    <w:rsid w:val="004A070F"/>
    <w:rsid w:val="004A3D67"/>
    <w:rsid w:val="004A3EEB"/>
    <w:rsid w:val="004A44AE"/>
    <w:rsid w:val="004A485C"/>
    <w:rsid w:val="004A6739"/>
    <w:rsid w:val="004A6E3D"/>
    <w:rsid w:val="004A7C02"/>
    <w:rsid w:val="004B1516"/>
    <w:rsid w:val="004B4F65"/>
    <w:rsid w:val="004B637A"/>
    <w:rsid w:val="004B664F"/>
    <w:rsid w:val="004C00ED"/>
    <w:rsid w:val="004C16C9"/>
    <w:rsid w:val="004C1961"/>
    <w:rsid w:val="004C1A82"/>
    <w:rsid w:val="004C1AB7"/>
    <w:rsid w:val="004C1B70"/>
    <w:rsid w:val="004C25AA"/>
    <w:rsid w:val="004C3D4B"/>
    <w:rsid w:val="004C6EE2"/>
    <w:rsid w:val="004C71C5"/>
    <w:rsid w:val="004D0408"/>
    <w:rsid w:val="004D3D30"/>
    <w:rsid w:val="004D464D"/>
    <w:rsid w:val="004D50E0"/>
    <w:rsid w:val="004D6828"/>
    <w:rsid w:val="004E0A32"/>
    <w:rsid w:val="004E16F5"/>
    <w:rsid w:val="004E63DE"/>
    <w:rsid w:val="004E70CE"/>
    <w:rsid w:val="004F1511"/>
    <w:rsid w:val="004F1E7C"/>
    <w:rsid w:val="004F41A3"/>
    <w:rsid w:val="004F7B5B"/>
    <w:rsid w:val="0050479F"/>
    <w:rsid w:val="00505235"/>
    <w:rsid w:val="005052F4"/>
    <w:rsid w:val="005055B1"/>
    <w:rsid w:val="0050609E"/>
    <w:rsid w:val="00514D19"/>
    <w:rsid w:val="00516DB6"/>
    <w:rsid w:val="00516FD5"/>
    <w:rsid w:val="005173DA"/>
    <w:rsid w:val="00520C33"/>
    <w:rsid w:val="00522EB1"/>
    <w:rsid w:val="00523C06"/>
    <w:rsid w:val="00525CC6"/>
    <w:rsid w:val="00527BF5"/>
    <w:rsid w:val="005312CA"/>
    <w:rsid w:val="00532B9C"/>
    <w:rsid w:val="005332DD"/>
    <w:rsid w:val="00533883"/>
    <w:rsid w:val="00534135"/>
    <w:rsid w:val="005400CD"/>
    <w:rsid w:val="00541DC6"/>
    <w:rsid w:val="005444E5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20F2"/>
    <w:rsid w:val="0056451B"/>
    <w:rsid w:val="00565398"/>
    <w:rsid w:val="00565B1B"/>
    <w:rsid w:val="005665B7"/>
    <w:rsid w:val="0056676E"/>
    <w:rsid w:val="00566825"/>
    <w:rsid w:val="00566C4A"/>
    <w:rsid w:val="0056718A"/>
    <w:rsid w:val="00567455"/>
    <w:rsid w:val="00570518"/>
    <w:rsid w:val="00571422"/>
    <w:rsid w:val="00571CED"/>
    <w:rsid w:val="00573F7F"/>
    <w:rsid w:val="005760C8"/>
    <w:rsid w:val="00580739"/>
    <w:rsid w:val="0058772B"/>
    <w:rsid w:val="00587918"/>
    <w:rsid w:val="005879FB"/>
    <w:rsid w:val="005904F3"/>
    <w:rsid w:val="00590BF9"/>
    <w:rsid w:val="00591118"/>
    <w:rsid w:val="00592174"/>
    <w:rsid w:val="005967E7"/>
    <w:rsid w:val="0059706B"/>
    <w:rsid w:val="0059738E"/>
    <w:rsid w:val="005A1A79"/>
    <w:rsid w:val="005A30D2"/>
    <w:rsid w:val="005A42BD"/>
    <w:rsid w:val="005A6846"/>
    <w:rsid w:val="005A791C"/>
    <w:rsid w:val="005B372B"/>
    <w:rsid w:val="005C001C"/>
    <w:rsid w:val="005C1C6F"/>
    <w:rsid w:val="005C2A6C"/>
    <w:rsid w:val="005C3E94"/>
    <w:rsid w:val="005C5730"/>
    <w:rsid w:val="005C7C02"/>
    <w:rsid w:val="005D196D"/>
    <w:rsid w:val="005D19D4"/>
    <w:rsid w:val="005D2650"/>
    <w:rsid w:val="005D35BB"/>
    <w:rsid w:val="005D68B5"/>
    <w:rsid w:val="005E06C5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2920"/>
    <w:rsid w:val="005F2B8E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3A94"/>
    <w:rsid w:val="00614AE8"/>
    <w:rsid w:val="0061522B"/>
    <w:rsid w:val="0061539D"/>
    <w:rsid w:val="0061583B"/>
    <w:rsid w:val="00615B18"/>
    <w:rsid w:val="00621703"/>
    <w:rsid w:val="00621836"/>
    <w:rsid w:val="006218BD"/>
    <w:rsid w:val="00621F58"/>
    <w:rsid w:val="00622325"/>
    <w:rsid w:val="00622348"/>
    <w:rsid w:val="0062306A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6CF"/>
    <w:rsid w:val="006408F0"/>
    <w:rsid w:val="006410D6"/>
    <w:rsid w:val="006411A5"/>
    <w:rsid w:val="00641221"/>
    <w:rsid w:val="00642B45"/>
    <w:rsid w:val="0064371D"/>
    <w:rsid w:val="00643E4D"/>
    <w:rsid w:val="00645862"/>
    <w:rsid w:val="006458D8"/>
    <w:rsid w:val="00647753"/>
    <w:rsid w:val="0065221D"/>
    <w:rsid w:val="00652887"/>
    <w:rsid w:val="00653B88"/>
    <w:rsid w:val="00653DF4"/>
    <w:rsid w:val="00654659"/>
    <w:rsid w:val="006549FA"/>
    <w:rsid w:val="00655087"/>
    <w:rsid w:val="00655D54"/>
    <w:rsid w:val="00655F4C"/>
    <w:rsid w:val="0065777B"/>
    <w:rsid w:val="00660DBC"/>
    <w:rsid w:val="00661780"/>
    <w:rsid w:val="00662C0A"/>
    <w:rsid w:val="00663C24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0845"/>
    <w:rsid w:val="006A2B29"/>
    <w:rsid w:val="006A32E6"/>
    <w:rsid w:val="006A54E3"/>
    <w:rsid w:val="006A55D7"/>
    <w:rsid w:val="006A7AD1"/>
    <w:rsid w:val="006B20CA"/>
    <w:rsid w:val="006B440B"/>
    <w:rsid w:val="006B5189"/>
    <w:rsid w:val="006B7FDA"/>
    <w:rsid w:val="006C09DE"/>
    <w:rsid w:val="006C1055"/>
    <w:rsid w:val="006C2DB8"/>
    <w:rsid w:val="006C3E9D"/>
    <w:rsid w:val="006C44B9"/>
    <w:rsid w:val="006C4FA4"/>
    <w:rsid w:val="006C51D6"/>
    <w:rsid w:val="006C6552"/>
    <w:rsid w:val="006C67DC"/>
    <w:rsid w:val="006C6E85"/>
    <w:rsid w:val="006C7D91"/>
    <w:rsid w:val="006C7DB4"/>
    <w:rsid w:val="006C7FED"/>
    <w:rsid w:val="006D0C85"/>
    <w:rsid w:val="006D15EB"/>
    <w:rsid w:val="006D2ED9"/>
    <w:rsid w:val="006D4052"/>
    <w:rsid w:val="006D425B"/>
    <w:rsid w:val="006D5868"/>
    <w:rsid w:val="006D6F56"/>
    <w:rsid w:val="006D7D80"/>
    <w:rsid w:val="006E17AC"/>
    <w:rsid w:val="006E24C6"/>
    <w:rsid w:val="006E32F6"/>
    <w:rsid w:val="006E60D8"/>
    <w:rsid w:val="006E60E5"/>
    <w:rsid w:val="006F0B83"/>
    <w:rsid w:val="006F7EED"/>
    <w:rsid w:val="0070101C"/>
    <w:rsid w:val="00701836"/>
    <w:rsid w:val="00701F70"/>
    <w:rsid w:val="00702650"/>
    <w:rsid w:val="007062E3"/>
    <w:rsid w:val="00706936"/>
    <w:rsid w:val="0070769C"/>
    <w:rsid w:val="0071004F"/>
    <w:rsid w:val="00715590"/>
    <w:rsid w:val="00715914"/>
    <w:rsid w:val="00716CC2"/>
    <w:rsid w:val="0071759D"/>
    <w:rsid w:val="0072079B"/>
    <w:rsid w:val="00720B47"/>
    <w:rsid w:val="007214C9"/>
    <w:rsid w:val="00722184"/>
    <w:rsid w:val="007229D7"/>
    <w:rsid w:val="00722F56"/>
    <w:rsid w:val="0072401B"/>
    <w:rsid w:val="00724474"/>
    <w:rsid w:val="007269A0"/>
    <w:rsid w:val="00730EDD"/>
    <w:rsid w:val="007319C8"/>
    <w:rsid w:val="00731B11"/>
    <w:rsid w:val="00734C7C"/>
    <w:rsid w:val="00736FD6"/>
    <w:rsid w:val="0073714D"/>
    <w:rsid w:val="00737F17"/>
    <w:rsid w:val="0074264B"/>
    <w:rsid w:val="0074415C"/>
    <w:rsid w:val="00745D65"/>
    <w:rsid w:val="00746790"/>
    <w:rsid w:val="0074696F"/>
    <w:rsid w:val="00746DFC"/>
    <w:rsid w:val="00747BD5"/>
    <w:rsid w:val="007512D0"/>
    <w:rsid w:val="00751A70"/>
    <w:rsid w:val="0075223F"/>
    <w:rsid w:val="00752DCE"/>
    <w:rsid w:val="00753727"/>
    <w:rsid w:val="00755404"/>
    <w:rsid w:val="00755676"/>
    <w:rsid w:val="0075682F"/>
    <w:rsid w:val="00760E65"/>
    <w:rsid w:val="00762831"/>
    <w:rsid w:val="00763B07"/>
    <w:rsid w:val="00763D41"/>
    <w:rsid w:val="00766CD4"/>
    <w:rsid w:val="0077147D"/>
    <w:rsid w:val="00772019"/>
    <w:rsid w:val="00772085"/>
    <w:rsid w:val="00776869"/>
    <w:rsid w:val="007814A1"/>
    <w:rsid w:val="00782820"/>
    <w:rsid w:val="00783845"/>
    <w:rsid w:val="00786C6C"/>
    <w:rsid w:val="0078768F"/>
    <w:rsid w:val="00790072"/>
    <w:rsid w:val="00791FB2"/>
    <w:rsid w:val="00792569"/>
    <w:rsid w:val="0079263F"/>
    <w:rsid w:val="007936E5"/>
    <w:rsid w:val="00793A96"/>
    <w:rsid w:val="007A29C5"/>
    <w:rsid w:val="007A68C0"/>
    <w:rsid w:val="007B0185"/>
    <w:rsid w:val="007B0A56"/>
    <w:rsid w:val="007B3038"/>
    <w:rsid w:val="007B30BA"/>
    <w:rsid w:val="007B4B9B"/>
    <w:rsid w:val="007B597D"/>
    <w:rsid w:val="007B7493"/>
    <w:rsid w:val="007C11AA"/>
    <w:rsid w:val="007C1690"/>
    <w:rsid w:val="007C425D"/>
    <w:rsid w:val="007C431E"/>
    <w:rsid w:val="007C67ED"/>
    <w:rsid w:val="007C7E77"/>
    <w:rsid w:val="007D0C5D"/>
    <w:rsid w:val="007D3CF3"/>
    <w:rsid w:val="007D40E6"/>
    <w:rsid w:val="007D58E2"/>
    <w:rsid w:val="007D6401"/>
    <w:rsid w:val="007D76D3"/>
    <w:rsid w:val="007D7ECD"/>
    <w:rsid w:val="007E1B5C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5E1"/>
    <w:rsid w:val="007F7723"/>
    <w:rsid w:val="0080057F"/>
    <w:rsid w:val="008005B3"/>
    <w:rsid w:val="008006A9"/>
    <w:rsid w:val="0080262B"/>
    <w:rsid w:val="008027F5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5D09"/>
    <w:rsid w:val="0081603E"/>
    <w:rsid w:val="00816EB3"/>
    <w:rsid w:val="0082352D"/>
    <w:rsid w:val="008252B3"/>
    <w:rsid w:val="00826339"/>
    <w:rsid w:val="00826661"/>
    <w:rsid w:val="008277BB"/>
    <w:rsid w:val="00831D40"/>
    <w:rsid w:val="00832530"/>
    <w:rsid w:val="0083491C"/>
    <w:rsid w:val="00834DFD"/>
    <w:rsid w:val="00835FDF"/>
    <w:rsid w:val="00837B94"/>
    <w:rsid w:val="00837BC3"/>
    <w:rsid w:val="00840C66"/>
    <w:rsid w:val="008417F4"/>
    <w:rsid w:val="008418F1"/>
    <w:rsid w:val="00842B85"/>
    <w:rsid w:val="008434A1"/>
    <w:rsid w:val="00843E0C"/>
    <w:rsid w:val="00844A58"/>
    <w:rsid w:val="008471DD"/>
    <w:rsid w:val="0084766E"/>
    <w:rsid w:val="00851EA5"/>
    <w:rsid w:val="00852591"/>
    <w:rsid w:val="00856761"/>
    <w:rsid w:val="00856CEA"/>
    <w:rsid w:val="00857347"/>
    <w:rsid w:val="008573D5"/>
    <w:rsid w:val="00861919"/>
    <w:rsid w:val="008625BD"/>
    <w:rsid w:val="008640E5"/>
    <w:rsid w:val="00865499"/>
    <w:rsid w:val="00866FCC"/>
    <w:rsid w:val="008670AA"/>
    <w:rsid w:val="0086721C"/>
    <w:rsid w:val="00870E00"/>
    <w:rsid w:val="008721FE"/>
    <w:rsid w:val="00872C70"/>
    <w:rsid w:val="00874E44"/>
    <w:rsid w:val="008777D3"/>
    <w:rsid w:val="008810B3"/>
    <w:rsid w:val="00883B03"/>
    <w:rsid w:val="0088505F"/>
    <w:rsid w:val="0088519A"/>
    <w:rsid w:val="0089051D"/>
    <w:rsid w:val="00890C8F"/>
    <w:rsid w:val="00891F22"/>
    <w:rsid w:val="00894D12"/>
    <w:rsid w:val="00894E26"/>
    <w:rsid w:val="00895D2A"/>
    <w:rsid w:val="008961CE"/>
    <w:rsid w:val="00896C4C"/>
    <w:rsid w:val="008A05D3"/>
    <w:rsid w:val="008A1923"/>
    <w:rsid w:val="008A20CD"/>
    <w:rsid w:val="008A26D8"/>
    <w:rsid w:val="008A3006"/>
    <w:rsid w:val="008A37CD"/>
    <w:rsid w:val="008A5B8F"/>
    <w:rsid w:val="008A5EC4"/>
    <w:rsid w:val="008A6BDF"/>
    <w:rsid w:val="008A716B"/>
    <w:rsid w:val="008A7202"/>
    <w:rsid w:val="008B2FEA"/>
    <w:rsid w:val="008B5B4F"/>
    <w:rsid w:val="008B7538"/>
    <w:rsid w:val="008C0E13"/>
    <w:rsid w:val="008C1B37"/>
    <w:rsid w:val="008C2CAB"/>
    <w:rsid w:val="008C3CC7"/>
    <w:rsid w:val="008C4E18"/>
    <w:rsid w:val="008C5911"/>
    <w:rsid w:val="008C5A60"/>
    <w:rsid w:val="008D0CD1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6C6"/>
    <w:rsid w:val="008F1A68"/>
    <w:rsid w:val="008F28A1"/>
    <w:rsid w:val="008F2DEE"/>
    <w:rsid w:val="008F33FE"/>
    <w:rsid w:val="008F3A92"/>
    <w:rsid w:val="008F5F39"/>
    <w:rsid w:val="008F71EA"/>
    <w:rsid w:val="008F734D"/>
    <w:rsid w:val="00900F5C"/>
    <w:rsid w:val="0090278A"/>
    <w:rsid w:val="009029A5"/>
    <w:rsid w:val="00910A12"/>
    <w:rsid w:val="00911E6B"/>
    <w:rsid w:val="00912218"/>
    <w:rsid w:val="009136F9"/>
    <w:rsid w:val="00915ED1"/>
    <w:rsid w:val="00916274"/>
    <w:rsid w:val="00917AB1"/>
    <w:rsid w:val="0092016B"/>
    <w:rsid w:val="0092078E"/>
    <w:rsid w:val="00921161"/>
    <w:rsid w:val="009215CC"/>
    <w:rsid w:val="00922595"/>
    <w:rsid w:val="00922F79"/>
    <w:rsid w:val="00923692"/>
    <w:rsid w:val="00923729"/>
    <w:rsid w:val="00923D04"/>
    <w:rsid w:val="00924154"/>
    <w:rsid w:val="0092443D"/>
    <w:rsid w:val="00924749"/>
    <w:rsid w:val="0092599A"/>
    <w:rsid w:val="00926435"/>
    <w:rsid w:val="00930D40"/>
    <w:rsid w:val="009320BE"/>
    <w:rsid w:val="0093245D"/>
    <w:rsid w:val="00932DF7"/>
    <w:rsid w:val="0093529D"/>
    <w:rsid w:val="00935FFF"/>
    <w:rsid w:val="00936873"/>
    <w:rsid w:val="00937630"/>
    <w:rsid w:val="00937AFB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5055"/>
    <w:rsid w:val="0095534C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1C0B"/>
    <w:rsid w:val="009836DF"/>
    <w:rsid w:val="00986BB9"/>
    <w:rsid w:val="0098796E"/>
    <w:rsid w:val="0099115A"/>
    <w:rsid w:val="00991BB0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084E"/>
    <w:rsid w:val="009B1383"/>
    <w:rsid w:val="009B20A3"/>
    <w:rsid w:val="009B75D1"/>
    <w:rsid w:val="009B772D"/>
    <w:rsid w:val="009C1EA0"/>
    <w:rsid w:val="009C3A17"/>
    <w:rsid w:val="009C47DE"/>
    <w:rsid w:val="009C4D38"/>
    <w:rsid w:val="009C501E"/>
    <w:rsid w:val="009C50FC"/>
    <w:rsid w:val="009D0479"/>
    <w:rsid w:val="009D0924"/>
    <w:rsid w:val="009D28A3"/>
    <w:rsid w:val="009D2B1E"/>
    <w:rsid w:val="009D34D2"/>
    <w:rsid w:val="009D55DE"/>
    <w:rsid w:val="009D56B4"/>
    <w:rsid w:val="009D5B83"/>
    <w:rsid w:val="009E16EB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4C77"/>
    <w:rsid w:val="009F6E24"/>
    <w:rsid w:val="009F6F14"/>
    <w:rsid w:val="009F70DB"/>
    <w:rsid w:val="00A00023"/>
    <w:rsid w:val="00A00529"/>
    <w:rsid w:val="00A01504"/>
    <w:rsid w:val="00A01773"/>
    <w:rsid w:val="00A01F39"/>
    <w:rsid w:val="00A06209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17C51"/>
    <w:rsid w:val="00A202CE"/>
    <w:rsid w:val="00A23882"/>
    <w:rsid w:val="00A253FD"/>
    <w:rsid w:val="00A2661C"/>
    <w:rsid w:val="00A2708E"/>
    <w:rsid w:val="00A30E40"/>
    <w:rsid w:val="00A3171F"/>
    <w:rsid w:val="00A31AFC"/>
    <w:rsid w:val="00A32E38"/>
    <w:rsid w:val="00A33216"/>
    <w:rsid w:val="00A33526"/>
    <w:rsid w:val="00A34A3A"/>
    <w:rsid w:val="00A34AC3"/>
    <w:rsid w:val="00A37CE5"/>
    <w:rsid w:val="00A404B1"/>
    <w:rsid w:val="00A434D9"/>
    <w:rsid w:val="00A44129"/>
    <w:rsid w:val="00A44A76"/>
    <w:rsid w:val="00A44FB7"/>
    <w:rsid w:val="00A46EC6"/>
    <w:rsid w:val="00A46FB9"/>
    <w:rsid w:val="00A47071"/>
    <w:rsid w:val="00A51E43"/>
    <w:rsid w:val="00A55A64"/>
    <w:rsid w:val="00A61DE2"/>
    <w:rsid w:val="00A65372"/>
    <w:rsid w:val="00A663AA"/>
    <w:rsid w:val="00A66446"/>
    <w:rsid w:val="00A67762"/>
    <w:rsid w:val="00A7295D"/>
    <w:rsid w:val="00A753C9"/>
    <w:rsid w:val="00A75FF2"/>
    <w:rsid w:val="00A808AC"/>
    <w:rsid w:val="00A80C19"/>
    <w:rsid w:val="00A80E88"/>
    <w:rsid w:val="00A82ADF"/>
    <w:rsid w:val="00A833EF"/>
    <w:rsid w:val="00A84F67"/>
    <w:rsid w:val="00A8598D"/>
    <w:rsid w:val="00A861F6"/>
    <w:rsid w:val="00A902DE"/>
    <w:rsid w:val="00A9156B"/>
    <w:rsid w:val="00A91FB2"/>
    <w:rsid w:val="00A94AD6"/>
    <w:rsid w:val="00A95E52"/>
    <w:rsid w:val="00A96386"/>
    <w:rsid w:val="00A96AAA"/>
    <w:rsid w:val="00A96DC0"/>
    <w:rsid w:val="00AA2CBC"/>
    <w:rsid w:val="00AA4706"/>
    <w:rsid w:val="00AA4CDC"/>
    <w:rsid w:val="00AA534C"/>
    <w:rsid w:val="00AA5499"/>
    <w:rsid w:val="00AA5885"/>
    <w:rsid w:val="00AA61DD"/>
    <w:rsid w:val="00AA6D33"/>
    <w:rsid w:val="00AA6D42"/>
    <w:rsid w:val="00AA7D47"/>
    <w:rsid w:val="00AB118B"/>
    <w:rsid w:val="00AB3B2F"/>
    <w:rsid w:val="00AB3CD3"/>
    <w:rsid w:val="00AB4374"/>
    <w:rsid w:val="00AB5F5D"/>
    <w:rsid w:val="00AB7823"/>
    <w:rsid w:val="00AC0F37"/>
    <w:rsid w:val="00AC1CB6"/>
    <w:rsid w:val="00AC2E74"/>
    <w:rsid w:val="00AC37B2"/>
    <w:rsid w:val="00AC75C2"/>
    <w:rsid w:val="00AD1980"/>
    <w:rsid w:val="00AD323F"/>
    <w:rsid w:val="00AD414A"/>
    <w:rsid w:val="00AD419B"/>
    <w:rsid w:val="00AD452E"/>
    <w:rsid w:val="00AD595E"/>
    <w:rsid w:val="00AD5DDA"/>
    <w:rsid w:val="00AD7C35"/>
    <w:rsid w:val="00AE063D"/>
    <w:rsid w:val="00AE1FC9"/>
    <w:rsid w:val="00AE26B0"/>
    <w:rsid w:val="00AE481D"/>
    <w:rsid w:val="00AE737B"/>
    <w:rsid w:val="00AF319E"/>
    <w:rsid w:val="00AF3647"/>
    <w:rsid w:val="00AF41F2"/>
    <w:rsid w:val="00AF69A6"/>
    <w:rsid w:val="00AF6B00"/>
    <w:rsid w:val="00AF6EDA"/>
    <w:rsid w:val="00AF6F96"/>
    <w:rsid w:val="00AF75FB"/>
    <w:rsid w:val="00AF7D31"/>
    <w:rsid w:val="00B00435"/>
    <w:rsid w:val="00B00829"/>
    <w:rsid w:val="00B0246C"/>
    <w:rsid w:val="00B04A30"/>
    <w:rsid w:val="00B062AD"/>
    <w:rsid w:val="00B06C8B"/>
    <w:rsid w:val="00B075B0"/>
    <w:rsid w:val="00B110B4"/>
    <w:rsid w:val="00B11CEA"/>
    <w:rsid w:val="00B16380"/>
    <w:rsid w:val="00B16FAA"/>
    <w:rsid w:val="00B17C8F"/>
    <w:rsid w:val="00B2055D"/>
    <w:rsid w:val="00B21A85"/>
    <w:rsid w:val="00B21C2D"/>
    <w:rsid w:val="00B225D6"/>
    <w:rsid w:val="00B23DA4"/>
    <w:rsid w:val="00B243FE"/>
    <w:rsid w:val="00B24904"/>
    <w:rsid w:val="00B24CBA"/>
    <w:rsid w:val="00B258CC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0770"/>
    <w:rsid w:val="00B451AE"/>
    <w:rsid w:val="00B52139"/>
    <w:rsid w:val="00B52973"/>
    <w:rsid w:val="00B52EB1"/>
    <w:rsid w:val="00B53218"/>
    <w:rsid w:val="00B54082"/>
    <w:rsid w:val="00B5455D"/>
    <w:rsid w:val="00B56B51"/>
    <w:rsid w:val="00B6121E"/>
    <w:rsid w:val="00B613E6"/>
    <w:rsid w:val="00B61A5C"/>
    <w:rsid w:val="00B62B2E"/>
    <w:rsid w:val="00B637D3"/>
    <w:rsid w:val="00B63A78"/>
    <w:rsid w:val="00B65A10"/>
    <w:rsid w:val="00B66F4D"/>
    <w:rsid w:val="00B723E0"/>
    <w:rsid w:val="00B74786"/>
    <w:rsid w:val="00B757FD"/>
    <w:rsid w:val="00B770CF"/>
    <w:rsid w:val="00B801B9"/>
    <w:rsid w:val="00B80F65"/>
    <w:rsid w:val="00B81556"/>
    <w:rsid w:val="00B82878"/>
    <w:rsid w:val="00B832AE"/>
    <w:rsid w:val="00B83B50"/>
    <w:rsid w:val="00B85C83"/>
    <w:rsid w:val="00B8797E"/>
    <w:rsid w:val="00B90965"/>
    <w:rsid w:val="00B918F4"/>
    <w:rsid w:val="00B92E82"/>
    <w:rsid w:val="00B93A28"/>
    <w:rsid w:val="00B93F30"/>
    <w:rsid w:val="00B94B25"/>
    <w:rsid w:val="00B958A6"/>
    <w:rsid w:val="00B96FBF"/>
    <w:rsid w:val="00BA1537"/>
    <w:rsid w:val="00BA2636"/>
    <w:rsid w:val="00BA46E0"/>
    <w:rsid w:val="00BA5987"/>
    <w:rsid w:val="00BA6755"/>
    <w:rsid w:val="00BA745B"/>
    <w:rsid w:val="00BB1F36"/>
    <w:rsid w:val="00BB349D"/>
    <w:rsid w:val="00BB3562"/>
    <w:rsid w:val="00BB451E"/>
    <w:rsid w:val="00BB5110"/>
    <w:rsid w:val="00BB514E"/>
    <w:rsid w:val="00BC0793"/>
    <w:rsid w:val="00BC092A"/>
    <w:rsid w:val="00BC2E11"/>
    <w:rsid w:val="00BC33F8"/>
    <w:rsid w:val="00BC61FC"/>
    <w:rsid w:val="00BC7F46"/>
    <w:rsid w:val="00BD30B2"/>
    <w:rsid w:val="00BD3F58"/>
    <w:rsid w:val="00BD583E"/>
    <w:rsid w:val="00BE0ADB"/>
    <w:rsid w:val="00BE0EB9"/>
    <w:rsid w:val="00BE10C7"/>
    <w:rsid w:val="00BE2D80"/>
    <w:rsid w:val="00BE6469"/>
    <w:rsid w:val="00BE7A85"/>
    <w:rsid w:val="00BE7D4C"/>
    <w:rsid w:val="00BF0F2E"/>
    <w:rsid w:val="00BF1568"/>
    <w:rsid w:val="00BF321E"/>
    <w:rsid w:val="00BF324E"/>
    <w:rsid w:val="00BF4E44"/>
    <w:rsid w:val="00BF602D"/>
    <w:rsid w:val="00BF7B4F"/>
    <w:rsid w:val="00C00218"/>
    <w:rsid w:val="00C010FD"/>
    <w:rsid w:val="00C01305"/>
    <w:rsid w:val="00C01849"/>
    <w:rsid w:val="00C01AD5"/>
    <w:rsid w:val="00C0532A"/>
    <w:rsid w:val="00C05F9F"/>
    <w:rsid w:val="00C06CF0"/>
    <w:rsid w:val="00C07D01"/>
    <w:rsid w:val="00C11FEA"/>
    <w:rsid w:val="00C124C6"/>
    <w:rsid w:val="00C12DE0"/>
    <w:rsid w:val="00C1340D"/>
    <w:rsid w:val="00C147DF"/>
    <w:rsid w:val="00C14AF9"/>
    <w:rsid w:val="00C152AD"/>
    <w:rsid w:val="00C221B1"/>
    <w:rsid w:val="00C22CDF"/>
    <w:rsid w:val="00C232C0"/>
    <w:rsid w:val="00C236E0"/>
    <w:rsid w:val="00C23CA1"/>
    <w:rsid w:val="00C23F3D"/>
    <w:rsid w:val="00C24688"/>
    <w:rsid w:val="00C258E4"/>
    <w:rsid w:val="00C25FEE"/>
    <w:rsid w:val="00C31793"/>
    <w:rsid w:val="00C32AC9"/>
    <w:rsid w:val="00C358B6"/>
    <w:rsid w:val="00C373FE"/>
    <w:rsid w:val="00C37F15"/>
    <w:rsid w:val="00C41881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360"/>
    <w:rsid w:val="00C53638"/>
    <w:rsid w:val="00C541C4"/>
    <w:rsid w:val="00C54255"/>
    <w:rsid w:val="00C55BA4"/>
    <w:rsid w:val="00C57741"/>
    <w:rsid w:val="00C57E9A"/>
    <w:rsid w:val="00C62E0E"/>
    <w:rsid w:val="00C64561"/>
    <w:rsid w:val="00C64ACC"/>
    <w:rsid w:val="00C6573A"/>
    <w:rsid w:val="00C66CC4"/>
    <w:rsid w:val="00C67625"/>
    <w:rsid w:val="00C70CD4"/>
    <w:rsid w:val="00C70D7F"/>
    <w:rsid w:val="00C715CB"/>
    <w:rsid w:val="00C7209A"/>
    <w:rsid w:val="00C7218A"/>
    <w:rsid w:val="00C721BC"/>
    <w:rsid w:val="00C7438D"/>
    <w:rsid w:val="00C74FC2"/>
    <w:rsid w:val="00C76528"/>
    <w:rsid w:val="00C77BDE"/>
    <w:rsid w:val="00C77C78"/>
    <w:rsid w:val="00C804DA"/>
    <w:rsid w:val="00C807CC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1A9"/>
    <w:rsid w:val="00CB275A"/>
    <w:rsid w:val="00CB2FA0"/>
    <w:rsid w:val="00CB5825"/>
    <w:rsid w:val="00CB5C91"/>
    <w:rsid w:val="00CB6330"/>
    <w:rsid w:val="00CC0829"/>
    <w:rsid w:val="00CC1B4D"/>
    <w:rsid w:val="00CC2102"/>
    <w:rsid w:val="00CC2405"/>
    <w:rsid w:val="00CC28F1"/>
    <w:rsid w:val="00CC3E4F"/>
    <w:rsid w:val="00CC7174"/>
    <w:rsid w:val="00CC7B2B"/>
    <w:rsid w:val="00CD024A"/>
    <w:rsid w:val="00CD0F34"/>
    <w:rsid w:val="00CD145E"/>
    <w:rsid w:val="00CD2D10"/>
    <w:rsid w:val="00CD4251"/>
    <w:rsid w:val="00CD43A6"/>
    <w:rsid w:val="00CD4785"/>
    <w:rsid w:val="00CD6DF2"/>
    <w:rsid w:val="00CE091A"/>
    <w:rsid w:val="00CE0E7A"/>
    <w:rsid w:val="00CE10A1"/>
    <w:rsid w:val="00CE19F7"/>
    <w:rsid w:val="00CE1AE4"/>
    <w:rsid w:val="00CE2A1C"/>
    <w:rsid w:val="00CE30DD"/>
    <w:rsid w:val="00CE39C8"/>
    <w:rsid w:val="00CE4940"/>
    <w:rsid w:val="00CE534C"/>
    <w:rsid w:val="00CE5F79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D57"/>
    <w:rsid w:val="00CF7FB7"/>
    <w:rsid w:val="00D02E2D"/>
    <w:rsid w:val="00D02E83"/>
    <w:rsid w:val="00D055F1"/>
    <w:rsid w:val="00D05F55"/>
    <w:rsid w:val="00D062B4"/>
    <w:rsid w:val="00D1289B"/>
    <w:rsid w:val="00D12CA8"/>
    <w:rsid w:val="00D12CBD"/>
    <w:rsid w:val="00D13D95"/>
    <w:rsid w:val="00D1653A"/>
    <w:rsid w:val="00D17041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347D5"/>
    <w:rsid w:val="00D350FB"/>
    <w:rsid w:val="00D36754"/>
    <w:rsid w:val="00D4012B"/>
    <w:rsid w:val="00D4065E"/>
    <w:rsid w:val="00D427F0"/>
    <w:rsid w:val="00D43C23"/>
    <w:rsid w:val="00D4611D"/>
    <w:rsid w:val="00D4756A"/>
    <w:rsid w:val="00D477C7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27E5"/>
    <w:rsid w:val="00D64261"/>
    <w:rsid w:val="00D6520A"/>
    <w:rsid w:val="00D65C9C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609"/>
    <w:rsid w:val="00D807CB"/>
    <w:rsid w:val="00D82A79"/>
    <w:rsid w:val="00D84033"/>
    <w:rsid w:val="00D8426C"/>
    <w:rsid w:val="00D8445F"/>
    <w:rsid w:val="00D87983"/>
    <w:rsid w:val="00D90392"/>
    <w:rsid w:val="00D91103"/>
    <w:rsid w:val="00D914A3"/>
    <w:rsid w:val="00D92A92"/>
    <w:rsid w:val="00D946C1"/>
    <w:rsid w:val="00D9548A"/>
    <w:rsid w:val="00D97300"/>
    <w:rsid w:val="00DA179D"/>
    <w:rsid w:val="00DA1E4B"/>
    <w:rsid w:val="00DA2D13"/>
    <w:rsid w:val="00DA4517"/>
    <w:rsid w:val="00DA514C"/>
    <w:rsid w:val="00DA52A7"/>
    <w:rsid w:val="00DA6A46"/>
    <w:rsid w:val="00DA6CE0"/>
    <w:rsid w:val="00DA6E1F"/>
    <w:rsid w:val="00DA7759"/>
    <w:rsid w:val="00DA7F13"/>
    <w:rsid w:val="00DB0DD9"/>
    <w:rsid w:val="00DB0ED0"/>
    <w:rsid w:val="00DB1636"/>
    <w:rsid w:val="00DB1C98"/>
    <w:rsid w:val="00DB21ED"/>
    <w:rsid w:val="00DB4349"/>
    <w:rsid w:val="00DB6C33"/>
    <w:rsid w:val="00DB75FF"/>
    <w:rsid w:val="00DC177D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D7E79"/>
    <w:rsid w:val="00DE0C52"/>
    <w:rsid w:val="00DE5A20"/>
    <w:rsid w:val="00DE691C"/>
    <w:rsid w:val="00DF0811"/>
    <w:rsid w:val="00DF0FE2"/>
    <w:rsid w:val="00DF370B"/>
    <w:rsid w:val="00DF51EC"/>
    <w:rsid w:val="00DF55AF"/>
    <w:rsid w:val="00DF6E6A"/>
    <w:rsid w:val="00DF7BE7"/>
    <w:rsid w:val="00DF7D6C"/>
    <w:rsid w:val="00E009C2"/>
    <w:rsid w:val="00E00EE7"/>
    <w:rsid w:val="00E01097"/>
    <w:rsid w:val="00E014CB"/>
    <w:rsid w:val="00E0392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3F5"/>
    <w:rsid w:val="00E20C0F"/>
    <w:rsid w:val="00E22BF6"/>
    <w:rsid w:val="00E23869"/>
    <w:rsid w:val="00E24297"/>
    <w:rsid w:val="00E2458B"/>
    <w:rsid w:val="00E2468A"/>
    <w:rsid w:val="00E27300"/>
    <w:rsid w:val="00E32DAA"/>
    <w:rsid w:val="00E3672A"/>
    <w:rsid w:val="00E36E4C"/>
    <w:rsid w:val="00E3769D"/>
    <w:rsid w:val="00E4022E"/>
    <w:rsid w:val="00E4236C"/>
    <w:rsid w:val="00E424C4"/>
    <w:rsid w:val="00E4488A"/>
    <w:rsid w:val="00E50703"/>
    <w:rsid w:val="00E512AF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5EC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43BD"/>
    <w:rsid w:val="00E95F70"/>
    <w:rsid w:val="00EA1763"/>
    <w:rsid w:val="00EA186E"/>
    <w:rsid w:val="00EA262E"/>
    <w:rsid w:val="00EA3851"/>
    <w:rsid w:val="00EA5F8F"/>
    <w:rsid w:val="00EA6423"/>
    <w:rsid w:val="00EB214B"/>
    <w:rsid w:val="00EB2F3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69A6"/>
    <w:rsid w:val="00EC6A76"/>
    <w:rsid w:val="00EC7ADC"/>
    <w:rsid w:val="00ED28EF"/>
    <w:rsid w:val="00ED2D8B"/>
    <w:rsid w:val="00ED3981"/>
    <w:rsid w:val="00ED40B7"/>
    <w:rsid w:val="00ED42A7"/>
    <w:rsid w:val="00ED4522"/>
    <w:rsid w:val="00ED4ECC"/>
    <w:rsid w:val="00ED51FC"/>
    <w:rsid w:val="00ED7F7F"/>
    <w:rsid w:val="00EE0626"/>
    <w:rsid w:val="00EE120F"/>
    <w:rsid w:val="00EF0C73"/>
    <w:rsid w:val="00EF0F28"/>
    <w:rsid w:val="00EF36CB"/>
    <w:rsid w:val="00EF5129"/>
    <w:rsid w:val="00EF527A"/>
    <w:rsid w:val="00EF56B2"/>
    <w:rsid w:val="00EF5F2E"/>
    <w:rsid w:val="00EF7452"/>
    <w:rsid w:val="00F010A9"/>
    <w:rsid w:val="00F0347B"/>
    <w:rsid w:val="00F119E2"/>
    <w:rsid w:val="00F11AA2"/>
    <w:rsid w:val="00F12526"/>
    <w:rsid w:val="00F13393"/>
    <w:rsid w:val="00F144F4"/>
    <w:rsid w:val="00F156AC"/>
    <w:rsid w:val="00F21CAD"/>
    <w:rsid w:val="00F228FA"/>
    <w:rsid w:val="00F22B53"/>
    <w:rsid w:val="00F23BCE"/>
    <w:rsid w:val="00F23BE2"/>
    <w:rsid w:val="00F24781"/>
    <w:rsid w:val="00F2598F"/>
    <w:rsid w:val="00F272DC"/>
    <w:rsid w:val="00F31901"/>
    <w:rsid w:val="00F31CA9"/>
    <w:rsid w:val="00F3278E"/>
    <w:rsid w:val="00F33C00"/>
    <w:rsid w:val="00F35D88"/>
    <w:rsid w:val="00F3642A"/>
    <w:rsid w:val="00F36BE4"/>
    <w:rsid w:val="00F37431"/>
    <w:rsid w:val="00F42220"/>
    <w:rsid w:val="00F42704"/>
    <w:rsid w:val="00F42D71"/>
    <w:rsid w:val="00F430ED"/>
    <w:rsid w:val="00F444FD"/>
    <w:rsid w:val="00F45AAC"/>
    <w:rsid w:val="00F46624"/>
    <w:rsid w:val="00F46D96"/>
    <w:rsid w:val="00F531D2"/>
    <w:rsid w:val="00F56C99"/>
    <w:rsid w:val="00F5715D"/>
    <w:rsid w:val="00F57193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0D63"/>
    <w:rsid w:val="00F817DE"/>
    <w:rsid w:val="00F837C7"/>
    <w:rsid w:val="00F83B5F"/>
    <w:rsid w:val="00F8504B"/>
    <w:rsid w:val="00F85D5A"/>
    <w:rsid w:val="00F860B3"/>
    <w:rsid w:val="00F8684A"/>
    <w:rsid w:val="00F87A76"/>
    <w:rsid w:val="00F90137"/>
    <w:rsid w:val="00F90ADA"/>
    <w:rsid w:val="00F9162E"/>
    <w:rsid w:val="00F950F1"/>
    <w:rsid w:val="00F96829"/>
    <w:rsid w:val="00F97D82"/>
    <w:rsid w:val="00FA18CD"/>
    <w:rsid w:val="00FA1A57"/>
    <w:rsid w:val="00FA2025"/>
    <w:rsid w:val="00FA2089"/>
    <w:rsid w:val="00FA2380"/>
    <w:rsid w:val="00FA2AB7"/>
    <w:rsid w:val="00FA3B97"/>
    <w:rsid w:val="00FA3F21"/>
    <w:rsid w:val="00FA4839"/>
    <w:rsid w:val="00FA53FA"/>
    <w:rsid w:val="00FA6901"/>
    <w:rsid w:val="00FA6BAD"/>
    <w:rsid w:val="00FB19CA"/>
    <w:rsid w:val="00FB2FF5"/>
    <w:rsid w:val="00FB3E9E"/>
    <w:rsid w:val="00FB52C1"/>
    <w:rsid w:val="00FB5756"/>
    <w:rsid w:val="00FB61EC"/>
    <w:rsid w:val="00FB6CBF"/>
    <w:rsid w:val="00FB6FA7"/>
    <w:rsid w:val="00FC1608"/>
    <w:rsid w:val="00FC2BEC"/>
    <w:rsid w:val="00FC2C5F"/>
    <w:rsid w:val="00FC3FE6"/>
    <w:rsid w:val="00FC5786"/>
    <w:rsid w:val="00FC5DA4"/>
    <w:rsid w:val="00FC6B34"/>
    <w:rsid w:val="00FC7178"/>
    <w:rsid w:val="00FC771B"/>
    <w:rsid w:val="00FC7BC3"/>
    <w:rsid w:val="00FD0A9E"/>
    <w:rsid w:val="00FD1368"/>
    <w:rsid w:val="00FD18FB"/>
    <w:rsid w:val="00FD4174"/>
    <w:rsid w:val="00FD438B"/>
    <w:rsid w:val="00FD6124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0C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5F"/>
    <w:pPr>
      <w:spacing w:after="160" w:line="259" w:lineRule="auto"/>
    </w:pPr>
    <w:rPr>
      <w:rFonts w:asciiTheme="minorHAnsi" w:eastAsiaTheme="minorEastAsia" w:hAnsiTheme="minorHAnsi"/>
      <w:kern w:val="0"/>
      <w:sz w:val="22"/>
      <w:szCs w:val="22"/>
      <w:lang w:val="en-CA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305CED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305CED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305CED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305CED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305CED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305CED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305CED"/>
    <w:pPr>
      <w:numPr>
        <w:numId w:val="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305CED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305CED"/>
    <w:rPr>
      <w:i/>
    </w:rPr>
  </w:style>
  <w:style w:type="paragraph" w:customStyle="1" w:styleId="Mdeck4textlrindent">
    <w:name w:val="M_deck_4_text_lr_indent"/>
    <w:basedOn w:val="Mdeck4text"/>
    <w:qFormat/>
    <w:rsid w:val="00305CED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305CED"/>
    <w:pPr>
      <w:numPr>
        <w:numId w:val="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305CED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05CED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305CED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305CED"/>
  </w:style>
  <w:style w:type="paragraph" w:customStyle="1" w:styleId="Mdeck6figurebody">
    <w:name w:val="M_deck_6_figure_body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305CED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305CED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305CED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F87A76"/>
  </w:style>
  <w:style w:type="paragraph" w:styleId="Caption">
    <w:name w:val="caption"/>
    <w:basedOn w:val="Normal"/>
    <w:next w:val="Normal"/>
    <w:uiPriority w:val="35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305CED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4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5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0F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E063D"/>
    <w:rPr>
      <w:b/>
      <w:bCs/>
      <w:i w:val="0"/>
      <w:iCs w:val="0"/>
    </w:rPr>
  </w:style>
  <w:style w:type="character" w:customStyle="1" w:styleId="st1">
    <w:name w:val="st1"/>
    <w:basedOn w:val="DefaultParagraphFont"/>
    <w:rsid w:val="00AE063D"/>
  </w:style>
  <w:style w:type="paragraph" w:styleId="Revision">
    <w:name w:val="Revision"/>
    <w:hidden/>
    <w:uiPriority w:val="99"/>
    <w:semiHidden/>
    <w:rsid w:val="00281029"/>
    <w:rPr>
      <w:rFonts w:asciiTheme="minorHAnsi" w:eastAsiaTheme="minorEastAsia" w:hAnsiTheme="minorHAnsi"/>
      <w:kern w:val="0"/>
      <w:sz w:val="22"/>
      <w:szCs w:val="22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5F"/>
    <w:pPr>
      <w:spacing w:after="160" w:line="259" w:lineRule="auto"/>
    </w:pPr>
    <w:rPr>
      <w:rFonts w:asciiTheme="minorHAnsi" w:eastAsiaTheme="minorEastAsia" w:hAnsiTheme="minorHAnsi"/>
      <w:kern w:val="0"/>
      <w:sz w:val="22"/>
      <w:szCs w:val="22"/>
      <w:lang w:val="en-CA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305CED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305CED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305CED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305CED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305CED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305CED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305CED"/>
    <w:pPr>
      <w:numPr>
        <w:numId w:val="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305CED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305CED"/>
    <w:rPr>
      <w:i/>
    </w:rPr>
  </w:style>
  <w:style w:type="paragraph" w:customStyle="1" w:styleId="Mdeck4textlrindent">
    <w:name w:val="M_deck_4_text_lr_indent"/>
    <w:basedOn w:val="Mdeck4text"/>
    <w:qFormat/>
    <w:rsid w:val="00305CED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305CED"/>
    <w:pPr>
      <w:numPr>
        <w:numId w:val="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305CED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05CED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305CED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305CED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305CED"/>
  </w:style>
  <w:style w:type="paragraph" w:customStyle="1" w:styleId="Mdeck6figurebody">
    <w:name w:val="M_deck_6_figure_body"/>
    <w:qFormat/>
    <w:rsid w:val="00305CE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305CED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305CED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305CED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F87A76"/>
  </w:style>
  <w:style w:type="paragraph" w:styleId="Caption">
    <w:name w:val="caption"/>
    <w:basedOn w:val="Normal"/>
    <w:next w:val="Normal"/>
    <w:uiPriority w:val="35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305CED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4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5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0F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E063D"/>
    <w:rPr>
      <w:b/>
      <w:bCs/>
      <w:i w:val="0"/>
      <w:iCs w:val="0"/>
    </w:rPr>
  </w:style>
  <w:style w:type="character" w:customStyle="1" w:styleId="st1">
    <w:name w:val="st1"/>
    <w:basedOn w:val="DefaultParagraphFont"/>
    <w:rsid w:val="00AE063D"/>
  </w:style>
  <w:style w:type="paragraph" w:styleId="Revision">
    <w:name w:val="Revision"/>
    <w:hidden/>
    <w:uiPriority w:val="99"/>
    <w:semiHidden/>
    <w:rsid w:val="00281029"/>
    <w:rPr>
      <w:rFonts w:asciiTheme="minorHAnsi" w:eastAsiaTheme="minorEastAsia" w:hAnsiTheme="minorHAnsi"/>
      <w:kern w:val="0"/>
      <w:sz w:val="22"/>
      <w:szCs w:val="2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Pop07</b:Tag>
    <b:SourceType>JournalArticle</b:SourceType>
    <b:Guid>{7FB69A56-DF58-4329-BAA5-B22C9A3C7F45}</b:Guid>
    <b:Author>
      <b:Author>
        <b:NameList>
          <b:Person>
            <b:Last>Pope III</b:Last>
            <b:First>C.A.</b:First>
          </b:Person>
          <b:Person>
            <b:Last>Rodermund</b:Last>
            <b:First>D.L</b:First>
          </b:Person>
          <b:Person>
            <b:Last>Gee</b:Last>
            <b:First>M.M.</b:First>
          </b:Person>
        </b:NameList>
      </b:Author>
    </b:Author>
    <b:Title>Mortality effects of a copper smelter strike and reduced ambient sulfate particulate matter air pollution</b:Title>
    <b:JournalName>Environmental Health Perspectives</b:JournalName>
    <b:Year>2007</b:Year>
    <b:Pages>679-683</b:Pages>
    <b:RefOrder>1</b:RefOrder>
  </b:Source>
  <b:Source>
    <b:Tag>Cla02</b:Tag>
    <b:SourceType>JournalArticle</b:SourceType>
    <b:Guid>{91384F40-558C-4105-AE2A-368385D9D203}</b:Guid>
    <b:Author>
      <b:Author>
        <b:NameList>
          <b:Person>
            <b:Last>Clancy</b:Last>
            <b:First>L.</b:First>
          </b:Person>
          <b:Person>
            <b:Last>Goodman</b:Last>
            <b:First>P.</b:First>
          </b:Person>
          <b:Person>
            <b:Last>Sinclair</b:Last>
            <b:First>H.</b:First>
          </b:Person>
          <b:Person>
            <b:Last>Dockery</b:Last>
            <b:First>D.W.</b:First>
          </b:Person>
        </b:NameList>
      </b:Author>
    </b:Author>
    <b:Title>Effect of air-pollution control on death rates in Dublin, Ireland: an intervention study</b:Title>
    <b:JournalName>The Lancet</b:JournalName>
    <b:Year>2002</b:Year>
    <b:Pages>1210-1214</b:Pages>
    <b:Volume>360</b:Volume>
    <b:Issue>9341</b:Issue>
    <b:RefOrder>2</b:RefOrder>
  </b:Source>
  <b:Source>
    <b:Tag>Med02</b:Tag>
    <b:SourceType>JournalArticle</b:SourceType>
    <b:Guid>{E4133F40-3230-4F41-B9BB-CF30925D9615}</b:Guid>
    <b:Author>
      <b:Author>
        <b:NameList>
          <b:Person>
            <b:Last>Medley</b:Last>
            <b:First>A.J.</b:First>
          </b:Person>
          <b:Person>
            <b:Last>Wong</b:Last>
            <b:First>C.-M.</b:First>
          </b:Person>
          <b:Person>
            <b:Last>Thach</b:Last>
            <b:First>T.Q.</b:First>
          </b:Person>
          <b:Person>
            <b:Last>Ma</b:Last>
            <b:First>S.</b:First>
          </b:Person>
          <b:Person>
            <b:Last>Lam</b:Last>
            <b:First>T.-H.</b:First>
          </b:Person>
          <b:Person>
            <b:Last>Anderson</b:Last>
            <b:First>H.R.</b:First>
          </b:Person>
        </b:NameList>
      </b:Author>
    </b:Author>
    <b:Title>Cardiorespiratory and all-cause mortality after restrictions on sulphur content of fuel in Hong Kong: an intervention study</b:Title>
    <b:JournalName>The Lancet</b:JournalName>
    <b:Year>2002</b:Year>
    <b:Pages>1646-1652</b:Pages>
    <b:Volume>360</b:Volume>
    <b:Issue>9346</b:Issue>
    <b:RefOrder>3</b:RefOrder>
  </b:Source>
  <b:Source>
    <b:Tag>Hei00</b:Tag>
    <b:SourceType>JournalArticle</b:SourceType>
    <b:Guid>{C99DD8F0-B164-4488-AD2B-61A625D82482}</b:Guid>
    <b:Author>
      <b:Author>
        <b:NameList>
          <b:Person>
            <b:Last>Heinrich</b:Last>
            <b:First>J.</b:First>
          </b:Person>
          <b:Person>
            <b:Last>Hoelscher</b:Last>
            <b:First>B.</b:First>
          </b:Person>
          <b:Person>
            <b:Last>Wichmann</b:Last>
            <b:First>H.E.</b:First>
          </b:Person>
        </b:NameList>
      </b:Author>
    </b:Author>
    <b:Title>Decline of ambient air pollution and respiratory symptoms in children</b:Title>
    <b:JournalName>Am J Respir Crit Care Med</b:JournalName>
    <b:Year>2000</b:Year>
    <b:Pages>1930-1936</b:Pages>
    <b:Volume>50</b:Volume>
    <b:Issue>6</b:Issue>
    <b:RefOrder>4</b:RefOrder>
  </b:Source>
  <b:Source>
    <b:Tag>Pee10</b:Tag>
    <b:SourceType>Report</b:SourceType>
    <b:Guid>{04B4E27F-2E1A-4D4F-872B-1E86C4096C24}</b:Guid>
    <b:Title>Impact of improved air quality during the 1996 Summer Olympic Games in Atlanta on multiple cardiovascular and respiratory outcomes</b:Title>
    <b:Year>2010</b:Year>
    <b:Author>
      <b:Author>
        <b:NameList>
          <b:Person>
            <b:Last>Peel</b:Last>
            <b:First>J.L.</b:First>
          </b:Person>
          <b:Person>
            <b:Last>Klein</b:Last>
            <b:First>M.</b:First>
          </b:Person>
          <b:Person>
            <b:Last>Flanders</b:Last>
            <b:First>W.D.</b:First>
          </b:Person>
          <b:Person>
            <b:Last>Mulholland</b:Last>
            <b:First>J.A.</b:First>
          </b:Person>
        </b:NameList>
      </b:Author>
    </b:Author>
    <b:Publisher>Health Effects Institute</b:Publisher>
    <b:Institution>Technical Research Report</b:Institution>
    <b:RefOrder>5</b:RefOrder>
  </b:Source>
  <b:Source>
    <b:Tag>Lee07</b:Tag>
    <b:SourceType>JournalArticle</b:SourceType>
    <b:Guid>{F6118E72-2DCD-49B3-931F-60A9D21C57D6}</b:Guid>
    <b:Title>Benefits of mitigated ambient air quality due to transportation control on childhood asthma hospitalization during the 2002 summer Asian games in Busan, Korea</b:Title>
    <b:Year>2007</b:Year>
    <b:Pages>968-973</b:Pages>
    <b:Author>
      <b:Author>
        <b:NameList>
          <b:Person>
            <b:Last>Lee</b:Last>
            <b:First>J.T.</b:First>
          </b:Person>
          <b:Person>
            <b:Last>Son</b:Last>
            <b:First>J.Y.</b:First>
          </b:Person>
          <b:Person>
            <b:Last>Cho</b:Last>
            <b:First>Y.S.</b:First>
          </b:Person>
        </b:NameList>
      </b:Author>
    </b:Author>
    <b:JournalName>J Air Waste Manag Assoc</b:JournalName>
    <b:Volume>57</b:Volume>
    <b:Issue>8</b:Issue>
    <b:RefOrder>6</b:RefOrder>
  </b:Source>
  <b:Source>
    <b:Tag>Pop89</b:Tag>
    <b:SourceType>JournalArticle</b:SourceType>
    <b:Guid>{74EE3D87-9F47-4FD6-88CC-E864D7739382}</b:Guid>
    <b:Author>
      <b:Author>
        <b:NameList>
          <b:Person>
            <b:Last>Pope III</b:Last>
            <b:First>C.A.</b:First>
          </b:Person>
        </b:NameList>
      </b:Author>
    </b:Author>
    <b:Title>Respiratory disease associated with community air pollution and a steel mill, Utah Valley</b:Title>
    <b:JournalName>American Journal of Public Health</b:JournalName>
    <b:Year>1989</b:Year>
    <b:Pages>623-628</b:Pages>
    <b:Volume>79</b:Volume>
    <b:Issue>5</b:Issue>
    <b:RefOrder>7</b:RefOrder>
  </b:Source>
  <b:Source>
    <b:Tag>Par08</b:Tag>
    <b:SourceType>JournalArticle</b:SourceType>
    <b:Guid>{E8182018-331E-4C6A-8CAF-5903700EAB57}</b:Guid>
    <b:Author>
      <b:Author>
        <b:NameList>
          <b:Person>
            <b:Last>Parker</b:Last>
            <b:First>J.D.</b:First>
          </b:Person>
          <b:Person>
            <b:Last>Mendola</b:Last>
            <b:First>P.</b:First>
          </b:Person>
          <b:Person>
            <b:Last>Woodruff</b:Last>
            <b:First>T.J.</b:First>
          </b:Person>
        </b:NameList>
      </b:Author>
    </b:Author>
    <b:Title>Pre-term birth after the Utah Valley Steel Mill closure: a natural experiment</b:Title>
    <b:JournalName>Epidemiology</b:JournalName>
    <b:Year>2008</b:Year>
    <b:Pages>820-823</b:Pages>
    <b:Volume>19</b:Volume>
    <b:Issue>6</b:Issue>
    <b:RefOrder>8</b:RefOrder>
  </b:Source>
  <b:Source>
    <b:Tag>Lin11</b:Tag>
    <b:SourceType>JournalArticle</b:SourceType>
    <b:Guid>{A9850BDF-4656-43B5-A013-1549436FE6F0}</b:Guid>
    <b:Author>
      <b:Author>
        <b:NameList>
          <b:Person>
            <b:Last>Lin</b:Last>
            <b:First>W.</b:First>
          </b:Person>
          <b:Person>
            <b:Last>Huang</b:Last>
            <b:First>W.</b:First>
          </b:Person>
          <b:Person>
            <b:Last>Zhu</b:Last>
            <b:First>T.</b:First>
          </b:Person>
          <b:Person>
            <b:Last>Hu</b:Last>
            <b:First>M.</b:First>
          </b:Person>
          <b:Person>
            <b:Last>Brunekreef</b:Last>
            <b:First>B.</b:First>
          </b:Person>
          <b:Person>
            <b:Last>Zhang</b:Last>
            <b:First>Y.</b:First>
          </b:Person>
          <b:Person>
            <b:Last>Liu</b:Last>
            <b:First>X.</b:First>
          </b:Person>
          <b:Person>
            <b:Last>Cheng</b:Last>
            <b:First>H.</b:First>
          </b:Person>
          <b:Person>
            <b:Last>Gehring</b:Last>
            <b:First>U.</b:First>
          </b:Person>
          <b:Person>
            <b:Last>Li</b:Last>
            <b:First>C.</b:First>
          </b:Person>
          <b:Person>
            <b:Last>al</b:Last>
            <b:First>et</b:First>
          </b:Person>
        </b:NameList>
      </b:Author>
    </b:Author>
    <b:Title>Acute respiratory inflammation in children and black carbon in ambient air before and during the 2008 Beijing Olympics</b:Title>
    <b:JournalName>Enviromental Health Perspectives</b:JournalName>
    <b:Year>2011</b:Year>
    <b:Pages>1507-1512</b:Pages>
    <b:Volume>119</b:Volume>
    <b:Issue>10</b:Issue>
    <b:RefOrder>9</b:RefOrder>
  </b:Source>
  <b:Source>
    <b:Tag>Ric12</b:Tag>
    <b:SourceType>JournalArticle</b:SourceType>
    <b:Guid>{A8D2F8AA-6332-4F03-B209-03C2290F7AD5}</b:Guid>
    <b:Author>
      <b:Author>
        <b:NameList>
          <b:Person>
            <b:Last>Rich</b:Last>
            <b:First>D.Q.</b:First>
          </b:Person>
          <b:Person>
            <b:Last>Kipen</b:Last>
            <b:First>H.M.</b:First>
          </b:Person>
          <b:Person>
            <b:Last>Huang</b:Last>
            <b:First>W.</b:First>
          </b:Person>
          <b:Person>
            <b:Last>Wang</b:Last>
            <b:First>G.</b:First>
          </b:Person>
          <b:Person>
            <b:Last>Wang</b:Last>
            <b:First>Y.</b:First>
          </b:Person>
          <b:Person>
            <b:Last>Zhu</b:Last>
            <b:First>P.</b:First>
          </b:Person>
          <b:Person>
            <b:Last>Ohman-Strickland</b:Last>
            <b:First>P.</b:First>
          </b:Person>
          <b:Person>
            <b:Last>Hu</b:Last>
            <b:First>M.</b:First>
          </b:Person>
          <b:Person>
            <b:Last>Philipp</b:Last>
            <b:First>C.</b:First>
          </b:Person>
          <b:Person>
            <b:Last>Diehl</b:Last>
            <b:First>S.R.</b:First>
          </b:Person>
          <b:Person>
            <b:Last>al</b:Last>
            <b:First>et</b:First>
          </b:Person>
        </b:NameList>
      </b:Author>
    </b:Author>
    <b:Title>Association between changes in air pollution levels during the Beijing Olympics and biomarkers of inflammation and thrombosis in healthy young adults</b:Title>
    <b:JournalName>Journal of the American Medical Association</b:JournalName>
    <b:Year>2012</b:Year>
    <b:Pages>2068-2078</b:Pages>
    <b:Volume>307</b:Volume>
    <b:Issue>19</b:Issue>
    <b:RefOrder>10</b:RefOrder>
  </b:Source>
  <b:Source>
    <b:Tag>Ros05</b:Tag>
    <b:SourceType>Report</b:SourceType>
    <b:Guid>{98FD21F2-80D6-4AD3-BB37-7E2270DF2CF6}</b:Guid>
    <b:Author>
      <b:Author>
        <b:NameList>
          <b:Person>
            <b:Last>Roseman</b:Last>
            <b:First>F.</b:First>
          </b:Person>
        </b:NameList>
      </b:Author>
    </b:Author>
    <b:Title>The effects of recent volatility in international petroleum markets on Canadian wholesale and retail gasoline prices</b:Title>
    <b:Year>2005</b:Year>
    <b:Publisher>The Competition Bureau</b:Publisher>
    <b:Institution>Technical Report</b:Institution>
    <b:URL>http://www.competitionbureau.gc.ca/eic/site/cb-bc.nsf/eng/00185.html</b:URL>
    <b:RefOrder>11</b:RefOrder>
  </b:Source>
  <b:Source>
    <b:Tag>Lug00</b:Tag>
    <b:SourceType>JournalArticle</b:SourceType>
    <b:Guid>{7958264F-DD24-40CE-95C5-DFCD61F898B8}</b:Guid>
    <b:Title>A longitudinal study of the health impacts of a petroleum refinery</b:Title>
    <b:Year>2000</b:Year>
    <b:Pages>1155-1166</b:Pages>
    <b:Author>
      <b:Author>
        <b:NameList>
          <b:Person>
            <b:Last>Luginaah</b:Last>
            <b:First>I.N.</b:First>
          </b:Person>
          <b:Person>
            <b:Last>Taylor</b:Last>
            <b:First>S.M.</b:First>
          </b:Person>
          <b:Person>
            <b:Last>Elliot</b:Last>
            <b:First>S.J.</b:First>
          </b:Person>
          <b:Person>
            <b:Last>Eyles</b:Last>
            <b:First>J.D.</b:First>
          </b:Person>
        </b:NameList>
      </b:Author>
    </b:Author>
    <b:JournalName>Social Science &amp; Medicine</b:JournalName>
    <b:Volume>50</b:Volume>
    <b:Issue>7</b:Issue>
    <b:RefOrder>12</b:RefOrder>
  </b:Source>
  <b:Source>
    <b:Tag>Env14</b:Tag>
    <b:SourceType>Report</b:SourceType>
    <b:Guid>{8A5D54E9-E403-4584-A2D6-FF4DF746461D}</b:Guid>
    <b:Title>Notice with respect to the substances in the National Pollutant Release Inventory for 2014 and 2015</b:Title>
    <b:Year>2014</b:Year>
    <b:Author>
      <b:Author>
        <b:Corporate>Environment and Climate Change Canada</b:Corporate>
      </b:Author>
    </b:Author>
    <b:YearAccessed>2015</b:YearAccessed>
    <b:MonthAccessed>1</b:MonthAccessed>
    <b:DayAccessed>1</b:DayAccessed>
    <b:URL> http://gazette.gc.ca/rp-pr/p1/2014/2014-07-12/pdf/g1-14828.pdf</b:URL>
    <b:RefOrder>13</b:RefOrder>
  </b:Source>
  <b:Source>
    <b:Tag>Env152</b:Tag>
    <b:SourceType>Report</b:SourceType>
    <b:Guid>{C1D8005F-018E-43CD-AC75-E410D99514DC}</b:Guid>
    <b:Author>
      <b:Author>
        <b:Corporate>Environment and Climate Change Canada</b:Corporate>
      </b:Author>
    </b:Author>
    <b:Title>National Pollutant Release Inventory</b:Title>
    <b:Year>2015</b:Year>
    <b:YearAccessed>2016</b:YearAccessed>
    <b:MonthAccessed>1</b:MonthAccessed>
    <b:DayAccessed>1</b:DayAccessed>
    <b:URL>http://www.ec.gc.ca/inrp-npri/default.asp?lang=En&amp;n=4A577BB9-1</b:URL>
    <b:RefOrder>14</b:RefOrder>
  </b:Source>
  <b:Source>
    <b:Tag>Wor14</b:Tag>
    <b:SourceType>Report</b:SourceType>
    <b:Guid>{BD20C29F-CCDE-43FF-BF7A-8DA67899F6DA}</b:Guid>
    <b:Author>
      <b:Author>
        <b:Corporate>World Health Organization</b:Corporate>
      </b:Author>
    </b:Author>
    <b:Title>ICD-10: International Statistical Classification of Diseases and Related Health Problems</b:Title>
    <b:Year>2014</b:Year>
    <b:Publisher>WHO</b:Publisher>
    <b:RefOrder>15</b:RefOrder>
  </b:Source>
  <b:Source>
    <b:Tag>Sta15</b:Tag>
    <b:SourceType>Report</b:SourceType>
    <b:Guid>{667787FA-23E4-4E3F-86DB-AB297E401E05}</b:Guid>
    <b:Author>
      <b:Author>
        <b:Corporate>Statistics Canada</b:Corporate>
      </b:Author>
    </b:Author>
    <b:Title>Profile of Census Divisions and Subdivisions</b:Title>
    <b:Year>2015</b:Year>
    <b:Publisher>Statistics Canada</b:Publisher>
    <b:ThesisType>Technical Report 95F0181XDB96001a</b:ThesisType>
    <b:RefOrder>16</b:RefOrder>
  </b:Source>
  <b:Source>
    <b:Tag>Sta151</b:Tag>
    <b:SourceType>Report</b:SourceType>
    <b:Guid>{99C6ED30-24FE-4116-9B55-87B1F5F0CFB6}</b:Guid>
    <b:Author>
      <b:Author>
        <b:Corporate>Statistics Canada</b:Corporate>
      </b:Author>
    </b:Author>
    <b:Title>Profile for Canada, Provinces, Territories, Census Divisions and Census Subdivisions</b:Title>
    <b:Year>2015</b:Year>
    <b:Publisher>Statistics Canada</b:Publisher>
    <b:ThesisType>Technical Report 95F0495XCB01001</b:ThesisType>
    <b:RefOrder>37</b:RefOrder>
  </b:Source>
  <b:Source>
    <b:Tag>Sta152</b:Tag>
    <b:SourceType>Report</b:SourceType>
    <b:Guid>{224BDAEE-77BB-4739-958E-13A4CFEFB734}</b:Guid>
    <b:Author>
      <b:Author>
        <b:Corporate>Statistics Canada</b:Corporate>
      </b:Author>
    </b:Author>
    <b:Title>Profile for Canada, Provinces, Territories, Census Divisions and Census Subdivisions</b:Title>
    <b:Year>2015</b:Year>
    <b:ThesisType>Technical Report  94-581-XCB2006001</b:ThesisType>
    <b:RefOrder>17</b:RefOrder>
  </b:Source>
  <b:Source>
    <b:Tag>Min11</b:Tag>
    <b:SourceType>Report</b:SourceType>
    <b:Guid>{80482600-9584-42EB-8A9E-9CFEF5B67141}</b:Guid>
    <b:Author>
      <b:Author>
        <b:Corporate>Ministry of Transportation Ontario</b:Corporate>
      </b:Author>
    </b:Author>
    <b:Title>Provincial highways traffic volumes 1988-2010</b:Title>
    <b:Year>2011</b:Year>
    <b:Publisher>Traffic Office, MTO</b:Publisher>
    <b:YearAccessed>2016</b:YearAccessed>
    <b:MonthAccessed>1</b:MonthAccessed>
    <b:DayAccessed>16</b:DayAccessed>
    <b:URL> http://www.raqsb.mto.gov.on.ca/techpubs/TrafficVolumes.nsf/tvweb </b:URL>
    <b:RefOrder>18</b:RefOrder>
  </b:Source>
  <b:Source>
    <b:Tag>Ins83</b:Tag>
    <b:SourceType>JournalArticle</b:SourceType>
    <b:Guid>{94EA3E68-55D7-4A78-A058-6C126BBFC6C0}</b:Guid>
    <b:Author>
      <b:Author>
        <b:NameList>
          <b:Person>
            <b:Last>Inskip</b:Last>
            <b:First>Hazel</b:First>
          </b:Person>
          <b:Person>
            <b:Last>Beral</b:Last>
            <b:First>Valerie</b:First>
          </b:Person>
          <b:Person>
            <b:Last>Fraser</b:Last>
            <b:First>Patricia</b:First>
          </b:Person>
        </b:NameList>
      </b:Author>
    </b:Author>
    <b:Title>Methods for age-adjustment of rates</b:Title>
    <b:JournalName>Statistics in Medicine</b:JournalName>
    <b:Year>1983</b:Year>
    <b:Pages>455-466</b:Pages>
    <b:Volume>2</b:Volume>
    <b:RefOrder>19</b:RefOrder>
  </b:Source>
  <b:Source>
    <b:Tag>Cur95</b:Tag>
    <b:SourceType>Report</b:SourceType>
    <b:Guid>{789739F3-80A6-455B-8AD3-5315739EAFAC}</b:Guid>
    <b:Title>Direct Standardization (age-adjusted Death Rates)</b:Title>
    <b:Year>1995</b:Year>
    <b:Publisher>US Department of Health and Human Services, Public Health Center, Centers for Disease Control and Prevention</b:Publisher>
    <b:Author>
      <b:Author>
        <b:NameList>
          <b:Person>
            <b:Last>Curtin</b:Last>
            <b:First>L.R.</b:First>
          </b:Person>
          <b:Person>
            <b:Last>Klein</b:Last>
            <b:First>R.J.</b:First>
          </b:Person>
        </b:NameList>
      </b:Author>
    </b:Author>
    <b:RefOrder>20</b:RefOrder>
  </b:Source>
  <b:Source>
    <b:Tag>Lee99</b:Tag>
    <b:SourceType>JournalArticle</b:SourceType>
    <b:Guid>{567A8180-F3F9-4800-A911-B2E2E0260AE8}</b:Guid>
    <b:Title>Optimal weighting systems for direct age-adjustement of vital rates</b:Title>
    <b:Year>1999</b:Year>
    <b:Pages>2645-2654</b:Pages>
    <b:Author>
      <b:Author>
        <b:NameList>
          <b:Person>
            <b:Last>Lee</b:Last>
            <b:First>W.-C.,</b:First>
            <b:Middle>Liaw, Y.-P.</b:Middle>
          </b:Person>
        </b:NameList>
      </b:Author>
    </b:Author>
    <b:JournalName>Statistics in Medicine</b:JournalName>
    <b:Volume>18</b:Volume>
    <b:Issue>19</b:Issue>
    <b:RefOrder>21</b:RefOrder>
  </b:Source>
  <b:Source>
    <b:Tag>Com14</b:Tag>
    <b:SourceType>Report</b:SourceType>
    <b:Guid>{31960924-0A6C-4E31-A9C0-D705052D0C3B}</b:Guid>
    <b:Author>
      <b:Author>
        <b:Corporate>Community Development Halton</b:Corporate>
      </b:Author>
    </b:Author>
    <b:Title>Social Profile of Halton Region: 2014</b:Title>
    <b:Year>2014</b:Year>
    <b:YearAccessed>2016</b:YearAccessed>
    <b:MonthAccessed>1</b:MonthAccessed>
    <b:DayAccessed>1</b:DayAccessed>
    <b:URL>Development Halton, 860 Harrington Court, Burlington, ON (2014).</b:URL>
    <b:RefOrder>22</b:RefOrder>
  </b:Source>
  <b:Source>
    <b:Tag>Pub03</b:Tag>
    <b:SourceType>Report</b:SourceType>
    <b:Guid>{119EF9F5-3E76-4D98-9542-37538DF9A4DD}</b:Guid>
    <b:Author>
      <b:Author>
        <b:Corporate>Public Health Agency of Canada</b:Corporate>
      </b:Author>
    </b:Author>
    <b:Title>Learning from SARS - Renewal of Public health in Canada</b:Title>
    <b:Year>2003</b:Year>
    <b:YearAccessed>2015</b:YearAccessed>
    <b:MonthAccessed>10</b:MonthAccessed>
    <b:DayAccessed>1</b:DayAccessed>
    <b:URL> http://www.phac-aspc.gc.ca/publicat/sars-sras/naylor/index-eng.php </b:URL>
    <b:RefOrder>23</b:RefOrder>
  </b:Source>
  <b:Source>
    <b:Tag>Com04</b:Tag>
    <b:SourceType>Report</b:SourceType>
    <b:Guid>{F2F502F5-BE56-4106-B9BE-79333F940155}</b:Guid>
    <b:Author>
      <b:Author>
        <b:Corporate>Community Development Halton</b:Corporate>
      </b:Author>
    </b:Author>
    <b:Title>Social Profile of Oakville - An Overview</b:Title>
    <b:Year>2004</b:Year>
    <b:City>Burlington, ON</b:City>
    <b:YearAccessed>2016</b:YearAccessed>
    <b:MonthAccessed>1</b:MonthAccessed>
    <b:DayAccessed>1</b:DayAccessed>
    <b:URL>http://www.cdhalton.ca/pdf/Social Profile of Oakville-An Overview.pdf</b:URL>
    <b:RefOrder>24</b:RefOrder>
  </b:Source>
  <b:Source>
    <b:Tag>Env16NPRI</b:Tag>
    <b:SourceType>InternetSite</b:SourceType>
    <b:Guid>{EF7C7CC5-CF6C-487C-9795-E9480766CD32}</b:Guid>
    <b:Title>Changes to the National Pollutant Release Inventory Substance List over time</b:Title>
    <b:Year>2016</b:Year>
    <b:Month>12</b:Month>
    <b:Day>1</b:Day>
    <b:YearAccessed>2016</b:YearAccessed>
    <b:MonthAccessed>12</b:MonthAccessed>
    <b:DayAccessed>1</b:DayAccessed>
    <b:URL>https://www.ec.gc.ca/inrp-npri/default.asp?lang=en&amp;n=C1645A61-1#s7cac</b:URL>
    <b:Author>
      <b:Author>
        <b:Corporate>Environment and Climate Change Canada</b:Corporate>
      </b:Author>
    </b:Author>
    <b:RefOrder>25</b:RefOrder>
  </b:Source>
  <b:Source>
    <b:Tag>Sun96</b:Tag>
    <b:SourceType>JournalArticle</b:SourceType>
    <b:Guid>{1030676D-FD0D-424D-9E1B-91273AC8AECE}</b:Guid>
    <b:Title>Air pollution and mortality in Barcelona</b:Title>
    <b:Year>1996</b:Year>
    <b:Author>
      <b:Author>
        <b:NameList>
          <b:Person>
            <b:Last>Sunyer</b:Last>
            <b:First>J.</b:First>
          </b:Person>
          <b:Person>
            <b:Last>Castellsague</b:Last>
            <b:First>J.</b:First>
          </b:Person>
          <b:Person>
            <b:Last>Saez</b:Last>
            <b:First>M.</b:First>
          </b:Person>
          <b:Person>
            <b:Last>Tobias</b:Last>
            <b:First>A.</b:First>
          </b:Person>
          <b:Person>
            <b:Last>Anto</b:Last>
            <b:First>J.</b:First>
          </b:Person>
        </b:NameList>
      </b:Author>
    </b:Author>
    <b:JournalName>Journal of Epidemiology and Community Health</b:JournalName>
    <b:Pages>76-80</b:Pages>
    <b:Volume>50</b:Volume>
    <b:Issue>Suppl 1</b:Issue>
    <b:RefOrder>26</b:RefOrder>
  </b:Source>
  <b:Source>
    <b:Tag>Pet97</b:Tag>
    <b:SourceType>JournalArticle</b:SourceType>
    <b:Guid>{57672A70-4C92-4901-9A46-75DF8299422A}</b:Guid>
    <b:Author>
      <b:Author>
        <b:NameList>
          <b:Person>
            <b:Last>Peters</b:Last>
            <b:First>A.</b:First>
          </b:Person>
          <b:Person>
            <b:Last>Dockery</b:Last>
            <b:First>D.</b:First>
          </b:Person>
          <b:Person>
            <b:Last>Heinrich</b:Last>
            <b:First>J.</b:First>
          </b:Person>
          <b:Person>
            <b:Last>Wichmann</b:Last>
            <b:First>H.</b:First>
          </b:Person>
        </b:NameList>
      </b:Author>
    </b:Author>
    <b:Title>Short-term effects of particulate air pollution on respiratory morbidity in asthmatic children</b:Title>
    <b:JournalName>European Respiratory Journal</b:JournalName>
    <b:Year>1997</b:Year>
    <b:Pages>872-879</b:Pages>
    <b:Volume>10</b:Volume>
    <b:Issue>4</b:Issue>
    <b:RefOrder>27</b:RefOrder>
  </b:Source>
  <b:Source>
    <b:Tag>Wic00</b:Tag>
    <b:SourceType>Report</b:SourceType>
    <b:Guid>{CDCBFA7F-4451-4C38-B5DD-E8261F8D7FD6}</b:Guid>
    <b:Author>
      <b:Author>
        <b:NameList>
          <b:Person>
            <b:Last>Wichmann</b:Last>
            <b:First>H.</b:First>
          </b:Person>
          <b:Person>
            <b:Last>Spix</b:Last>
            <b:First>C.</b:First>
          </b:Person>
          <b:Person>
            <b:Last>Tuch</b:Last>
            <b:First>T.</b:First>
          </b:Person>
          <b:Person>
            <b:Last>Wolke</b:Last>
            <b:First>G.</b:First>
          </b:Person>
          <b:Person>
            <b:Last>Peters</b:Last>
            <b:First>A.</b:First>
          </b:Person>
          <b:Person>
            <b:Last>Heinrich</b:Last>
            <b:First>J.</b:First>
          </b:Person>
          <b:Person>
            <b:Last>Kreyling</b:Last>
            <b:First>W.</b:First>
          </b:Person>
          <b:Person>
            <b:Last>Heyder</b:Last>
            <b:First>J.</b:First>
          </b:Person>
        </b:NameList>
      </b:Author>
    </b:Author>
    <b:Title>Daily mortality and fine and ultrafine particles in Erfurt, Germany - Part I: Role of Particle Number and Particle Mass</b:Title>
    <b:Year>2000</b:Year>
    <b:Publisher>Health Effects Institute</b:Publisher>
    <b:ThesisType>Research Report, GSF Institute of Epidemiology, for the HEI</b:ThesisType>
    <b:RefOrder>28</b:RefOrder>
  </b:Source>
  <b:Source>
    <b:Tag>Zha02</b:Tag>
    <b:SourceType>JournalArticle</b:SourceType>
    <b:Guid>{2F9C30E1-D133-49CC-973A-DF12CDEF1BA5}</b:Guid>
    <b:Title>Children's respiratory morbidity prevalence in relation to air pollution in four Chinese cities</b:Title>
    <b:Year>2002</b:Year>
    <b:Author>
      <b:Author>
        <b:NameList>
          <b:Person>
            <b:Last>Zhang</b:Last>
            <b:First>J.J.</b:First>
          </b:Person>
          <b:Person>
            <b:Last>Hu</b:Last>
            <b:First>W.</b:First>
          </b:Person>
          <b:Person>
            <b:Last>Wei</b:Last>
            <b:First>F.</b:First>
          </b:Person>
          <b:Person>
            <b:Last>Wu</b:Last>
            <b:First>G.</b:First>
          </b:Person>
          <b:Person>
            <b:Last>Korn</b:Last>
            <b:First>L.R.</b:First>
          </b:Person>
          <b:Person>
            <b:Last>Chapman</b:Last>
            <b:First>R.S.</b:First>
          </b:Person>
        </b:NameList>
      </b:Author>
    </b:Author>
    <b:JournalName>Environmental Health Perspectives</b:JournalName>
    <b:Pages>961-967</b:Pages>
    <b:Volume>110</b:Volume>
    <b:Issue>9</b:Issue>
    <b:RefOrder>29</b:RefOrder>
  </b:Source>
  <b:Source>
    <b:Tag>Kan10</b:Tag>
    <b:SourceType>JournalArticle</b:SourceType>
    <b:Guid>{F4FC664D-8D85-4FE9-A054-D303140450DC}</b:Guid>
    <b:Author>
      <b:Author>
        <b:NameList>
          <b:Person>
            <b:Last>Kan</b:Last>
            <b:First>H.</b:First>
          </b:Person>
          <b:Person>
            <b:Last>Wong</b:Last>
            <b:First>C.-M.</b:First>
          </b:Person>
          <b:Person>
            <b:Last>Vichit-Vadakan</b:Last>
            <b:First>N.</b:First>
          </b:Person>
          <b:Person>
            <b:Last>Qian</b:Last>
            <b:First>Z.</b:First>
          </b:Person>
          <b:Person>
            <b:Last>al</b:Last>
            <b:First>et</b:First>
          </b:Person>
        </b:NameList>
      </b:Author>
    </b:Author>
    <b:Title>Short-term association between sulfur dioxide and daily mortality: The Public Health and Air Pollution in Asia (PAPA) study</b:Title>
    <b:JournalName>Environmental Research</b:JournalName>
    <b:Year>2010</b:Year>
    <b:Pages>258-264</b:Pages>
    <b:Volume>110</b:Volume>
    <b:Issue>3</b:Issue>
    <b:RefOrder>30</b:RefOrder>
  </b:Source>
  <b:Source>
    <b:Tag>Gre15</b:Tag>
    <b:SourceType>JournalArticle</b:SourceType>
    <b:Guid>{22505206-63C1-4256-8C2D-D422F3A587AA}</b:Guid>
    <b:Author>
      <b:Author>
        <b:NameList>
          <b:Person>
            <b:Last>Greenberg</b:Last>
            <b:First>N.</b:First>
          </b:Person>
          <b:Person>
            <b:Last>Carel</b:Last>
            <b:First>R.</b:First>
          </b:Person>
          <b:Person>
            <b:Last>Portnov</b:Last>
            <b:First>B.A.</b:First>
          </b:Person>
        </b:NameList>
      </b:Author>
    </b:Author>
    <b:Title>Air pollution and respiratory morbidity in Israel: a review of accumulated empiric evidence</b:Title>
    <b:JournalName>Israeli Medication Association Journal </b:JournalName>
    <b:Year>2015</b:Year>
    <b:Pages>445-50</b:Pages>
    <b:Volume>17</b:Volume>
    <b:Issue>7</b:Issue>
    <b:RefOrder>31</b:RefOrder>
  </b:Source>
  <b:Source>
    <b:Tag>Lip00</b:Tag>
    <b:SourceType>Report</b:SourceType>
    <b:Guid>{F14CCE95-1B05-425C-8BA5-E19BEA622C9F}</b:Guid>
    <b:Author>
      <b:Author>
        <b:NameList>
          <b:Person>
            <b:Last>Lippmann</b:Last>
            <b:First>M.</b:First>
          </b:Person>
          <b:Person>
            <b:Last>Ito</b:Last>
            <b:First>K.</b:First>
          </b:Person>
          <b:Person>
            <b:Last>Nadas</b:Last>
            <b:First>A.</b:First>
          </b:Person>
          <b:Person>
            <b:Last>Burnett</b:Last>
            <b:First>R.</b:First>
          </b:Person>
        </b:NameList>
      </b:Author>
    </b:Author>
    <b:Title>Association of particulate matter components with daily mortality and morbidity in urban populations</b:Title>
    <b:Year>2000</b:Year>
    <b:Publisher>Health Effects Institute</b:Publisher>
    <b:ThesisType>Technical Research Report</b:ThesisType>
    <b:RefOrder>32</b:RefOrder>
  </b:Source>
  <b:Source>
    <b:Tag>Sti02</b:Tag>
    <b:SourceType>JournalArticle</b:SourceType>
    <b:Guid>{7DD6AB80-EB93-4FB0-9AFD-A48B0B591724}</b:Guid>
    <b:Author>
      <b:Author>
        <b:NameList>
          <b:Person>
            <b:Last>Stieb</b:Last>
            <b:First>David</b:First>
            <b:Middle>M.</b:Middle>
          </b:Person>
          <b:Person>
            <b:Last>Judek</b:Last>
            <b:First>Stan</b:First>
          </b:Person>
          <b:Person>
            <b:Last>Burnett</b:Last>
            <b:First>Richard</b:First>
            <b:Middle>T.</b:Middle>
          </b:Person>
        </b:NameList>
      </b:Author>
    </b:Author>
    <b:Title>Meta-Analysis of Time-Series Studies of Air Pollution and Mortality: Effects of Gases and Particles and the Influence of Cause of Death, Age, and Season</b:Title>
    <b:JournalName>Journal of the Air and Waste Management Association</b:JournalName>
    <b:Year>2002</b:Year>
    <b:Pages>470-484</b:Pages>
    <b:Volume>52</b:Volume>
    <b:RefOrder>33</b:RefOrder>
  </b:Source>
  <b:Source>
    <b:Tag>Gov99</b:Tag>
    <b:SourceType>Report</b:SourceType>
    <b:Guid>{EBDC035A-FACC-4F60-9F8E-FEDDA28350E6}</b:Guid>
    <b:Author>
      <b:Author>
        <b:Corporate>Government of Canada</b:Corporate>
      </b:Author>
    </b:Author>
    <b:Title>Canadian Environmental Protection Act</b:Title>
    <b:Year>1999</b:Year>
    <b:Publisher>Government of Canada</b:Publisher>
    <b:YearAccessed>2016</b:YearAccessed>
    <b:MonthAccessed>1</b:MonthAccessed>
    <b:DayAccessed>1</b:DayAccessed>
    <b:URL>. http://canadagazette.gc.ca/rp-pr/p2/2015/2015-07-29/html/sor-dors187-eng.php</b:URL>
    <b:RefOrder>34</b:RefOrder>
  </b:Source>
  <b:Source>
    <b:Tag>Env16</b:Tag>
    <b:SourceType>Report</b:SourceType>
    <b:Guid>{2A14CBC9-6BA4-4534-8333-FD7771D8B864}</b:Guid>
    <b:Author>
      <b:Author>
        <b:Corporate>Environmental Monitoring and Reporting Branch</b:Corporate>
      </b:Author>
    </b:Author>
    <b:Title>Air Quality in Ontario 2011</b:Title>
    <b:Publisher>Ministry of the Environment and Climate Change, Ontario</b:Publisher>
    <b:YearAccessed>2016</b:YearAccessed>
    <b:MonthAccessed>11</b:MonthAccessed>
    <b:DayAccessed>20</b:DayAccessed>
    <b:URL>http://www.airqualityontario.com/downloads/AirQualityInOntarioReportAndAppendix2011.pdf</b:URL>
    <b:Year>2011</b:Year>
    <b:RefOrder>35</b:RefOrder>
  </b:Source>
  <b:Source>
    <b:Tag>Env13</b:Tag>
    <b:SourceType>Report</b:SourceType>
    <b:Guid>{C0A3396C-C650-427D-8EC5-6E963F962975}</b:Guid>
    <b:Author>
      <b:Author>
        <b:Corporate>Environmental Monitoring and Reporting Branch</b:Corporate>
      </b:Author>
    </b:Author>
    <b:Title>Air Quality in Ontario 2013</b:Title>
    <b:Year>2013</b:Year>
    <b:Publisher>Ministry of the Environment and Climate Change, Ontario</b:Publisher>
    <b:YearAccessed>2016</b:YearAccessed>
    <b:MonthAccessed>11</b:MonthAccessed>
    <b:DayAccessed>10</b:DayAccessed>
    <b:URL>Ministry of the Environment and Climate Change (2013).</b:URL>
    <b:RefOrder>36</b:RefOrder>
  </b:Source>
</b:Sources>
</file>

<file path=customXml/itemProps1.xml><?xml version="1.0" encoding="utf-8"?>
<ds:datastoreItem xmlns:ds="http://schemas.openxmlformats.org/officeDocument/2006/customXml" ds:itemID="{E22F8CB4-AD98-422E-B2EA-36FADF4B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>Health Canada - Santé Canada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AHI User</dc:creator>
  <cp:lastModifiedBy>Hwashin Shin</cp:lastModifiedBy>
  <cp:revision>15</cp:revision>
  <dcterms:created xsi:type="dcterms:W3CDTF">2018-09-10T14:28:00Z</dcterms:created>
  <dcterms:modified xsi:type="dcterms:W3CDTF">2018-09-13T13:18:00Z</dcterms:modified>
</cp:coreProperties>
</file>