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0EA50" w14:textId="366245C6" w:rsidR="001A2FFA" w:rsidRPr="002D6796" w:rsidRDefault="001A2FFA" w:rsidP="001A2FFA">
      <w:pPr>
        <w:widowControl w:val="0"/>
        <w:spacing w:line="480" w:lineRule="auto"/>
        <w:contextualSpacing/>
        <w:outlineLvl w:val="0"/>
        <w:rPr>
          <w:rFonts w:ascii="Arial" w:eastAsia="Times New Roman" w:hAnsi="Arial" w:cs="Arial"/>
          <w:b/>
          <w:color w:val="000000" w:themeColor="text1"/>
          <w:sz w:val="20"/>
          <w:szCs w:val="20"/>
        </w:rPr>
      </w:pPr>
      <w:r w:rsidRPr="001A2FFA">
        <w:rPr>
          <w:rFonts w:ascii="Arial" w:eastAsia="Times New Roman" w:hAnsi="Arial" w:cs="Arial"/>
          <w:b/>
          <w:color w:val="000000" w:themeColor="text1"/>
          <w:sz w:val="20"/>
          <w:szCs w:val="20"/>
        </w:rPr>
        <w:t>Supplementary Materials</w:t>
      </w:r>
      <w:bookmarkStart w:id="0" w:name="_GoBack"/>
      <w:bookmarkEnd w:id="0"/>
    </w:p>
    <w:p w14:paraId="6B3A01F6" w14:textId="77777777" w:rsidR="001A2FFA" w:rsidRPr="001A2FFA" w:rsidRDefault="001A2FFA" w:rsidP="001A2FFA">
      <w:pPr>
        <w:widowControl w:val="0"/>
        <w:spacing w:line="480" w:lineRule="auto"/>
        <w:contextualSpacing/>
        <w:outlineLvl w:val="0"/>
        <w:rPr>
          <w:rFonts w:ascii="Arial" w:eastAsia="Times New Roman" w:hAnsi="Arial" w:cs="Arial"/>
          <w:color w:val="000000" w:themeColor="text1"/>
          <w:sz w:val="20"/>
          <w:szCs w:val="20"/>
          <w:u w:val="single"/>
        </w:rPr>
      </w:pPr>
      <w:r w:rsidRPr="001A2FFA">
        <w:rPr>
          <w:rFonts w:ascii="Arial" w:eastAsia="Times New Roman" w:hAnsi="Arial" w:cs="Arial"/>
          <w:color w:val="000000" w:themeColor="text1"/>
          <w:sz w:val="20"/>
          <w:szCs w:val="20"/>
          <w:u w:val="single"/>
        </w:rPr>
        <w:t>S2: Code definitions</w:t>
      </w:r>
    </w:p>
    <w:tbl>
      <w:tblPr>
        <w:tblStyle w:val="TableGrid"/>
        <w:tblW w:w="0" w:type="auto"/>
        <w:tblLook w:val="04A0" w:firstRow="1" w:lastRow="0" w:firstColumn="1" w:lastColumn="0" w:noHBand="0" w:noVBand="1"/>
      </w:tblPr>
      <w:tblGrid>
        <w:gridCol w:w="1431"/>
        <w:gridCol w:w="1961"/>
        <w:gridCol w:w="5958"/>
      </w:tblGrid>
      <w:tr w:rsidR="001A2FFA" w:rsidRPr="001A2FFA" w14:paraId="4B131497" w14:textId="77777777" w:rsidTr="0095211B">
        <w:tc>
          <w:tcPr>
            <w:tcW w:w="1435" w:type="dxa"/>
          </w:tcPr>
          <w:p w14:paraId="2B6A20C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Code type</w:t>
            </w:r>
          </w:p>
        </w:tc>
        <w:tc>
          <w:tcPr>
            <w:tcW w:w="1890" w:type="dxa"/>
          </w:tcPr>
          <w:p w14:paraId="2178F147"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Code</w:t>
            </w:r>
          </w:p>
        </w:tc>
        <w:tc>
          <w:tcPr>
            <w:tcW w:w="6025" w:type="dxa"/>
          </w:tcPr>
          <w:p w14:paraId="37CCE8FD"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Meaning</w:t>
            </w:r>
          </w:p>
        </w:tc>
      </w:tr>
      <w:tr w:rsidR="001A2FFA" w:rsidRPr="001A2FFA" w14:paraId="7ABE6BFC" w14:textId="77777777" w:rsidTr="0095211B">
        <w:tc>
          <w:tcPr>
            <w:tcW w:w="1435" w:type="dxa"/>
          </w:tcPr>
          <w:p w14:paraId="3609C72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302A55B9"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Trust Built</w:t>
            </w:r>
          </w:p>
        </w:tc>
        <w:tc>
          <w:tcPr>
            <w:tcW w:w="6025" w:type="dxa"/>
          </w:tcPr>
          <w:p w14:paraId="63276E4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Examples of trust being built in the partnership</w:t>
            </w:r>
          </w:p>
        </w:tc>
      </w:tr>
      <w:tr w:rsidR="001A2FFA" w:rsidRPr="001A2FFA" w14:paraId="4783F430" w14:textId="77777777" w:rsidTr="0095211B">
        <w:tc>
          <w:tcPr>
            <w:tcW w:w="1435" w:type="dxa"/>
          </w:tcPr>
          <w:p w14:paraId="7641ACB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508BC03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Being listened to</w:t>
            </w:r>
          </w:p>
        </w:tc>
        <w:tc>
          <w:tcPr>
            <w:tcW w:w="6025" w:type="dxa"/>
          </w:tcPr>
          <w:p w14:paraId="1C5A192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People expressing that they are being listened to</w:t>
            </w:r>
          </w:p>
        </w:tc>
      </w:tr>
      <w:tr w:rsidR="001A2FFA" w:rsidRPr="001A2FFA" w14:paraId="3616E0D6" w14:textId="77777777" w:rsidTr="0095211B">
        <w:tc>
          <w:tcPr>
            <w:tcW w:w="1435" w:type="dxa"/>
          </w:tcPr>
          <w:p w14:paraId="2C3BBB6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0A91B385"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Proxy trust and functional trust</w:t>
            </w:r>
          </w:p>
        </w:tc>
        <w:tc>
          <w:tcPr>
            <w:tcW w:w="6025" w:type="dxa"/>
          </w:tcPr>
          <w:p w14:paraId="12A098E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Examples of specifically proxy trust (trust based on connections through another person or entity) and functional trust (trust being forced because of need for project to move forward) in the partnership</w:t>
            </w:r>
          </w:p>
        </w:tc>
      </w:tr>
      <w:tr w:rsidR="001A2FFA" w:rsidRPr="001A2FFA" w14:paraId="6857E4C5" w14:textId="77777777" w:rsidTr="0095211B">
        <w:tc>
          <w:tcPr>
            <w:tcW w:w="1435" w:type="dxa"/>
          </w:tcPr>
          <w:p w14:paraId="26BC427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1F4DB495"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Trust Eroded</w:t>
            </w:r>
          </w:p>
        </w:tc>
        <w:tc>
          <w:tcPr>
            <w:tcW w:w="6025" w:type="dxa"/>
          </w:tcPr>
          <w:p w14:paraId="03156F35"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Examples of trust being eroded in the partnership</w:t>
            </w:r>
          </w:p>
        </w:tc>
      </w:tr>
      <w:tr w:rsidR="001A2FFA" w:rsidRPr="001A2FFA" w14:paraId="432DEF72" w14:textId="77777777" w:rsidTr="0095211B">
        <w:tc>
          <w:tcPr>
            <w:tcW w:w="1435" w:type="dxa"/>
          </w:tcPr>
          <w:p w14:paraId="0EF05355"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34B98E5D"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(Lack of) Academic due diligence</w:t>
            </w:r>
          </w:p>
        </w:tc>
        <w:tc>
          <w:tcPr>
            <w:tcW w:w="6025" w:type="dxa"/>
          </w:tcPr>
          <w:p w14:paraId="4D975F4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Examples of lack of academic due diligence in choosing community partners, planning the project, etc.</w:t>
            </w:r>
          </w:p>
        </w:tc>
      </w:tr>
      <w:tr w:rsidR="001A2FFA" w:rsidRPr="001A2FFA" w14:paraId="1179AD9A" w14:textId="77777777" w:rsidTr="0095211B">
        <w:tc>
          <w:tcPr>
            <w:tcW w:w="1435" w:type="dxa"/>
          </w:tcPr>
          <w:p w14:paraId="5447B00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5D3988B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Divisions within community</w:t>
            </w:r>
          </w:p>
        </w:tc>
        <w:tc>
          <w:tcPr>
            <w:tcW w:w="6025" w:type="dxa"/>
          </w:tcPr>
          <w:p w14:paraId="033E8B7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Examples of evidence for divisions within the community, or between community partners</w:t>
            </w:r>
          </w:p>
        </w:tc>
      </w:tr>
      <w:tr w:rsidR="001A2FFA" w:rsidRPr="001A2FFA" w14:paraId="70D503DB" w14:textId="77777777" w:rsidTr="0095211B">
        <w:tc>
          <w:tcPr>
            <w:tcW w:w="1435" w:type="dxa"/>
          </w:tcPr>
          <w:p w14:paraId="04059E1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668F1BEB"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Transparency</w:t>
            </w:r>
          </w:p>
        </w:tc>
        <w:tc>
          <w:tcPr>
            <w:tcW w:w="6025" w:type="dxa"/>
          </w:tcPr>
          <w:p w14:paraId="1B2EE35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the idea of transparency in research, including clarity of project roles and motivations, and updates</w:t>
            </w:r>
          </w:p>
        </w:tc>
      </w:tr>
      <w:tr w:rsidR="001A2FFA" w:rsidRPr="001A2FFA" w14:paraId="5E2A92F5" w14:textId="77777777" w:rsidTr="0095211B">
        <w:tc>
          <w:tcPr>
            <w:tcW w:w="1435" w:type="dxa"/>
          </w:tcPr>
          <w:p w14:paraId="3701D4AE"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5C48F53F"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Research</w:t>
            </w:r>
          </w:p>
        </w:tc>
        <w:tc>
          <w:tcPr>
            <w:tcW w:w="6025" w:type="dxa"/>
          </w:tcPr>
          <w:p w14:paraId="75F54A2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issues related to research needs, grants, timelines</w:t>
            </w:r>
          </w:p>
        </w:tc>
      </w:tr>
      <w:tr w:rsidR="001A2FFA" w:rsidRPr="001A2FFA" w14:paraId="7A647B5D" w14:textId="77777777" w:rsidTr="0095211B">
        <w:tc>
          <w:tcPr>
            <w:tcW w:w="1435" w:type="dxa"/>
          </w:tcPr>
          <w:p w14:paraId="2254A44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242F51D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Funding</w:t>
            </w:r>
          </w:p>
        </w:tc>
        <w:tc>
          <w:tcPr>
            <w:tcW w:w="6025" w:type="dxa"/>
          </w:tcPr>
          <w:p w14:paraId="4663B6B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funding including issues with grant rigidity</w:t>
            </w:r>
          </w:p>
        </w:tc>
      </w:tr>
      <w:tr w:rsidR="001A2FFA" w:rsidRPr="001A2FFA" w14:paraId="2AA9EF33" w14:textId="77777777" w:rsidTr="0095211B">
        <w:tc>
          <w:tcPr>
            <w:tcW w:w="1435" w:type="dxa"/>
          </w:tcPr>
          <w:p w14:paraId="7BDDA188"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008ADD44"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Grant time lag</w:t>
            </w:r>
          </w:p>
        </w:tc>
        <w:tc>
          <w:tcPr>
            <w:tcW w:w="6025" w:type="dxa"/>
          </w:tcPr>
          <w:p w14:paraId="6A571ABF"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the long time period between applying for the grant and starting the project</w:t>
            </w:r>
          </w:p>
        </w:tc>
      </w:tr>
      <w:tr w:rsidR="001A2FFA" w:rsidRPr="001A2FFA" w14:paraId="1EDA34A2" w14:textId="77777777" w:rsidTr="0095211B">
        <w:tc>
          <w:tcPr>
            <w:tcW w:w="1435" w:type="dxa"/>
          </w:tcPr>
          <w:p w14:paraId="544A465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4079C7D5"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Sustainability</w:t>
            </w:r>
          </w:p>
        </w:tc>
        <w:tc>
          <w:tcPr>
            <w:tcW w:w="6025" w:type="dxa"/>
          </w:tcPr>
          <w:p w14:paraId="1AF407C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the sustainability of the research – what happens to all of the components of this (including the partnership) after the 3 years of the grant is over?</w:t>
            </w:r>
          </w:p>
        </w:tc>
      </w:tr>
      <w:tr w:rsidR="001A2FFA" w:rsidRPr="001A2FFA" w14:paraId="5624906B" w14:textId="77777777" w:rsidTr="0095211B">
        <w:tc>
          <w:tcPr>
            <w:tcW w:w="1435" w:type="dxa"/>
          </w:tcPr>
          <w:p w14:paraId="3421E333"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1315E5C9"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Community context</w:t>
            </w:r>
          </w:p>
        </w:tc>
        <w:tc>
          <w:tcPr>
            <w:tcW w:w="6025" w:type="dxa"/>
          </w:tcPr>
          <w:p w14:paraId="4A1D03B8"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Information about the community that is important to inform the way we do this project together, including cultural aspects, socioeconomic situation, relationships, and history.</w:t>
            </w:r>
          </w:p>
        </w:tc>
      </w:tr>
      <w:tr w:rsidR="001A2FFA" w:rsidRPr="001A2FFA" w14:paraId="414E3E4C" w14:textId="77777777" w:rsidTr="0095211B">
        <w:tc>
          <w:tcPr>
            <w:tcW w:w="1435" w:type="dxa"/>
          </w:tcPr>
          <w:p w14:paraId="53C54C43"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530B75B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Concern about representation</w:t>
            </w:r>
          </w:p>
        </w:tc>
        <w:tc>
          <w:tcPr>
            <w:tcW w:w="6025" w:type="dxa"/>
          </w:tcPr>
          <w:p w14:paraId="79AEC87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how the project is represented; UW and HU’s reputations in the community</w:t>
            </w:r>
          </w:p>
        </w:tc>
      </w:tr>
      <w:tr w:rsidR="001A2FFA" w:rsidRPr="001A2FFA" w14:paraId="13F12752" w14:textId="77777777" w:rsidTr="0095211B">
        <w:tc>
          <w:tcPr>
            <w:tcW w:w="1435" w:type="dxa"/>
          </w:tcPr>
          <w:p w14:paraId="71B8D02F"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5A178E7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Multiple perspectives</w:t>
            </w:r>
          </w:p>
        </w:tc>
        <w:tc>
          <w:tcPr>
            <w:tcW w:w="6025" w:type="dxa"/>
          </w:tcPr>
          <w:p w14:paraId="54C13A94"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The community is made up of many different groups and cultures – references to the diversity of perspectives in the community</w:t>
            </w:r>
          </w:p>
        </w:tc>
      </w:tr>
      <w:tr w:rsidR="001A2FFA" w:rsidRPr="001A2FFA" w14:paraId="2F5187D8" w14:textId="77777777" w:rsidTr="0095211B">
        <w:tc>
          <w:tcPr>
            <w:tcW w:w="1435" w:type="dxa"/>
          </w:tcPr>
          <w:p w14:paraId="257E295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7403C89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Practical actions</w:t>
            </w:r>
          </w:p>
        </w:tc>
        <w:tc>
          <w:tcPr>
            <w:tcW w:w="6025" w:type="dxa"/>
          </w:tcPr>
          <w:p w14:paraId="503228B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the need for information on practical actions individuals in the community can take to better their health</w:t>
            </w:r>
          </w:p>
        </w:tc>
      </w:tr>
      <w:tr w:rsidR="001A2FFA" w:rsidRPr="001A2FFA" w14:paraId="0332C348" w14:textId="77777777" w:rsidTr="0095211B">
        <w:tc>
          <w:tcPr>
            <w:tcW w:w="1435" w:type="dxa"/>
          </w:tcPr>
          <w:p w14:paraId="65D5314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3ECF3E8A"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Community strengths</w:t>
            </w:r>
          </w:p>
        </w:tc>
        <w:tc>
          <w:tcPr>
            <w:tcW w:w="6025" w:type="dxa"/>
          </w:tcPr>
          <w:p w14:paraId="2F9F094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community strengths</w:t>
            </w:r>
          </w:p>
        </w:tc>
      </w:tr>
      <w:tr w:rsidR="001A2FFA" w:rsidRPr="001A2FFA" w14:paraId="2C64C1B8" w14:textId="77777777" w:rsidTr="0095211B">
        <w:tc>
          <w:tcPr>
            <w:tcW w:w="1435" w:type="dxa"/>
          </w:tcPr>
          <w:p w14:paraId="4D7A4B44"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67A64CB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Elders</w:t>
            </w:r>
          </w:p>
        </w:tc>
        <w:tc>
          <w:tcPr>
            <w:tcW w:w="6025" w:type="dxa"/>
          </w:tcPr>
          <w:p w14:paraId="71D8FCBD"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Potential or actual roles of elders in the community or project</w:t>
            </w:r>
          </w:p>
        </w:tc>
      </w:tr>
      <w:tr w:rsidR="001A2FFA" w:rsidRPr="001A2FFA" w14:paraId="6AAA89FD" w14:textId="77777777" w:rsidTr="0095211B">
        <w:tc>
          <w:tcPr>
            <w:tcW w:w="1435" w:type="dxa"/>
          </w:tcPr>
          <w:p w14:paraId="3068686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307A89A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Youth</w:t>
            </w:r>
          </w:p>
        </w:tc>
        <w:tc>
          <w:tcPr>
            <w:tcW w:w="6025" w:type="dxa"/>
          </w:tcPr>
          <w:p w14:paraId="680032D2"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Potential or actual roles of youth in the community or project</w:t>
            </w:r>
          </w:p>
        </w:tc>
      </w:tr>
      <w:tr w:rsidR="001A2FFA" w:rsidRPr="001A2FFA" w14:paraId="44508FE7" w14:textId="77777777" w:rsidTr="0095211B">
        <w:tc>
          <w:tcPr>
            <w:tcW w:w="1435" w:type="dxa"/>
          </w:tcPr>
          <w:p w14:paraId="2B7C97BD"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65D5E58E"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Community motivations</w:t>
            </w:r>
          </w:p>
        </w:tc>
        <w:tc>
          <w:tcPr>
            <w:tcW w:w="6025" w:type="dxa"/>
          </w:tcPr>
          <w:p w14:paraId="59D465C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Motivations for community members to participate in the partnership (from community partner interviews)</w:t>
            </w:r>
          </w:p>
        </w:tc>
      </w:tr>
      <w:tr w:rsidR="001A2FFA" w:rsidRPr="001A2FFA" w14:paraId="1D99BDC7" w14:textId="77777777" w:rsidTr="0095211B">
        <w:tc>
          <w:tcPr>
            <w:tcW w:w="1435" w:type="dxa"/>
          </w:tcPr>
          <w:p w14:paraId="61AD753F"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5677D40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Learning</w:t>
            </w:r>
          </w:p>
        </w:tc>
        <w:tc>
          <w:tcPr>
            <w:tcW w:w="6025" w:type="dxa"/>
          </w:tcPr>
          <w:p w14:paraId="4E0E81E3"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community members wanting to learn more (from community partner interviews)</w:t>
            </w:r>
          </w:p>
        </w:tc>
      </w:tr>
      <w:tr w:rsidR="001A2FFA" w:rsidRPr="001A2FFA" w14:paraId="60AE5E8D" w14:textId="77777777" w:rsidTr="0095211B">
        <w:tc>
          <w:tcPr>
            <w:tcW w:w="1435" w:type="dxa"/>
          </w:tcPr>
          <w:p w14:paraId="2E124CBE"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0F16D983"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Tribal context</w:t>
            </w:r>
          </w:p>
        </w:tc>
        <w:tc>
          <w:tcPr>
            <w:tcW w:w="6025" w:type="dxa"/>
          </w:tcPr>
          <w:p w14:paraId="7AA32AD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Similar to Community context, but tribal specific.</w:t>
            </w:r>
          </w:p>
        </w:tc>
      </w:tr>
      <w:tr w:rsidR="001A2FFA" w:rsidRPr="001A2FFA" w14:paraId="75DAFFCE" w14:textId="77777777" w:rsidTr="0095211B">
        <w:tc>
          <w:tcPr>
            <w:tcW w:w="1435" w:type="dxa"/>
          </w:tcPr>
          <w:p w14:paraId="1C6E442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4D3877F6"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Academics clarity of intent</w:t>
            </w:r>
          </w:p>
        </w:tc>
        <w:tc>
          <w:tcPr>
            <w:tcW w:w="6025" w:type="dxa"/>
          </w:tcPr>
          <w:p w14:paraId="0A5EE745"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Intentions of academics in participating in the partnership (from academic partner interviews)</w:t>
            </w:r>
          </w:p>
        </w:tc>
      </w:tr>
      <w:tr w:rsidR="001A2FFA" w:rsidRPr="001A2FFA" w14:paraId="6A1E3D91" w14:textId="77777777" w:rsidTr="0095211B">
        <w:tc>
          <w:tcPr>
            <w:tcW w:w="1435" w:type="dxa"/>
          </w:tcPr>
          <w:p w14:paraId="6D947573"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736AA11B"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Academics learning</w:t>
            </w:r>
          </w:p>
        </w:tc>
        <w:tc>
          <w:tcPr>
            <w:tcW w:w="6025" w:type="dxa"/>
          </w:tcPr>
          <w:p w14:paraId="5CB36B0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academics wanting to learn more (from academic partner interviews)</w:t>
            </w:r>
          </w:p>
        </w:tc>
      </w:tr>
      <w:tr w:rsidR="001A2FFA" w:rsidRPr="001A2FFA" w14:paraId="52124D93" w14:textId="77777777" w:rsidTr="0095211B">
        <w:tc>
          <w:tcPr>
            <w:tcW w:w="1435" w:type="dxa"/>
          </w:tcPr>
          <w:p w14:paraId="252CC2D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Secondary</w:t>
            </w:r>
          </w:p>
        </w:tc>
        <w:tc>
          <w:tcPr>
            <w:tcW w:w="1890" w:type="dxa"/>
          </w:tcPr>
          <w:p w14:paraId="413B597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Issue identification</w:t>
            </w:r>
          </w:p>
        </w:tc>
        <w:tc>
          <w:tcPr>
            <w:tcW w:w="6025" w:type="dxa"/>
          </w:tcPr>
          <w:p w14:paraId="1CE32BC1"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How academics describe issue identification (from academic partner interviews)</w:t>
            </w:r>
          </w:p>
        </w:tc>
      </w:tr>
      <w:tr w:rsidR="001A2FFA" w:rsidRPr="001A2FFA" w14:paraId="6C706AC6" w14:textId="77777777" w:rsidTr="0095211B">
        <w:tc>
          <w:tcPr>
            <w:tcW w:w="1435" w:type="dxa"/>
          </w:tcPr>
          <w:p w14:paraId="2336DEA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0B08E692"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Community capacity building</w:t>
            </w:r>
          </w:p>
        </w:tc>
        <w:tc>
          <w:tcPr>
            <w:tcW w:w="6025" w:type="dxa"/>
          </w:tcPr>
          <w:p w14:paraId="6F82151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community capacity building</w:t>
            </w:r>
          </w:p>
        </w:tc>
      </w:tr>
      <w:tr w:rsidR="001A2FFA" w:rsidRPr="001A2FFA" w14:paraId="75F8CB0C" w14:textId="77777777" w:rsidTr="0095211B">
        <w:tc>
          <w:tcPr>
            <w:tcW w:w="1435" w:type="dxa"/>
          </w:tcPr>
          <w:p w14:paraId="2FBD1029"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lastRenderedPageBreak/>
              <w:t>Primary</w:t>
            </w:r>
          </w:p>
        </w:tc>
        <w:tc>
          <w:tcPr>
            <w:tcW w:w="1890" w:type="dxa"/>
          </w:tcPr>
          <w:p w14:paraId="0321D3D5"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Academic presence in community</w:t>
            </w:r>
          </w:p>
        </w:tc>
        <w:tc>
          <w:tcPr>
            <w:tcW w:w="6025" w:type="dxa"/>
          </w:tcPr>
          <w:p w14:paraId="43C84B2D"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how academics should be present in the community</w:t>
            </w:r>
          </w:p>
        </w:tc>
      </w:tr>
      <w:tr w:rsidR="001A2FFA" w:rsidRPr="001A2FFA" w14:paraId="3E129B40" w14:textId="77777777" w:rsidTr="0095211B">
        <w:tc>
          <w:tcPr>
            <w:tcW w:w="1435" w:type="dxa"/>
          </w:tcPr>
          <w:p w14:paraId="64928A1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64C767A5"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Concrete suggestions/ideas</w:t>
            </w:r>
          </w:p>
        </w:tc>
        <w:tc>
          <w:tcPr>
            <w:tcW w:w="6025" w:type="dxa"/>
          </w:tcPr>
          <w:p w14:paraId="50E00AFE"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This code is to keep track of concrete suggestions or ideas interviewees had for improving the partnership</w:t>
            </w:r>
          </w:p>
        </w:tc>
      </w:tr>
      <w:tr w:rsidR="001A2FFA" w:rsidRPr="001A2FFA" w14:paraId="48E52DC8" w14:textId="77777777" w:rsidTr="0095211B">
        <w:tc>
          <w:tcPr>
            <w:tcW w:w="1435" w:type="dxa"/>
          </w:tcPr>
          <w:p w14:paraId="6ADAAC15"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6208868E"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Visions</w:t>
            </w:r>
          </w:p>
        </w:tc>
        <w:tc>
          <w:tcPr>
            <w:tcW w:w="6025" w:type="dxa"/>
          </w:tcPr>
          <w:p w14:paraId="7C1EE932"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This code includes answers to the question “What is your vision for this project?”</w:t>
            </w:r>
          </w:p>
        </w:tc>
      </w:tr>
      <w:tr w:rsidR="001A2FFA" w:rsidRPr="001A2FFA" w14:paraId="5F4E9122" w14:textId="77777777" w:rsidTr="0095211B">
        <w:tc>
          <w:tcPr>
            <w:tcW w:w="1435" w:type="dxa"/>
          </w:tcPr>
          <w:p w14:paraId="1B1A2CFF"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563CF639"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Goals</w:t>
            </w:r>
          </w:p>
        </w:tc>
        <w:tc>
          <w:tcPr>
            <w:tcW w:w="6025" w:type="dxa"/>
          </w:tcPr>
          <w:p w14:paraId="7BBEBC6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This code includes answers to the question “What is your goal in participating this project?”</w:t>
            </w:r>
          </w:p>
        </w:tc>
      </w:tr>
      <w:tr w:rsidR="001A2FFA" w:rsidRPr="001A2FFA" w14:paraId="1A3B724A" w14:textId="77777777" w:rsidTr="0095211B">
        <w:tc>
          <w:tcPr>
            <w:tcW w:w="1435" w:type="dxa"/>
          </w:tcPr>
          <w:p w14:paraId="6422BDC2"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23D6B7B6"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Definition of trust</w:t>
            </w:r>
          </w:p>
        </w:tc>
        <w:tc>
          <w:tcPr>
            <w:tcW w:w="6025" w:type="dxa"/>
          </w:tcPr>
          <w:p w14:paraId="7F527AB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This code includes answers to the question “What does trust look like to you?”</w:t>
            </w:r>
          </w:p>
        </w:tc>
      </w:tr>
      <w:tr w:rsidR="001A2FFA" w:rsidRPr="001A2FFA" w14:paraId="5268B3CB" w14:textId="77777777" w:rsidTr="0095211B">
        <w:tc>
          <w:tcPr>
            <w:tcW w:w="1435" w:type="dxa"/>
          </w:tcPr>
          <w:p w14:paraId="759C3B40"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0599F333" w14:textId="77777777" w:rsidR="001A2FFA" w:rsidRPr="001A2FFA" w:rsidRDefault="001A2FFA" w:rsidP="001A2FFA">
            <w:pPr>
              <w:rPr>
                <w:rFonts w:ascii="Arial" w:eastAsia="Times New Roman" w:hAnsi="Arial" w:cs="Arial"/>
                <w:b/>
                <w:sz w:val="20"/>
                <w:szCs w:val="20"/>
              </w:rPr>
            </w:pPr>
            <w:r w:rsidRPr="001A2FFA">
              <w:rPr>
                <w:rFonts w:ascii="Arial" w:eastAsia="Times New Roman" w:hAnsi="Arial" w:cs="Arial"/>
                <w:b/>
                <w:sz w:val="20"/>
                <w:szCs w:val="20"/>
              </w:rPr>
              <w:t>Formalization</w:t>
            </w:r>
          </w:p>
        </w:tc>
        <w:tc>
          <w:tcPr>
            <w:tcW w:w="6025" w:type="dxa"/>
          </w:tcPr>
          <w:p w14:paraId="7E13A332"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References to formal roles, processes, and agreements.</w:t>
            </w:r>
          </w:p>
        </w:tc>
      </w:tr>
    </w:tbl>
    <w:p w14:paraId="15C64BB0" w14:textId="77777777" w:rsidR="001A2FFA" w:rsidRPr="001A2FFA" w:rsidRDefault="001A2FFA" w:rsidP="001A2FFA">
      <w:pPr>
        <w:rPr>
          <w:rFonts w:ascii="Arial" w:eastAsia="Times New Roman" w:hAnsi="Arial" w:cs="Arial"/>
          <w:sz w:val="20"/>
          <w:szCs w:val="20"/>
        </w:rPr>
      </w:pPr>
    </w:p>
    <w:p w14:paraId="735269B7"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Codes added:</w:t>
      </w:r>
    </w:p>
    <w:tbl>
      <w:tblPr>
        <w:tblStyle w:val="TableGrid"/>
        <w:tblW w:w="9355" w:type="dxa"/>
        <w:tblLook w:val="04A0" w:firstRow="1" w:lastRow="0" w:firstColumn="1" w:lastColumn="0" w:noHBand="0" w:noVBand="1"/>
      </w:tblPr>
      <w:tblGrid>
        <w:gridCol w:w="1435"/>
        <w:gridCol w:w="1890"/>
        <w:gridCol w:w="6030"/>
      </w:tblGrid>
      <w:tr w:rsidR="001A2FFA" w:rsidRPr="001A2FFA" w14:paraId="539E4AE2" w14:textId="77777777" w:rsidTr="0095211B">
        <w:tc>
          <w:tcPr>
            <w:tcW w:w="1435" w:type="dxa"/>
          </w:tcPr>
          <w:p w14:paraId="3BAE75F6"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Code type</w:t>
            </w:r>
          </w:p>
        </w:tc>
        <w:tc>
          <w:tcPr>
            <w:tcW w:w="1890" w:type="dxa"/>
          </w:tcPr>
          <w:p w14:paraId="2EF0282C"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Code</w:t>
            </w:r>
          </w:p>
        </w:tc>
        <w:tc>
          <w:tcPr>
            <w:tcW w:w="6030" w:type="dxa"/>
          </w:tcPr>
          <w:p w14:paraId="4E41F69A" w14:textId="77777777" w:rsidR="001A2FFA" w:rsidRPr="001A2FFA" w:rsidRDefault="001A2FFA" w:rsidP="001A2FFA">
            <w:pPr>
              <w:rPr>
                <w:rFonts w:ascii="Arial" w:eastAsia="Times New Roman" w:hAnsi="Arial" w:cs="Arial"/>
                <w:sz w:val="20"/>
                <w:szCs w:val="20"/>
              </w:rPr>
            </w:pPr>
            <w:r w:rsidRPr="001A2FFA">
              <w:rPr>
                <w:rFonts w:ascii="Arial" w:eastAsia="Times New Roman" w:hAnsi="Arial" w:cs="Arial"/>
                <w:sz w:val="20"/>
                <w:szCs w:val="20"/>
              </w:rPr>
              <w:t>Meaning</w:t>
            </w:r>
          </w:p>
        </w:tc>
      </w:tr>
      <w:tr w:rsidR="001A2FFA" w:rsidRPr="001A2FFA" w14:paraId="7B26D43C" w14:textId="77777777" w:rsidTr="0095211B">
        <w:tc>
          <w:tcPr>
            <w:tcW w:w="1435" w:type="dxa"/>
          </w:tcPr>
          <w:p w14:paraId="7AABB13D"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27BB7C01" w14:textId="77777777" w:rsidR="001A2FFA" w:rsidRPr="001A2FFA" w:rsidRDefault="001A2FFA" w:rsidP="001A2FFA">
            <w:pPr>
              <w:contextualSpacing/>
              <w:rPr>
                <w:rFonts w:ascii="Arial" w:eastAsia="Times New Roman" w:hAnsi="Arial" w:cs="Arial"/>
                <w:b/>
                <w:sz w:val="20"/>
                <w:szCs w:val="20"/>
              </w:rPr>
            </w:pPr>
            <w:r w:rsidRPr="001A2FFA">
              <w:rPr>
                <w:rFonts w:ascii="Arial" w:eastAsia="Times New Roman" w:hAnsi="Arial" w:cs="Arial"/>
                <w:b/>
                <w:sz w:val="20"/>
                <w:szCs w:val="20"/>
              </w:rPr>
              <w:t>Trust Built – Potential or General</w:t>
            </w:r>
          </w:p>
        </w:tc>
        <w:tc>
          <w:tcPr>
            <w:tcW w:w="6030" w:type="dxa"/>
          </w:tcPr>
          <w:p w14:paraId="5E90FC2B"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Examples of ways that trust has been built within the community or between the community and outsiders in general, or ways that trust could be built</w:t>
            </w:r>
          </w:p>
        </w:tc>
      </w:tr>
      <w:tr w:rsidR="001A2FFA" w:rsidRPr="001A2FFA" w14:paraId="56BCED0E" w14:textId="77777777" w:rsidTr="0095211B">
        <w:tc>
          <w:tcPr>
            <w:tcW w:w="1435" w:type="dxa"/>
          </w:tcPr>
          <w:p w14:paraId="1BA9011A"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3D9C0D4D" w14:textId="77777777" w:rsidR="001A2FFA" w:rsidRPr="001A2FFA" w:rsidRDefault="001A2FFA" w:rsidP="001A2FFA">
            <w:pPr>
              <w:contextualSpacing/>
              <w:rPr>
                <w:rFonts w:ascii="Arial" w:eastAsia="Times New Roman" w:hAnsi="Arial" w:cs="Arial"/>
                <w:b/>
                <w:sz w:val="20"/>
                <w:szCs w:val="20"/>
              </w:rPr>
            </w:pPr>
            <w:r w:rsidRPr="001A2FFA">
              <w:rPr>
                <w:rFonts w:ascii="Arial" w:eastAsia="Times New Roman" w:hAnsi="Arial" w:cs="Arial"/>
                <w:b/>
                <w:sz w:val="20"/>
                <w:szCs w:val="20"/>
              </w:rPr>
              <w:t>Trust Eroded – Potential or General</w:t>
            </w:r>
          </w:p>
        </w:tc>
        <w:tc>
          <w:tcPr>
            <w:tcW w:w="6030" w:type="dxa"/>
          </w:tcPr>
          <w:p w14:paraId="26B7080F"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Examples of ways that trust has been eroded within the community or between the community and outsiders in general, or ways that trust could be eroded</w:t>
            </w:r>
          </w:p>
        </w:tc>
      </w:tr>
      <w:tr w:rsidR="001A2FFA" w:rsidRPr="001A2FFA" w14:paraId="3CC3FC7C" w14:textId="77777777" w:rsidTr="0095211B">
        <w:tc>
          <w:tcPr>
            <w:tcW w:w="1435" w:type="dxa"/>
          </w:tcPr>
          <w:p w14:paraId="28DF2879"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Primary</w:t>
            </w:r>
          </w:p>
        </w:tc>
        <w:tc>
          <w:tcPr>
            <w:tcW w:w="1890" w:type="dxa"/>
          </w:tcPr>
          <w:p w14:paraId="14208380" w14:textId="77777777" w:rsidR="001A2FFA" w:rsidRPr="001A2FFA" w:rsidRDefault="001A2FFA" w:rsidP="001A2FFA">
            <w:pPr>
              <w:contextualSpacing/>
              <w:rPr>
                <w:rFonts w:ascii="Arial" w:eastAsia="Times New Roman" w:hAnsi="Arial" w:cs="Arial"/>
                <w:b/>
                <w:sz w:val="20"/>
                <w:szCs w:val="20"/>
              </w:rPr>
            </w:pPr>
            <w:r w:rsidRPr="001A2FFA">
              <w:rPr>
                <w:rFonts w:ascii="Arial" w:eastAsia="Times New Roman" w:hAnsi="Arial" w:cs="Arial"/>
                <w:b/>
                <w:sz w:val="20"/>
                <w:szCs w:val="20"/>
              </w:rPr>
              <w:t>Dialogue</w:t>
            </w:r>
          </w:p>
        </w:tc>
        <w:tc>
          <w:tcPr>
            <w:tcW w:w="6030" w:type="dxa"/>
          </w:tcPr>
          <w:p w14:paraId="3E617B4D" w14:textId="77777777" w:rsidR="001A2FFA" w:rsidRPr="001A2FFA" w:rsidRDefault="001A2FFA" w:rsidP="001A2FFA">
            <w:pPr>
              <w:contextualSpacing/>
              <w:rPr>
                <w:rFonts w:ascii="Arial" w:eastAsia="Times New Roman" w:hAnsi="Arial" w:cs="Arial"/>
                <w:sz w:val="20"/>
                <w:szCs w:val="20"/>
              </w:rPr>
            </w:pPr>
            <w:r w:rsidRPr="001A2FFA">
              <w:rPr>
                <w:rFonts w:ascii="Arial" w:eastAsia="Times New Roman" w:hAnsi="Arial" w:cs="Arial"/>
                <w:sz w:val="20"/>
                <w:szCs w:val="20"/>
              </w:rPr>
              <w:t>References to frequency of communication and quality of communication</w:t>
            </w:r>
          </w:p>
        </w:tc>
      </w:tr>
    </w:tbl>
    <w:p w14:paraId="4912EE25" w14:textId="75628A1B" w:rsidR="00A142E0" w:rsidRPr="001A2FFA" w:rsidRDefault="0062680A" w:rsidP="001A2FFA">
      <w:pPr>
        <w:widowControl w:val="0"/>
        <w:spacing w:line="480" w:lineRule="auto"/>
        <w:contextualSpacing/>
        <w:outlineLvl w:val="0"/>
        <w:rPr>
          <w:rFonts w:ascii="Arial" w:eastAsia="Times New Roman" w:hAnsi="Arial" w:cs="Arial"/>
          <w:b/>
          <w:color w:val="000000" w:themeColor="text1"/>
          <w:sz w:val="20"/>
          <w:szCs w:val="20"/>
        </w:rPr>
      </w:pPr>
    </w:p>
    <w:sectPr w:rsidR="00A142E0" w:rsidRPr="001A2FFA" w:rsidSect="00747D9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8AF27" w14:textId="77777777" w:rsidR="0062680A" w:rsidRDefault="0062680A">
      <w:r>
        <w:separator/>
      </w:r>
    </w:p>
  </w:endnote>
  <w:endnote w:type="continuationSeparator" w:id="0">
    <w:p w14:paraId="1C15B2DB" w14:textId="77777777" w:rsidR="0062680A" w:rsidRDefault="0062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61839334"/>
      <w:docPartObj>
        <w:docPartGallery w:val="Page Numbers (Bottom of Page)"/>
        <w:docPartUnique/>
      </w:docPartObj>
    </w:sdtPr>
    <w:sdtEndPr>
      <w:rPr>
        <w:rStyle w:val="PageNumber"/>
      </w:rPr>
    </w:sdtEndPr>
    <w:sdtContent>
      <w:p w14:paraId="2ABEA68D" w14:textId="77777777" w:rsidR="0091152F" w:rsidRDefault="001A2FFA" w:rsidP="001821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083D72" w14:textId="77777777" w:rsidR="0091152F" w:rsidRDefault="0062680A" w:rsidP="009115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36369444"/>
      <w:docPartObj>
        <w:docPartGallery w:val="Page Numbers (Bottom of Page)"/>
        <w:docPartUnique/>
      </w:docPartObj>
    </w:sdtPr>
    <w:sdtEndPr>
      <w:rPr>
        <w:rStyle w:val="PageNumber"/>
      </w:rPr>
    </w:sdtEndPr>
    <w:sdtContent>
      <w:p w14:paraId="2F949D76" w14:textId="77777777" w:rsidR="0091152F" w:rsidRDefault="001A2FFA" w:rsidP="001821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69795A" w14:textId="77777777" w:rsidR="0091152F" w:rsidRDefault="0062680A" w:rsidP="0091152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F6199" w14:textId="77777777" w:rsidR="0062680A" w:rsidRDefault="0062680A">
      <w:r>
        <w:separator/>
      </w:r>
    </w:p>
  </w:footnote>
  <w:footnote w:type="continuationSeparator" w:id="0">
    <w:p w14:paraId="611E5DF9" w14:textId="77777777" w:rsidR="0062680A" w:rsidRDefault="006268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164E0"/>
    <w:multiLevelType w:val="hybridMultilevel"/>
    <w:tmpl w:val="FE6E7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4B22D8"/>
    <w:multiLevelType w:val="hybridMultilevel"/>
    <w:tmpl w:val="C856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386E7F"/>
    <w:multiLevelType w:val="hybridMultilevel"/>
    <w:tmpl w:val="F15297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FA"/>
    <w:rsid w:val="001A2FFA"/>
    <w:rsid w:val="002D6796"/>
    <w:rsid w:val="0062680A"/>
    <w:rsid w:val="00747D90"/>
    <w:rsid w:val="00873BB8"/>
    <w:rsid w:val="00BA0CFE"/>
    <w:rsid w:val="00D46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76F4EB"/>
  <w14:defaultImageDpi w14:val="32767"/>
  <w15:chartTrackingRefBased/>
  <w15:docId w15:val="{7777D1FF-B4F6-2D49-97F2-0026E228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2FFA"/>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1A2FFA"/>
    <w:rPr>
      <w:rFonts w:ascii="Times New Roman" w:eastAsia="Times New Roman" w:hAnsi="Times New Roman" w:cs="Times New Roman"/>
    </w:rPr>
  </w:style>
  <w:style w:type="character" w:styleId="PageNumber">
    <w:name w:val="page number"/>
    <w:basedOn w:val="DefaultParagraphFont"/>
    <w:uiPriority w:val="99"/>
    <w:semiHidden/>
    <w:unhideWhenUsed/>
    <w:rsid w:val="001A2FFA"/>
  </w:style>
  <w:style w:type="table" w:styleId="TableGrid">
    <w:name w:val="Table Grid"/>
    <w:basedOn w:val="TableNormal"/>
    <w:uiPriority w:val="39"/>
    <w:rsid w:val="001A2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3566</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Stampfer</dc:creator>
  <cp:keywords/>
  <dc:description/>
  <cp:lastModifiedBy>Orly Stampfer</cp:lastModifiedBy>
  <cp:revision>2</cp:revision>
  <dcterms:created xsi:type="dcterms:W3CDTF">2019-10-25T20:33:00Z</dcterms:created>
  <dcterms:modified xsi:type="dcterms:W3CDTF">2019-10-25T22:16:00Z</dcterms:modified>
</cp:coreProperties>
</file>