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8B1D0" w14:textId="77777777" w:rsidR="00057D80" w:rsidRPr="00C24553" w:rsidRDefault="00057D80" w:rsidP="00057D80">
      <w:pPr>
        <w:pStyle w:val="MDPI23heading3"/>
        <w:rPr>
          <w:b/>
          <w:color w:val="auto"/>
        </w:rPr>
      </w:pPr>
      <w:r w:rsidRPr="00C24553">
        <w:rPr>
          <w:b/>
          <w:color w:val="auto"/>
        </w:rPr>
        <w:t>Source of Funds</w:t>
      </w:r>
    </w:p>
    <w:p w14:paraId="72BA5446" w14:textId="77777777" w:rsidR="00057D80" w:rsidRPr="00AC5040" w:rsidRDefault="00057D80" w:rsidP="00057D80">
      <w:pPr>
        <w:pStyle w:val="MDPI31text"/>
        <w:rPr>
          <w:color w:val="auto"/>
        </w:rPr>
      </w:pPr>
      <w:r w:rsidRPr="00AC5040">
        <w:rPr>
          <w:color w:val="auto"/>
        </w:rPr>
        <w:t>This latent variable is measured according to the following two indicators (observed variables): 1) family support and 2) income. The participants were asked how much financial support their families provided, and the possible answers were “none,” “25% of the whole cost of living,” “around 75% of the whole cost of living” and “100% of the whole cost of living.” Some students obtained funding from scholarships, working as research assistants at the university, or working outside the university. Accordingly, another question was formulated for this latent variable pertaining to the amount of monthly income (excluding family support). The possible responses were “none (no income),” “RM1000-2000 per month,” “RM2001-4000 per month,” “RM4001-6000 per month” and “more than RM6000.” [RM: Ringgit Malaysia]</w:t>
      </w:r>
    </w:p>
    <w:p w14:paraId="713FE7DB" w14:textId="77777777" w:rsidR="00057D80" w:rsidRPr="00C24553" w:rsidRDefault="00057D80" w:rsidP="00057D80">
      <w:pPr>
        <w:pStyle w:val="MDPI23heading3"/>
        <w:rPr>
          <w:b/>
          <w:color w:val="auto"/>
        </w:rPr>
      </w:pPr>
      <w:r w:rsidRPr="00C24553">
        <w:rPr>
          <w:b/>
          <w:color w:val="auto"/>
        </w:rPr>
        <w:t>Demographics</w:t>
      </w:r>
    </w:p>
    <w:p w14:paraId="3BAEA216" w14:textId="282D81E6" w:rsidR="00057D80" w:rsidRPr="00AC5040" w:rsidRDefault="00057D80" w:rsidP="00057D80">
      <w:pPr>
        <w:pStyle w:val="MDPI31text"/>
        <w:rPr>
          <w:rFonts w:eastAsia="Calibri" w:cs="Arial"/>
          <w:color w:val="auto"/>
          <w:lang w:eastAsia="en-US"/>
        </w:rPr>
      </w:pPr>
      <w:r w:rsidRPr="00AC5040">
        <w:rPr>
          <w:color w:val="auto"/>
        </w:rPr>
        <w:t xml:space="preserve">This latent variable is measured according to the following two main variables: </w:t>
      </w:r>
      <w:r w:rsidR="00E80A03">
        <w:rPr>
          <w:color w:val="auto"/>
        </w:rPr>
        <w:t>(</w:t>
      </w:r>
      <w:r w:rsidRPr="00AC5040">
        <w:rPr>
          <w:color w:val="auto"/>
        </w:rPr>
        <w:t xml:space="preserve">1) age and </w:t>
      </w:r>
      <w:r w:rsidR="00E80A03">
        <w:rPr>
          <w:color w:val="auto"/>
        </w:rPr>
        <w:t>(</w:t>
      </w:r>
      <w:r w:rsidRPr="00AC5040">
        <w:rPr>
          <w:color w:val="auto"/>
        </w:rPr>
        <w:t xml:space="preserve">2) work experience. The age categories were: </w:t>
      </w:r>
      <w:r w:rsidR="00E80A03">
        <w:rPr>
          <w:color w:val="auto"/>
        </w:rPr>
        <w:t>(</w:t>
      </w:r>
      <w:r w:rsidRPr="00AC5040">
        <w:rPr>
          <w:color w:val="auto"/>
        </w:rPr>
        <w:t xml:space="preserve">a) less than 21 years old, </w:t>
      </w:r>
      <w:r w:rsidR="00E80A03">
        <w:rPr>
          <w:color w:val="auto"/>
        </w:rPr>
        <w:t>(</w:t>
      </w:r>
      <w:r w:rsidRPr="00AC5040">
        <w:rPr>
          <w:color w:val="auto"/>
        </w:rPr>
        <w:t>b) 21</w:t>
      </w:r>
      <w:r w:rsidR="00E80A03">
        <w:rPr>
          <w:color w:val="auto"/>
        </w:rPr>
        <w:t>–</w:t>
      </w:r>
      <w:r w:rsidRPr="00AC5040">
        <w:rPr>
          <w:color w:val="auto"/>
        </w:rPr>
        <w:t xml:space="preserve">25 years old, </w:t>
      </w:r>
      <w:r w:rsidR="00E80A03">
        <w:rPr>
          <w:color w:val="auto"/>
        </w:rPr>
        <w:t>(</w:t>
      </w:r>
      <w:r w:rsidRPr="00AC5040">
        <w:rPr>
          <w:color w:val="auto"/>
        </w:rPr>
        <w:t>c) 26</w:t>
      </w:r>
      <w:r w:rsidR="00E80A03">
        <w:rPr>
          <w:color w:val="auto"/>
        </w:rPr>
        <w:t>–</w:t>
      </w:r>
      <w:r w:rsidRPr="00AC5040">
        <w:rPr>
          <w:color w:val="auto"/>
        </w:rPr>
        <w:t xml:space="preserve">30 years old, </w:t>
      </w:r>
      <w:r w:rsidR="00E80A03">
        <w:rPr>
          <w:color w:val="auto"/>
        </w:rPr>
        <w:t>(</w:t>
      </w:r>
      <w:r w:rsidRPr="00AC5040">
        <w:rPr>
          <w:color w:val="auto"/>
        </w:rPr>
        <w:t>d) 31</w:t>
      </w:r>
      <w:r w:rsidR="00E80A03">
        <w:rPr>
          <w:color w:val="auto"/>
        </w:rPr>
        <w:t>–</w:t>
      </w:r>
      <w:r w:rsidRPr="00AC5040">
        <w:rPr>
          <w:color w:val="auto"/>
        </w:rPr>
        <w:t xml:space="preserve">35 years old and </w:t>
      </w:r>
      <w:r w:rsidR="00E80A03">
        <w:rPr>
          <w:color w:val="auto"/>
        </w:rPr>
        <w:t>(</w:t>
      </w:r>
      <w:r w:rsidRPr="00AC5040">
        <w:rPr>
          <w:color w:val="auto"/>
        </w:rPr>
        <w:t>e) over 35 years old. The participants’</w:t>
      </w:r>
      <w:r w:rsidRPr="00AC5040">
        <w:rPr>
          <w:rFonts w:eastAsia="Calibri" w:cs="Arial"/>
          <w:color w:val="auto"/>
          <w:lang w:eastAsia="en-US"/>
        </w:rPr>
        <w:t xml:space="preserve"> job experience was measured based on four categories: </w:t>
      </w:r>
      <w:r w:rsidR="00E80A03">
        <w:rPr>
          <w:color w:val="auto"/>
        </w:rPr>
        <w:t>(</w:t>
      </w:r>
      <w:r w:rsidRPr="00AC5040">
        <w:rPr>
          <w:rFonts w:eastAsia="Calibri" w:cs="Arial"/>
          <w:color w:val="auto"/>
          <w:lang w:eastAsia="en-US"/>
        </w:rPr>
        <w:t xml:space="preserve">a) no job experience, </w:t>
      </w:r>
      <w:r w:rsidR="00E80A03">
        <w:rPr>
          <w:color w:val="auto"/>
        </w:rPr>
        <w:t>(</w:t>
      </w:r>
      <w:r w:rsidRPr="00AC5040">
        <w:rPr>
          <w:rFonts w:eastAsia="Calibri" w:cs="Arial"/>
          <w:color w:val="auto"/>
          <w:lang w:eastAsia="en-US"/>
        </w:rPr>
        <w:t>b) 1</w:t>
      </w:r>
      <w:r w:rsidR="00E80A03">
        <w:rPr>
          <w:color w:val="auto"/>
        </w:rPr>
        <w:t>–</w:t>
      </w:r>
      <w:r w:rsidRPr="00AC5040">
        <w:rPr>
          <w:rFonts w:eastAsia="Calibri" w:cs="Arial"/>
          <w:color w:val="auto"/>
          <w:lang w:eastAsia="en-US"/>
        </w:rPr>
        <w:t xml:space="preserve">3 years, </w:t>
      </w:r>
      <w:r w:rsidR="00E80A03">
        <w:rPr>
          <w:color w:val="auto"/>
        </w:rPr>
        <w:t>(</w:t>
      </w:r>
      <w:r w:rsidRPr="00AC5040">
        <w:rPr>
          <w:rFonts w:eastAsia="Calibri" w:cs="Arial"/>
          <w:color w:val="auto"/>
          <w:lang w:eastAsia="en-US"/>
        </w:rPr>
        <w:t>b) 4</w:t>
      </w:r>
      <w:r w:rsidR="00E80A03">
        <w:rPr>
          <w:color w:val="auto"/>
        </w:rPr>
        <w:t>–</w:t>
      </w:r>
      <w:r w:rsidRPr="00AC5040">
        <w:rPr>
          <w:rFonts w:eastAsia="Calibri" w:cs="Arial"/>
          <w:color w:val="auto"/>
          <w:lang w:eastAsia="en-US"/>
        </w:rPr>
        <w:t xml:space="preserve">6 years, </w:t>
      </w:r>
      <w:r w:rsidR="00E80A03">
        <w:rPr>
          <w:color w:val="auto"/>
        </w:rPr>
        <w:t>(</w:t>
      </w:r>
      <w:r w:rsidRPr="00AC5040">
        <w:rPr>
          <w:rFonts w:eastAsia="Calibri" w:cs="Arial"/>
          <w:color w:val="auto"/>
          <w:lang w:eastAsia="en-US"/>
        </w:rPr>
        <w:t>c) 7</w:t>
      </w:r>
      <w:r w:rsidR="00E80A03">
        <w:rPr>
          <w:color w:val="auto"/>
        </w:rPr>
        <w:t>–</w:t>
      </w:r>
      <w:r w:rsidRPr="00AC5040">
        <w:rPr>
          <w:rFonts w:eastAsia="Calibri" w:cs="Arial"/>
          <w:color w:val="auto"/>
          <w:lang w:eastAsia="en-US"/>
        </w:rPr>
        <w:t>10 years, d) more than 10 years.</w:t>
      </w:r>
    </w:p>
    <w:p w14:paraId="358D04A1" w14:textId="77777777" w:rsidR="00057D80" w:rsidRPr="00C24553" w:rsidRDefault="00057D80" w:rsidP="00057D80">
      <w:pPr>
        <w:pStyle w:val="MDPI23heading3"/>
        <w:rPr>
          <w:b/>
          <w:color w:val="auto"/>
        </w:rPr>
      </w:pPr>
      <w:r w:rsidRPr="00C24553">
        <w:rPr>
          <w:b/>
          <w:color w:val="auto"/>
        </w:rPr>
        <w:t>Lifestyle</w:t>
      </w:r>
    </w:p>
    <w:p w14:paraId="7DF757C5" w14:textId="46C71CB2" w:rsidR="00057D80" w:rsidRPr="00AC5040" w:rsidRDefault="00C7370B" w:rsidP="00057D80">
      <w:pPr>
        <w:pStyle w:val="MDPI31text"/>
        <w:rPr>
          <w:rFonts w:eastAsia="Calibri" w:cs="Arial"/>
          <w:color w:val="auto"/>
          <w:lang w:eastAsia="en-US"/>
        </w:rPr>
      </w:pPr>
      <w:r>
        <w:rPr>
          <w:color w:val="auto"/>
        </w:rPr>
        <w:t>S</w:t>
      </w:r>
      <w:r w:rsidR="00057D80" w:rsidRPr="00AC5040">
        <w:rPr>
          <w:color w:val="auto"/>
        </w:rPr>
        <w:t xml:space="preserve">ix indicators are the latent variables of lifestyle applied in this study, namely social media use, study time, sleep duration, physical activity, working hours and smoking habit. Average social media use (e.g., TV, mobile, tablet, etc.) per day is divided into four categories: </w:t>
      </w:r>
      <w:r w:rsidR="00E80A03">
        <w:rPr>
          <w:color w:val="auto"/>
        </w:rPr>
        <w:t>(</w:t>
      </w:r>
      <w:r w:rsidR="00057D80" w:rsidRPr="00AC5040">
        <w:rPr>
          <w:color w:val="auto"/>
        </w:rPr>
        <w:t xml:space="preserve">a) less than 1 hour per day </w:t>
      </w:r>
      <w:r w:rsidR="00E80A03">
        <w:rPr>
          <w:color w:val="auto"/>
        </w:rPr>
        <w:t>(</w:t>
      </w:r>
      <w:r w:rsidR="00057D80" w:rsidRPr="00AC5040">
        <w:rPr>
          <w:color w:val="auto"/>
        </w:rPr>
        <w:t>b) 1</w:t>
      </w:r>
      <w:r w:rsidR="00E80A03">
        <w:rPr>
          <w:color w:val="auto"/>
        </w:rPr>
        <w:t>–</w:t>
      </w:r>
      <w:r w:rsidR="00057D80" w:rsidRPr="00AC5040">
        <w:rPr>
          <w:color w:val="auto"/>
        </w:rPr>
        <w:t xml:space="preserve">2 </w:t>
      </w:r>
      <w:r w:rsidR="005633D4">
        <w:rPr>
          <w:color w:val="auto"/>
        </w:rPr>
        <w:t>h</w:t>
      </w:r>
      <w:r w:rsidR="00057D80" w:rsidRPr="00AC5040">
        <w:rPr>
          <w:color w:val="auto"/>
        </w:rPr>
        <w:t xml:space="preserve"> per day, </w:t>
      </w:r>
      <w:r w:rsidR="00E80A03">
        <w:rPr>
          <w:color w:val="auto"/>
        </w:rPr>
        <w:t>(</w:t>
      </w:r>
      <w:r w:rsidR="00057D80" w:rsidRPr="00AC5040">
        <w:rPr>
          <w:color w:val="auto"/>
        </w:rPr>
        <w:t>c) 2</w:t>
      </w:r>
      <w:r w:rsidR="00E80A03">
        <w:rPr>
          <w:color w:val="auto"/>
        </w:rPr>
        <w:t>–</w:t>
      </w:r>
      <w:r w:rsidR="00057D80" w:rsidRPr="00AC5040">
        <w:rPr>
          <w:color w:val="auto"/>
        </w:rPr>
        <w:t xml:space="preserve">3 </w:t>
      </w:r>
      <w:r w:rsidR="005633D4">
        <w:rPr>
          <w:color w:val="auto"/>
        </w:rPr>
        <w:t>h</w:t>
      </w:r>
      <w:r w:rsidR="00057D80" w:rsidRPr="00AC5040">
        <w:rPr>
          <w:color w:val="auto"/>
        </w:rPr>
        <w:t xml:space="preserve"> per day, </w:t>
      </w:r>
      <w:r w:rsidR="00E80A03">
        <w:rPr>
          <w:color w:val="auto"/>
        </w:rPr>
        <w:t>(</w:t>
      </w:r>
      <w:r w:rsidR="00057D80" w:rsidRPr="00AC5040">
        <w:rPr>
          <w:color w:val="auto"/>
        </w:rPr>
        <w:t>d) 3</w:t>
      </w:r>
      <w:r w:rsidR="00E80A03">
        <w:rPr>
          <w:color w:val="auto"/>
        </w:rPr>
        <w:t>–</w:t>
      </w:r>
      <w:r w:rsidR="00057D80" w:rsidRPr="00AC5040">
        <w:rPr>
          <w:color w:val="auto"/>
        </w:rPr>
        <w:t xml:space="preserve">4 </w:t>
      </w:r>
      <w:r w:rsidR="005633D4">
        <w:rPr>
          <w:color w:val="auto"/>
        </w:rPr>
        <w:t>h</w:t>
      </w:r>
      <w:r w:rsidR="00057D80" w:rsidRPr="00AC5040">
        <w:rPr>
          <w:color w:val="auto"/>
        </w:rPr>
        <w:t xml:space="preserve"> per day and </w:t>
      </w:r>
      <w:r w:rsidR="00E80A03">
        <w:rPr>
          <w:color w:val="auto"/>
        </w:rPr>
        <w:t>(</w:t>
      </w:r>
      <w:r w:rsidR="00057D80" w:rsidRPr="00AC5040">
        <w:rPr>
          <w:color w:val="auto"/>
        </w:rPr>
        <w:t xml:space="preserve">e) more than 4 </w:t>
      </w:r>
      <w:r w:rsidR="005633D4">
        <w:rPr>
          <w:color w:val="auto"/>
        </w:rPr>
        <w:t>h</w:t>
      </w:r>
      <w:r w:rsidR="00057D80" w:rsidRPr="00AC5040">
        <w:rPr>
          <w:color w:val="auto"/>
        </w:rPr>
        <w:t xml:space="preserve"> per day. The students were also asked to indicate the average number of hours they spent studying per day. To measure this indicator, five categories were used: </w:t>
      </w:r>
      <w:r w:rsidR="00E80A03">
        <w:rPr>
          <w:color w:val="auto"/>
        </w:rPr>
        <w:t>(</w:t>
      </w:r>
      <w:r w:rsidR="00057D80" w:rsidRPr="00AC5040">
        <w:rPr>
          <w:color w:val="auto"/>
        </w:rPr>
        <w:t xml:space="preserve">a) less than 1 hour per day, </w:t>
      </w:r>
      <w:r w:rsidR="00E80A03">
        <w:rPr>
          <w:color w:val="auto"/>
        </w:rPr>
        <w:t>(</w:t>
      </w:r>
      <w:r w:rsidR="00057D80" w:rsidRPr="00AC5040">
        <w:rPr>
          <w:color w:val="auto"/>
        </w:rPr>
        <w:t>b) 1</w:t>
      </w:r>
      <w:r w:rsidR="00E80A03">
        <w:rPr>
          <w:color w:val="auto"/>
        </w:rPr>
        <w:t>–</w:t>
      </w:r>
      <w:r w:rsidR="00057D80" w:rsidRPr="00AC5040">
        <w:rPr>
          <w:color w:val="auto"/>
        </w:rPr>
        <w:t xml:space="preserve">2 </w:t>
      </w:r>
      <w:r w:rsidR="005633D4">
        <w:rPr>
          <w:color w:val="auto"/>
        </w:rPr>
        <w:t>h</w:t>
      </w:r>
      <w:r w:rsidR="00057D80" w:rsidRPr="00AC5040">
        <w:rPr>
          <w:color w:val="auto"/>
        </w:rPr>
        <w:t xml:space="preserve"> per day, </w:t>
      </w:r>
      <w:r w:rsidR="00E80A03">
        <w:rPr>
          <w:color w:val="auto"/>
        </w:rPr>
        <w:t>(</w:t>
      </w:r>
      <w:r w:rsidR="00057D80" w:rsidRPr="00AC5040">
        <w:rPr>
          <w:color w:val="auto"/>
        </w:rPr>
        <w:t>c) 2</w:t>
      </w:r>
      <w:r w:rsidR="00E80A03">
        <w:rPr>
          <w:color w:val="auto"/>
        </w:rPr>
        <w:t>–</w:t>
      </w:r>
      <w:r w:rsidR="00057D80" w:rsidRPr="00AC5040">
        <w:rPr>
          <w:color w:val="auto"/>
        </w:rPr>
        <w:t xml:space="preserve">3 </w:t>
      </w:r>
      <w:r w:rsidR="005633D4">
        <w:rPr>
          <w:color w:val="auto"/>
        </w:rPr>
        <w:t>h</w:t>
      </w:r>
      <w:r w:rsidR="00057D80" w:rsidRPr="00AC5040">
        <w:rPr>
          <w:color w:val="auto"/>
        </w:rPr>
        <w:t xml:space="preserve"> per day, </w:t>
      </w:r>
      <w:r w:rsidR="00E80A03">
        <w:rPr>
          <w:color w:val="auto"/>
        </w:rPr>
        <w:t>(</w:t>
      </w:r>
      <w:r w:rsidR="00057D80" w:rsidRPr="00AC5040">
        <w:rPr>
          <w:color w:val="auto"/>
        </w:rPr>
        <w:t>d) 3</w:t>
      </w:r>
      <w:r w:rsidR="00E80A03">
        <w:rPr>
          <w:color w:val="auto"/>
        </w:rPr>
        <w:t>–</w:t>
      </w:r>
      <w:r w:rsidR="00057D80" w:rsidRPr="00AC5040">
        <w:rPr>
          <w:color w:val="auto"/>
        </w:rPr>
        <w:t xml:space="preserve">4 </w:t>
      </w:r>
      <w:r w:rsidR="005633D4">
        <w:rPr>
          <w:color w:val="auto"/>
        </w:rPr>
        <w:t>h</w:t>
      </w:r>
      <w:r w:rsidR="00057D80" w:rsidRPr="00AC5040">
        <w:rPr>
          <w:color w:val="auto"/>
        </w:rPr>
        <w:t xml:space="preserve"> per day and </w:t>
      </w:r>
      <w:r w:rsidR="00E80A03">
        <w:rPr>
          <w:color w:val="auto"/>
        </w:rPr>
        <w:t>(</w:t>
      </w:r>
      <w:r w:rsidR="00057D80" w:rsidRPr="00AC5040">
        <w:rPr>
          <w:color w:val="auto"/>
        </w:rPr>
        <w:t xml:space="preserve">e) more than 4 </w:t>
      </w:r>
      <w:r w:rsidR="005633D4">
        <w:rPr>
          <w:color w:val="auto"/>
        </w:rPr>
        <w:t>h</w:t>
      </w:r>
      <w:r w:rsidR="00057D80" w:rsidRPr="00AC5040">
        <w:rPr>
          <w:color w:val="auto"/>
        </w:rPr>
        <w:t xml:space="preserve"> per day. The students were asked how many hours they slept on average each day. The answers to this question were classified as: </w:t>
      </w:r>
      <w:r w:rsidR="00E80A03">
        <w:rPr>
          <w:color w:val="auto"/>
        </w:rPr>
        <w:t>(</w:t>
      </w:r>
      <w:r w:rsidR="00057D80" w:rsidRPr="00AC5040">
        <w:rPr>
          <w:color w:val="auto"/>
        </w:rPr>
        <w:t xml:space="preserve">a) less than 6 </w:t>
      </w:r>
      <w:r w:rsidR="005633D4">
        <w:rPr>
          <w:color w:val="auto"/>
        </w:rPr>
        <w:t>h</w:t>
      </w:r>
      <w:r w:rsidR="00057D80" w:rsidRPr="00AC5040">
        <w:rPr>
          <w:color w:val="auto"/>
        </w:rPr>
        <w:t xml:space="preserve"> a day, </w:t>
      </w:r>
      <w:r w:rsidR="00E80A03">
        <w:rPr>
          <w:color w:val="auto"/>
        </w:rPr>
        <w:t>(</w:t>
      </w:r>
      <w:r w:rsidR="00057D80" w:rsidRPr="00AC5040">
        <w:rPr>
          <w:color w:val="auto"/>
        </w:rPr>
        <w:t>b) 6</w:t>
      </w:r>
      <w:r w:rsidR="00E80A03">
        <w:rPr>
          <w:color w:val="auto"/>
        </w:rPr>
        <w:t>–</w:t>
      </w:r>
      <w:r w:rsidR="00057D80" w:rsidRPr="00AC5040">
        <w:rPr>
          <w:color w:val="auto"/>
        </w:rPr>
        <w:t xml:space="preserve">7 </w:t>
      </w:r>
      <w:r w:rsidR="005633D4">
        <w:rPr>
          <w:color w:val="auto"/>
        </w:rPr>
        <w:t>h</w:t>
      </w:r>
      <w:r w:rsidR="00057D80" w:rsidRPr="00AC5040">
        <w:rPr>
          <w:color w:val="auto"/>
        </w:rPr>
        <w:t xml:space="preserve"> a day, </w:t>
      </w:r>
      <w:r w:rsidR="00E80A03">
        <w:rPr>
          <w:color w:val="auto"/>
        </w:rPr>
        <w:t>(</w:t>
      </w:r>
      <w:r w:rsidR="00057D80" w:rsidRPr="00AC5040">
        <w:rPr>
          <w:color w:val="auto"/>
        </w:rPr>
        <w:t>c) 7</w:t>
      </w:r>
      <w:r w:rsidR="00E80A03">
        <w:rPr>
          <w:color w:val="auto"/>
        </w:rPr>
        <w:t>–</w:t>
      </w:r>
      <w:r w:rsidR="00057D80" w:rsidRPr="00AC5040">
        <w:rPr>
          <w:color w:val="auto"/>
        </w:rPr>
        <w:t xml:space="preserve">8 </w:t>
      </w:r>
      <w:r w:rsidR="005633D4">
        <w:rPr>
          <w:color w:val="auto"/>
        </w:rPr>
        <w:t>h</w:t>
      </w:r>
      <w:r w:rsidR="00057D80" w:rsidRPr="00AC5040">
        <w:rPr>
          <w:color w:val="auto"/>
        </w:rPr>
        <w:t xml:space="preserve"> a day, </w:t>
      </w:r>
      <w:r w:rsidR="00E80A03">
        <w:rPr>
          <w:color w:val="auto"/>
        </w:rPr>
        <w:t>(</w:t>
      </w:r>
      <w:r w:rsidR="00057D80" w:rsidRPr="00AC5040">
        <w:rPr>
          <w:color w:val="auto"/>
        </w:rPr>
        <w:t>d) 8</w:t>
      </w:r>
      <w:r w:rsidR="00E80A03">
        <w:rPr>
          <w:color w:val="auto"/>
        </w:rPr>
        <w:t>–</w:t>
      </w:r>
      <w:r w:rsidR="00057D80" w:rsidRPr="00AC5040">
        <w:rPr>
          <w:color w:val="auto"/>
        </w:rPr>
        <w:t xml:space="preserve">9 </w:t>
      </w:r>
      <w:r w:rsidR="005633D4">
        <w:rPr>
          <w:color w:val="auto"/>
        </w:rPr>
        <w:t>h</w:t>
      </w:r>
      <w:r w:rsidR="00057D80" w:rsidRPr="00AC5040">
        <w:rPr>
          <w:color w:val="auto"/>
        </w:rPr>
        <w:t xml:space="preserve"> a day and </w:t>
      </w:r>
      <w:r w:rsidR="00E80A03">
        <w:rPr>
          <w:color w:val="auto"/>
        </w:rPr>
        <w:t>(</w:t>
      </w:r>
      <w:r w:rsidR="00057D80" w:rsidRPr="00AC5040">
        <w:rPr>
          <w:color w:val="auto"/>
        </w:rPr>
        <w:t xml:space="preserve">e) more than 9 </w:t>
      </w:r>
      <w:r w:rsidR="005633D4">
        <w:rPr>
          <w:color w:val="auto"/>
        </w:rPr>
        <w:t>h</w:t>
      </w:r>
      <w:r w:rsidR="00057D80" w:rsidRPr="00AC5040">
        <w:rPr>
          <w:color w:val="auto"/>
        </w:rPr>
        <w:t xml:space="preserve"> a day. </w:t>
      </w:r>
      <w:r w:rsidR="00057D80" w:rsidRPr="00AC5040">
        <w:rPr>
          <w:rFonts w:eastAsia="Calibri" w:cs="Arial"/>
          <w:color w:val="auto"/>
          <w:lang w:eastAsia="en-US"/>
        </w:rPr>
        <w:t xml:space="preserve">Another question asked was how many times per week (on average) the students had physical activity according to six categories: </w:t>
      </w:r>
      <w:r w:rsidR="00E80A03">
        <w:rPr>
          <w:color w:val="auto"/>
        </w:rPr>
        <w:t>(</w:t>
      </w:r>
      <w:r w:rsidR="00057D80" w:rsidRPr="00AC5040">
        <w:rPr>
          <w:rFonts w:eastAsia="Calibri" w:cs="Arial"/>
          <w:color w:val="auto"/>
          <w:lang w:eastAsia="en-US"/>
        </w:rPr>
        <w:t xml:space="preserve">a) none, </w:t>
      </w:r>
      <w:r w:rsidR="00E80A03">
        <w:rPr>
          <w:color w:val="auto"/>
        </w:rPr>
        <w:t>(</w:t>
      </w:r>
      <w:r w:rsidR="00057D80" w:rsidRPr="00AC5040">
        <w:rPr>
          <w:rFonts w:eastAsia="Calibri" w:cs="Arial"/>
          <w:color w:val="auto"/>
          <w:lang w:eastAsia="en-US"/>
        </w:rPr>
        <w:t xml:space="preserve">b) 1 time a week, </w:t>
      </w:r>
      <w:r w:rsidR="00E80A03">
        <w:rPr>
          <w:color w:val="auto"/>
        </w:rPr>
        <w:t>(</w:t>
      </w:r>
      <w:r w:rsidR="00057D80" w:rsidRPr="00AC5040">
        <w:rPr>
          <w:rFonts w:eastAsia="Calibri" w:cs="Arial"/>
          <w:color w:val="auto"/>
          <w:lang w:eastAsia="en-US"/>
        </w:rPr>
        <w:t>c) 2 times a week,</w:t>
      </w:r>
      <w:r w:rsidR="00E80A03">
        <w:rPr>
          <w:rFonts w:eastAsia="Calibri" w:cs="Arial"/>
          <w:color w:val="auto"/>
          <w:lang w:eastAsia="en-US"/>
        </w:rPr>
        <w:t xml:space="preserve"> </w:t>
      </w:r>
      <w:r w:rsidR="00E80A03">
        <w:rPr>
          <w:color w:val="auto"/>
        </w:rPr>
        <w:t>(</w:t>
      </w:r>
      <w:r w:rsidR="00057D80" w:rsidRPr="00AC5040">
        <w:rPr>
          <w:rFonts w:eastAsia="Calibri" w:cs="Arial"/>
          <w:color w:val="auto"/>
          <w:lang w:eastAsia="en-US"/>
        </w:rPr>
        <w:t xml:space="preserve">d) 3 times a week, </w:t>
      </w:r>
      <w:r w:rsidR="00E80A03">
        <w:rPr>
          <w:color w:val="auto"/>
        </w:rPr>
        <w:t>(</w:t>
      </w:r>
      <w:r w:rsidR="00057D80" w:rsidRPr="00AC5040">
        <w:rPr>
          <w:rFonts w:eastAsia="Calibri" w:cs="Arial"/>
          <w:color w:val="auto"/>
          <w:lang w:eastAsia="en-US"/>
        </w:rPr>
        <w:t xml:space="preserve">e) 4 times a week, and </w:t>
      </w:r>
      <w:r w:rsidR="00E80A03">
        <w:rPr>
          <w:color w:val="auto"/>
        </w:rPr>
        <w:t>(</w:t>
      </w:r>
      <w:r w:rsidR="00057D80" w:rsidRPr="00AC5040">
        <w:rPr>
          <w:rFonts w:eastAsia="Calibri" w:cs="Arial"/>
          <w:color w:val="auto"/>
          <w:lang w:eastAsia="en-US"/>
        </w:rPr>
        <w:t xml:space="preserve">f) more than 4 times a week. The fifth indicator to be measured for the students was the average number of working hours </w:t>
      </w:r>
      <w:r w:rsidR="00057D80" w:rsidRPr="00AC5040">
        <w:rPr>
          <w:color w:val="auto"/>
        </w:rPr>
        <w:t xml:space="preserve">per day. The response categories were: a) none, b) less than 7 </w:t>
      </w:r>
      <w:r w:rsidR="005633D4">
        <w:rPr>
          <w:color w:val="auto"/>
        </w:rPr>
        <w:t>h</w:t>
      </w:r>
      <w:r w:rsidR="00057D80" w:rsidRPr="00AC5040">
        <w:rPr>
          <w:color w:val="auto"/>
        </w:rPr>
        <w:t xml:space="preserve"> per day, </w:t>
      </w:r>
      <w:r w:rsidR="00E80A03">
        <w:rPr>
          <w:color w:val="auto"/>
        </w:rPr>
        <w:t>(</w:t>
      </w:r>
      <w:r w:rsidR="00057D80" w:rsidRPr="00AC5040">
        <w:rPr>
          <w:color w:val="auto"/>
        </w:rPr>
        <w:t>c) 7</w:t>
      </w:r>
      <w:r w:rsidR="00E80A03">
        <w:rPr>
          <w:color w:val="auto"/>
        </w:rPr>
        <w:t>–</w:t>
      </w:r>
      <w:r w:rsidR="00057D80" w:rsidRPr="00AC5040">
        <w:rPr>
          <w:color w:val="auto"/>
        </w:rPr>
        <w:t xml:space="preserve">8 </w:t>
      </w:r>
      <w:r w:rsidR="005633D4">
        <w:rPr>
          <w:color w:val="auto"/>
        </w:rPr>
        <w:t>h</w:t>
      </w:r>
      <w:r w:rsidR="00057D80" w:rsidRPr="00AC5040">
        <w:rPr>
          <w:color w:val="auto"/>
        </w:rPr>
        <w:t xml:space="preserve"> per day, </w:t>
      </w:r>
      <w:r w:rsidR="00E80A03">
        <w:rPr>
          <w:color w:val="auto"/>
        </w:rPr>
        <w:t>(</w:t>
      </w:r>
      <w:r w:rsidR="00057D80" w:rsidRPr="00AC5040">
        <w:rPr>
          <w:color w:val="auto"/>
        </w:rPr>
        <w:t>d) 8</w:t>
      </w:r>
      <w:r w:rsidR="00E80A03">
        <w:rPr>
          <w:color w:val="auto"/>
        </w:rPr>
        <w:t>–</w:t>
      </w:r>
      <w:r w:rsidR="00057D80" w:rsidRPr="00AC5040">
        <w:rPr>
          <w:color w:val="auto"/>
        </w:rPr>
        <w:t xml:space="preserve">9 </w:t>
      </w:r>
      <w:r w:rsidR="005633D4">
        <w:rPr>
          <w:color w:val="auto"/>
        </w:rPr>
        <w:t>h</w:t>
      </w:r>
      <w:r w:rsidR="00057D80" w:rsidRPr="00AC5040">
        <w:rPr>
          <w:color w:val="auto"/>
        </w:rPr>
        <w:t xml:space="preserve"> per day and </w:t>
      </w:r>
      <w:r w:rsidR="00E80A03">
        <w:rPr>
          <w:color w:val="auto"/>
        </w:rPr>
        <w:t>(</w:t>
      </w:r>
      <w:r w:rsidR="00057D80" w:rsidRPr="00AC5040">
        <w:rPr>
          <w:color w:val="auto"/>
        </w:rPr>
        <w:t xml:space="preserve">e) more than 9 </w:t>
      </w:r>
      <w:r w:rsidR="005633D4">
        <w:rPr>
          <w:color w:val="auto"/>
        </w:rPr>
        <w:t>h</w:t>
      </w:r>
      <w:r w:rsidR="00057D80" w:rsidRPr="00AC5040">
        <w:rPr>
          <w:color w:val="auto"/>
        </w:rPr>
        <w:t xml:space="preserve"> per day. In terms of smoking habit the students’ responses were grouped as: </w:t>
      </w:r>
      <w:r w:rsidR="00E80A03">
        <w:rPr>
          <w:color w:val="auto"/>
        </w:rPr>
        <w:t>(</w:t>
      </w:r>
      <w:r w:rsidR="00057D80" w:rsidRPr="00AC5040">
        <w:rPr>
          <w:color w:val="auto"/>
        </w:rPr>
        <w:t xml:space="preserve">a) non-smoker, </w:t>
      </w:r>
      <w:r w:rsidR="00E80A03">
        <w:rPr>
          <w:color w:val="auto"/>
        </w:rPr>
        <w:t>(</w:t>
      </w:r>
      <w:r w:rsidR="00057D80" w:rsidRPr="00AC5040">
        <w:rPr>
          <w:color w:val="auto"/>
        </w:rPr>
        <w:t xml:space="preserve">b) quit and </w:t>
      </w:r>
      <w:r w:rsidR="00E80A03">
        <w:rPr>
          <w:color w:val="auto"/>
        </w:rPr>
        <w:t>(</w:t>
      </w:r>
      <w:r w:rsidR="00057D80" w:rsidRPr="00AC5040">
        <w:rPr>
          <w:color w:val="auto"/>
        </w:rPr>
        <w:t>c) smoker.</w:t>
      </w:r>
    </w:p>
    <w:p w14:paraId="14EF251E" w14:textId="77777777" w:rsidR="00057D80" w:rsidRPr="00C24553" w:rsidRDefault="00057D80" w:rsidP="00057D80">
      <w:pPr>
        <w:pStyle w:val="MDPI23heading3"/>
        <w:rPr>
          <w:b/>
          <w:color w:val="auto"/>
        </w:rPr>
      </w:pPr>
      <w:r w:rsidRPr="00C24553">
        <w:rPr>
          <w:b/>
          <w:color w:val="auto"/>
        </w:rPr>
        <w:t>Mental Health</w:t>
      </w:r>
    </w:p>
    <w:p w14:paraId="356FAFD0" w14:textId="4E2FCA8B" w:rsidR="00057D80" w:rsidRPr="00AC5040" w:rsidRDefault="00C7370B" w:rsidP="00057D80">
      <w:pPr>
        <w:pStyle w:val="MDPI31text"/>
        <w:rPr>
          <w:rFonts w:eastAsia="Calibri" w:cs="Arial"/>
          <w:color w:val="auto"/>
          <w:lang w:eastAsia="en-US"/>
        </w:rPr>
      </w:pPr>
      <w:r>
        <w:rPr>
          <w:color w:val="auto"/>
        </w:rPr>
        <w:t xml:space="preserve">Three indicators were considered to measure mental health. </w:t>
      </w:r>
      <w:r w:rsidR="00057D80" w:rsidRPr="00AC5040">
        <w:rPr>
          <w:color w:val="auto"/>
        </w:rPr>
        <w:t xml:space="preserve">These are </w:t>
      </w:r>
      <w:r w:rsidR="00E80A03">
        <w:rPr>
          <w:color w:val="auto"/>
        </w:rPr>
        <w:t>(</w:t>
      </w:r>
      <w:r w:rsidR="00057D80" w:rsidRPr="00AC5040">
        <w:rPr>
          <w:color w:val="auto"/>
        </w:rPr>
        <w:t xml:space="preserve">1) the number of serious problems faced during the last year (in this study labeled as “Problem”), </w:t>
      </w:r>
      <w:r w:rsidR="00E80A03">
        <w:rPr>
          <w:color w:val="auto"/>
        </w:rPr>
        <w:t>(</w:t>
      </w:r>
      <w:r w:rsidR="00057D80" w:rsidRPr="00AC5040">
        <w:rPr>
          <w:color w:val="auto"/>
        </w:rPr>
        <w:t xml:space="preserve">2) level of stress (“Stress”) and </w:t>
      </w:r>
      <w:r w:rsidR="00E80A03">
        <w:rPr>
          <w:color w:val="auto"/>
        </w:rPr>
        <w:t>(</w:t>
      </w:r>
      <w:r w:rsidR="00057D80" w:rsidRPr="00AC5040">
        <w:rPr>
          <w:color w:val="auto"/>
        </w:rPr>
        <w:t xml:space="preserve">3) happiness (“Happiness”). For the question about the number of serious problems the students faced in the last year, the answer categories were: </w:t>
      </w:r>
      <w:r w:rsidR="00E80A03">
        <w:rPr>
          <w:color w:val="auto"/>
        </w:rPr>
        <w:t>(</w:t>
      </w:r>
      <w:r w:rsidR="00057D80" w:rsidRPr="00AC5040">
        <w:rPr>
          <w:color w:val="auto"/>
        </w:rPr>
        <w:t xml:space="preserve">a) no serious problem, </w:t>
      </w:r>
      <w:r w:rsidR="00E80A03">
        <w:rPr>
          <w:color w:val="auto"/>
        </w:rPr>
        <w:t>(</w:t>
      </w:r>
      <w:r w:rsidR="00057D80" w:rsidRPr="00AC5040">
        <w:rPr>
          <w:color w:val="auto"/>
        </w:rPr>
        <w:t xml:space="preserve">b) 1 or 2 serious problems and </w:t>
      </w:r>
      <w:r w:rsidR="00E80A03">
        <w:rPr>
          <w:color w:val="auto"/>
        </w:rPr>
        <w:t>(</w:t>
      </w:r>
      <w:r w:rsidR="00057D80" w:rsidRPr="00AC5040">
        <w:rPr>
          <w:color w:val="auto"/>
        </w:rPr>
        <w:t xml:space="preserve">c) more than 2 serious problems. Next, </w:t>
      </w:r>
      <w:r w:rsidR="00057D80" w:rsidRPr="00AC5040">
        <w:rPr>
          <w:rFonts w:eastAsia="Calibri" w:cs="Arial"/>
          <w:color w:val="auto"/>
          <w:lang w:eastAsia="en-US"/>
        </w:rPr>
        <w:t xml:space="preserve">the respondents described their level of stress from </w:t>
      </w:r>
      <w:r w:rsidR="00E80A03">
        <w:rPr>
          <w:color w:val="auto"/>
        </w:rPr>
        <w:t>(</w:t>
      </w:r>
      <w:r w:rsidR="00057D80" w:rsidRPr="00AC5040">
        <w:rPr>
          <w:rFonts w:eastAsia="Calibri" w:cs="Arial"/>
          <w:color w:val="auto"/>
          <w:lang w:eastAsia="en-US"/>
        </w:rPr>
        <w:t xml:space="preserve">a) normal, </w:t>
      </w:r>
      <w:r w:rsidR="00E80A03">
        <w:rPr>
          <w:color w:val="auto"/>
        </w:rPr>
        <w:t>(</w:t>
      </w:r>
      <w:r w:rsidR="00057D80" w:rsidRPr="00AC5040">
        <w:rPr>
          <w:rFonts w:eastAsia="Calibri" w:cs="Arial"/>
          <w:color w:val="auto"/>
          <w:lang w:eastAsia="en-US"/>
        </w:rPr>
        <w:t xml:space="preserve">b) medium and </w:t>
      </w:r>
      <w:r w:rsidR="00E80A03">
        <w:rPr>
          <w:color w:val="auto"/>
        </w:rPr>
        <w:t>(</w:t>
      </w:r>
      <w:r w:rsidR="00057D80" w:rsidRPr="00AC5040">
        <w:rPr>
          <w:rFonts w:eastAsia="Calibri" w:cs="Arial"/>
          <w:color w:val="auto"/>
          <w:lang w:eastAsia="en-US"/>
        </w:rPr>
        <w:t xml:space="preserve">c) high stress. Happiness in life was determined according to three categories: </w:t>
      </w:r>
      <w:r w:rsidR="00E80A03">
        <w:rPr>
          <w:color w:val="auto"/>
        </w:rPr>
        <w:t>(</w:t>
      </w:r>
      <w:r w:rsidR="00057D80" w:rsidRPr="00AC5040">
        <w:rPr>
          <w:rFonts w:eastAsia="Calibri" w:cs="Arial"/>
          <w:color w:val="auto"/>
          <w:lang w:eastAsia="en-US"/>
        </w:rPr>
        <w:t xml:space="preserve">a) not happy, </w:t>
      </w:r>
      <w:r w:rsidR="00E80A03">
        <w:rPr>
          <w:color w:val="auto"/>
        </w:rPr>
        <w:t>(</w:t>
      </w:r>
      <w:r w:rsidR="00057D80" w:rsidRPr="00AC5040">
        <w:rPr>
          <w:rFonts w:eastAsia="Calibri" w:cs="Arial"/>
          <w:color w:val="auto"/>
          <w:lang w:eastAsia="en-US"/>
        </w:rPr>
        <w:t xml:space="preserve">b) average and </w:t>
      </w:r>
      <w:r w:rsidR="00E80A03">
        <w:rPr>
          <w:color w:val="auto"/>
        </w:rPr>
        <w:t>(</w:t>
      </w:r>
      <w:r w:rsidR="00057D80" w:rsidRPr="00AC5040">
        <w:rPr>
          <w:rFonts w:eastAsia="Calibri" w:cs="Arial"/>
          <w:color w:val="auto"/>
          <w:lang w:eastAsia="en-US"/>
        </w:rPr>
        <w:t>c) happy.</w:t>
      </w:r>
    </w:p>
    <w:p w14:paraId="18B89615" w14:textId="77777777" w:rsidR="00057D80" w:rsidRPr="00C24553" w:rsidRDefault="00057D80" w:rsidP="00057D80">
      <w:pPr>
        <w:pStyle w:val="MDPI23heading3"/>
        <w:rPr>
          <w:b/>
          <w:color w:val="auto"/>
        </w:rPr>
      </w:pPr>
      <w:r w:rsidRPr="00C24553">
        <w:rPr>
          <w:b/>
          <w:color w:val="auto"/>
        </w:rPr>
        <w:t>Healthy and Unhealthy Food Intake</w:t>
      </w:r>
    </w:p>
    <w:p w14:paraId="7C625D18" w14:textId="77777777" w:rsidR="00F743D4" w:rsidRDefault="00057D80" w:rsidP="00057D80">
      <w:pPr>
        <w:pStyle w:val="MDPI31text"/>
        <w:rPr>
          <w:color w:val="auto"/>
        </w:rPr>
      </w:pPr>
      <w:r w:rsidRPr="00AC5040">
        <w:rPr>
          <w:color w:val="auto"/>
        </w:rPr>
        <w:t>Unhealthy food intake entails the consumption of soft drinks, fast food, chips and sweets, whereas healthy food intake involves the consumption of whole-grain products, vegetables and fruits. Every indicator was measured using a five-point Likert-type scale. The responses obtained were ‘never,’ ‘rarely,’ ‘sometimes,’ ‘mostly’ and ‘always.’</w:t>
      </w:r>
    </w:p>
    <w:p w14:paraId="649A6E22" w14:textId="77777777" w:rsidR="00A22D7A" w:rsidRPr="00C24553" w:rsidRDefault="00A22D7A" w:rsidP="00E80A03">
      <w:pPr>
        <w:pStyle w:val="MDPI31text"/>
        <w:ind w:firstLine="0"/>
        <w:rPr>
          <w:b/>
          <w:color w:val="auto"/>
        </w:rPr>
      </w:pPr>
      <w:r w:rsidRPr="00C24553">
        <w:rPr>
          <w:b/>
          <w:color w:val="auto"/>
        </w:rPr>
        <w:lastRenderedPageBreak/>
        <w:t>BMI</w:t>
      </w:r>
    </w:p>
    <w:p w14:paraId="137FF77B" w14:textId="77777777" w:rsidR="00DA56E6" w:rsidRDefault="00DA56E6" w:rsidP="00057D80">
      <w:pPr>
        <w:pStyle w:val="MDPI31text"/>
        <w:rPr>
          <w:color w:val="auto"/>
        </w:rPr>
      </w:pPr>
      <w:r>
        <w:rPr>
          <w:color w:val="auto"/>
        </w:rPr>
        <w:t>BMI is calculated based on the following formula:</w:t>
      </w:r>
    </w:p>
    <w:tbl>
      <w:tblPr>
        <w:tblW w:w="0" w:type="auto"/>
        <w:jc w:val="center"/>
        <w:tblLayout w:type="fixed"/>
        <w:tblLook w:val="0000" w:firstRow="0" w:lastRow="0" w:firstColumn="0" w:lastColumn="0" w:noHBand="0" w:noVBand="0"/>
      </w:tblPr>
      <w:tblGrid>
        <w:gridCol w:w="8220"/>
      </w:tblGrid>
      <w:tr w:rsidR="00DA56E6" w:rsidRPr="00A22D7A" w14:paraId="25596A0B" w14:textId="77777777" w:rsidTr="00AA52CA">
        <w:trPr>
          <w:trHeight w:val="340"/>
          <w:jc w:val="center"/>
        </w:trPr>
        <w:tc>
          <w:tcPr>
            <w:tcW w:w="8220" w:type="dxa"/>
            <w:shd w:val="clear" w:color="auto" w:fill="auto"/>
            <w:vAlign w:val="center"/>
          </w:tcPr>
          <w:p w14:paraId="2F45D717" w14:textId="77777777" w:rsidR="00DA56E6" w:rsidRPr="00A22D7A" w:rsidRDefault="00DA56E6" w:rsidP="00A22D7A">
            <w:pPr>
              <w:adjustRightInd w:val="0"/>
              <w:snapToGrid w:val="0"/>
              <w:spacing w:before="120" w:after="120" w:line="260" w:lineRule="atLeast"/>
              <w:ind w:left="706"/>
              <w:jc w:val="center"/>
              <w:rPr>
                <w:rFonts w:ascii="Palatino Linotype" w:eastAsia="Times New Roman" w:hAnsi="Palatino Linotype" w:cs="Times New Roman"/>
                <w:bCs/>
                <w:snapToGrid w:val="0"/>
                <w:color w:val="000000" w:themeColor="text1"/>
                <w:sz w:val="20"/>
                <w:lang w:val="en-US" w:eastAsia="de-DE" w:bidi="en-US"/>
              </w:rPr>
            </w:pPr>
            <m:oMathPara>
              <m:oMath>
                <m:r>
                  <w:rPr>
                    <w:rFonts w:ascii="Cambria Math" w:eastAsia="Times New Roman" w:hAnsi="Cambria Math" w:cs="Times New Roman"/>
                    <w:snapToGrid w:val="0"/>
                    <w:color w:val="000000" w:themeColor="text1"/>
                    <w:sz w:val="20"/>
                    <w:lang w:val="en-US" w:eastAsia="de-DE" w:bidi="en-US"/>
                  </w:rPr>
                  <m:t xml:space="preserve">BMI </m:t>
                </m:r>
                <m:d>
                  <m:dPr>
                    <m:ctrlPr>
                      <w:rPr>
                        <w:rFonts w:ascii="Cambria Math" w:eastAsia="Times New Roman" w:hAnsi="Cambria Math" w:cs="Times New Roman"/>
                        <w:bCs/>
                        <w:i/>
                        <w:snapToGrid w:val="0"/>
                        <w:color w:val="000000" w:themeColor="text1"/>
                        <w:sz w:val="20"/>
                        <w:lang w:val="en-US" w:eastAsia="de-DE" w:bidi="en-US"/>
                      </w:rPr>
                    </m:ctrlPr>
                  </m:dPr>
                  <m:e>
                    <m:r>
                      <w:rPr>
                        <w:rFonts w:ascii="Cambria Math" w:eastAsia="Times New Roman" w:hAnsi="Cambria Math" w:cs="Times New Roman"/>
                        <w:snapToGrid w:val="0"/>
                        <w:color w:val="000000" w:themeColor="text1"/>
                        <w:sz w:val="20"/>
                        <w:lang w:val="en-US" w:eastAsia="de-DE" w:bidi="en-US"/>
                      </w:rPr>
                      <m:t>Metric Method</m:t>
                    </m:r>
                  </m:e>
                </m:d>
                <m:r>
                  <w:rPr>
                    <w:rFonts w:ascii="Cambria Math" w:eastAsia="Times New Roman" w:hAnsi="Cambria Math" w:cs="Times New Roman"/>
                    <w:snapToGrid w:val="0"/>
                    <w:color w:val="000000" w:themeColor="text1"/>
                    <w:sz w:val="20"/>
                    <w:lang w:val="en-US" w:eastAsia="de-DE" w:bidi="en-US"/>
                  </w:rPr>
                  <m:t xml:space="preserve">= </m:t>
                </m:r>
                <m:f>
                  <m:fPr>
                    <m:ctrlPr>
                      <w:rPr>
                        <w:rFonts w:ascii="Cambria Math" w:eastAsia="Times New Roman" w:hAnsi="Cambria Math" w:cs="Times New Roman"/>
                        <w:bCs/>
                        <w:i/>
                        <w:snapToGrid w:val="0"/>
                        <w:color w:val="000000" w:themeColor="text1"/>
                        <w:sz w:val="20"/>
                        <w:lang w:val="en-US" w:eastAsia="de-DE" w:bidi="en-US"/>
                      </w:rPr>
                    </m:ctrlPr>
                  </m:fPr>
                  <m:num>
                    <m:r>
                      <w:rPr>
                        <w:rFonts w:ascii="Cambria Math" w:eastAsia="Times New Roman" w:hAnsi="Cambria Math" w:cs="Times New Roman"/>
                        <w:snapToGrid w:val="0"/>
                        <w:color w:val="000000" w:themeColor="text1"/>
                        <w:sz w:val="20"/>
                        <w:lang w:val="en-US" w:eastAsia="de-DE" w:bidi="en-US"/>
                      </w:rPr>
                      <m:t>(weight in kilograms)</m:t>
                    </m:r>
                  </m:num>
                  <m:den>
                    <m:sSup>
                      <m:sSupPr>
                        <m:ctrlPr>
                          <w:rPr>
                            <w:rFonts w:ascii="Cambria Math" w:eastAsia="Times New Roman" w:hAnsi="Cambria Math" w:cs="Times New Roman"/>
                            <w:bCs/>
                            <w:i/>
                            <w:snapToGrid w:val="0"/>
                            <w:color w:val="000000" w:themeColor="text1"/>
                            <w:sz w:val="20"/>
                            <w:lang w:val="en-US" w:eastAsia="de-DE" w:bidi="en-US"/>
                          </w:rPr>
                        </m:ctrlPr>
                      </m:sSupPr>
                      <m:e>
                        <m:r>
                          <w:rPr>
                            <w:rFonts w:ascii="Cambria Math" w:eastAsia="Times New Roman" w:hAnsi="Cambria Math" w:cs="Times New Roman"/>
                            <w:snapToGrid w:val="0"/>
                            <w:color w:val="000000" w:themeColor="text1"/>
                            <w:sz w:val="20"/>
                            <w:lang w:val="en-US" w:eastAsia="de-DE" w:bidi="en-US"/>
                          </w:rPr>
                          <m:t>height in meters</m:t>
                        </m:r>
                      </m:e>
                      <m:sup>
                        <m:r>
                          <w:rPr>
                            <w:rFonts w:ascii="Cambria Math" w:eastAsia="Times New Roman" w:hAnsi="Cambria Math" w:cs="Times New Roman"/>
                            <w:snapToGrid w:val="0"/>
                            <w:color w:val="000000" w:themeColor="text1"/>
                            <w:sz w:val="20"/>
                            <w:lang w:val="en-US" w:eastAsia="de-DE" w:bidi="en-US"/>
                          </w:rPr>
                          <m:t>2</m:t>
                        </m:r>
                      </m:sup>
                    </m:sSup>
                  </m:den>
                </m:f>
              </m:oMath>
            </m:oMathPara>
          </w:p>
        </w:tc>
      </w:tr>
    </w:tbl>
    <w:p w14:paraId="7245F5EB" w14:textId="77777777" w:rsidR="00A22D7A" w:rsidRPr="00A22D7A" w:rsidRDefault="00A22D7A" w:rsidP="00A22D7A">
      <w:pPr>
        <w:adjustRightInd w:val="0"/>
        <w:snapToGrid w:val="0"/>
        <w:spacing w:after="0" w:line="260" w:lineRule="atLeast"/>
        <w:ind w:firstLine="425"/>
        <w:jc w:val="both"/>
        <w:rPr>
          <w:rFonts w:ascii="Palatino Linotype" w:eastAsia="Times New Roman" w:hAnsi="Palatino Linotype" w:cs="Times New Roman"/>
          <w:snapToGrid w:val="0"/>
          <w:color w:val="000000" w:themeColor="text1"/>
          <w:sz w:val="20"/>
          <w:lang w:val="en-US" w:eastAsia="de-DE" w:bidi="en-US"/>
        </w:rPr>
      </w:pPr>
      <w:r w:rsidRPr="00DA56E6">
        <w:rPr>
          <w:rFonts w:ascii="Palatino Linotype" w:eastAsia="Times New Roman" w:hAnsi="Palatino Linotype" w:cs="Times New Roman"/>
          <w:snapToGrid w:val="0"/>
          <w:color w:val="000000" w:themeColor="text1"/>
          <w:sz w:val="20"/>
          <w:lang w:val="en-US" w:eastAsia="de-DE" w:bidi="en-US"/>
        </w:rPr>
        <w:t xml:space="preserve">The Table 1 </w:t>
      </w:r>
      <w:r w:rsidRPr="00A22D7A">
        <w:rPr>
          <w:rFonts w:ascii="Palatino Linotype" w:eastAsia="Times New Roman" w:hAnsi="Palatino Linotype" w:cs="Times New Roman"/>
          <w:snapToGrid w:val="0"/>
          <w:color w:val="000000" w:themeColor="text1"/>
          <w:sz w:val="20"/>
          <w:lang w:val="en-US" w:eastAsia="de-DE" w:bidi="en-US"/>
        </w:rPr>
        <w:t>presents the BMI range for the weight categories, which are underweight, normal, overweight and obese.</w:t>
      </w:r>
    </w:p>
    <w:p w14:paraId="00F834FB" w14:textId="77777777" w:rsidR="00A22D7A" w:rsidRPr="00A22D7A" w:rsidRDefault="00A22D7A" w:rsidP="00A22D7A">
      <w:pPr>
        <w:adjustRightInd w:val="0"/>
        <w:snapToGrid w:val="0"/>
        <w:spacing w:before="240" w:after="120" w:line="260" w:lineRule="atLeast"/>
        <w:ind w:left="425" w:right="425"/>
        <w:jc w:val="center"/>
        <w:rPr>
          <w:rFonts w:ascii="Palatino Linotype" w:eastAsia="Times New Roman" w:hAnsi="Palatino Linotype" w:cs="Times New Roman"/>
          <w:color w:val="000000" w:themeColor="text1"/>
          <w:sz w:val="18"/>
          <w:lang w:val="en-US" w:eastAsia="de-DE" w:bidi="en-US"/>
        </w:rPr>
      </w:pPr>
      <w:r w:rsidRPr="00A22D7A">
        <w:rPr>
          <w:rFonts w:ascii="Palatino Linotype" w:eastAsia="Times New Roman" w:hAnsi="Palatino Linotype" w:cs="Times New Roman"/>
          <w:b/>
          <w:color w:val="000000" w:themeColor="text1"/>
          <w:sz w:val="18"/>
          <w:lang w:val="en-US" w:eastAsia="de-DE" w:bidi="en-US"/>
        </w:rPr>
        <w:t>Table 1.</w:t>
      </w:r>
      <w:r w:rsidRPr="00A22D7A">
        <w:rPr>
          <w:rFonts w:ascii="Palatino Linotype" w:eastAsia="Times New Roman" w:hAnsi="Palatino Linotype" w:cs="Times New Roman"/>
          <w:b/>
          <w:snapToGrid w:val="0"/>
          <w:color w:val="000000" w:themeColor="text1"/>
          <w:sz w:val="18"/>
          <w:lang w:val="en-US" w:eastAsia="de-DE" w:bidi="en-US"/>
        </w:rPr>
        <w:t xml:space="preserve"> </w:t>
      </w:r>
      <w:r w:rsidRPr="00A22D7A">
        <w:rPr>
          <w:rFonts w:ascii="Palatino Linotype" w:eastAsia="Times New Roman" w:hAnsi="Palatino Linotype" w:cs="Times New Roman"/>
          <w:snapToGrid w:val="0"/>
          <w:color w:val="000000" w:themeColor="text1"/>
          <w:sz w:val="18"/>
          <w:lang w:val="en-US" w:eastAsia="de-DE" w:bidi="en-US"/>
        </w:rPr>
        <w:t>BMI ranges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6"/>
        <w:gridCol w:w="1399"/>
      </w:tblGrid>
      <w:tr w:rsidR="00DA56E6" w:rsidRPr="00E80A03" w14:paraId="1C599A18" w14:textId="77777777" w:rsidTr="00E80A03">
        <w:trPr>
          <w:jc w:val="center"/>
        </w:trPr>
        <w:tc>
          <w:tcPr>
            <w:tcW w:w="0" w:type="auto"/>
            <w:tcBorders>
              <w:top w:val="single" w:sz="8" w:space="0" w:color="auto"/>
              <w:left w:val="nil"/>
              <w:bottom w:val="single" w:sz="4" w:space="0" w:color="000000"/>
              <w:right w:val="nil"/>
            </w:tcBorders>
            <w:shd w:val="clear" w:color="auto" w:fill="auto"/>
            <w:vAlign w:val="center"/>
          </w:tcPr>
          <w:p w14:paraId="4D15375B" w14:textId="3F22729E"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b/>
                <w:snapToGrid w:val="0"/>
                <w:color w:val="000000" w:themeColor="text1"/>
                <w:sz w:val="20"/>
                <w:szCs w:val="20"/>
                <w:lang w:val="en-US" w:eastAsia="de-DE" w:bidi="en-US"/>
              </w:rPr>
            </w:pPr>
            <w:r w:rsidRPr="00E80A03">
              <w:rPr>
                <w:rFonts w:ascii="Palatino Linotype" w:eastAsia="Times New Roman" w:hAnsi="Palatino Linotype" w:cs="Times New Roman"/>
                <w:b/>
                <w:snapToGrid w:val="0"/>
                <w:color w:val="000000" w:themeColor="text1"/>
                <w:sz w:val="20"/>
                <w:szCs w:val="20"/>
                <w:lang w:val="en-US" w:eastAsia="de-DE" w:bidi="en-US"/>
              </w:rPr>
              <w:t xml:space="preserve">BMI </w:t>
            </w:r>
            <w:r w:rsidR="00E80A03" w:rsidRPr="00E80A03">
              <w:rPr>
                <w:rFonts w:ascii="Palatino Linotype" w:eastAsia="Times New Roman" w:hAnsi="Palatino Linotype" w:cs="Times New Roman"/>
                <w:b/>
                <w:snapToGrid w:val="0"/>
                <w:color w:val="000000" w:themeColor="text1"/>
                <w:sz w:val="20"/>
                <w:szCs w:val="20"/>
                <w:lang w:val="en-US" w:eastAsia="de-DE" w:bidi="en-US"/>
              </w:rPr>
              <w:t xml:space="preserve">Range </w:t>
            </w:r>
            <w:r w:rsidRPr="00E80A03">
              <w:rPr>
                <w:rFonts w:ascii="Palatino Linotype" w:eastAsia="Times New Roman" w:hAnsi="Palatino Linotype" w:cs="Times New Roman"/>
                <w:b/>
                <w:snapToGrid w:val="0"/>
                <w:color w:val="000000" w:themeColor="text1"/>
                <w:sz w:val="20"/>
                <w:szCs w:val="20"/>
                <w:lang w:val="en-US" w:eastAsia="de-DE" w:bidi="en-US"/>
              </w:rPr>
              <w:t>(kg/m</w:t>
            </w:r>
            <w:r w:rsidRPr="00E80A03">
              <w:rPr>
                <w:rFonts w:ascii="Palatino Linotype" w:eastAsia="Times New Roman" w:hAnsi="Palatino Linotype" w:cs="Times New Roman"/>
                <w:b/>
                <w:snapToGrid w:val="0"/>
                <w:color w:val="000000" w:themeColor="text1"/>
                <w:sz w:val="20"/>
                <w:szCs w:val="20"/>
                <w:vertAlign w:val="superscript"/>
                <w:lang w:val="en-US" w:eastAsia="de-DE" w:bidi="en-US"/>
              </w:rPr>
              <w:t>2</w:t>
            </w:r>
            <w:r w:rsidRPr="00E80A03">
              <w:rPr>
                <w:rFonts w:ascii="Palatino Linotype" w:eastAsia="Times New Roman" w:hAnsi="Palatino Linotype" w:cs="Times New Roman"/>
                <w:b/>
                <w:snapToGrid w:val="0"/>
                <w:color w:val="000000" w:themeColor="text1"/>
                <w:sz w:val="20"/>
                <w:szCs w:val="20"/>
                <w:lang w:val="en-US" w:eastAsia="de-DE" w:bidi="en-US"/>
              </w:rPr>
              <w:t>)</w:t>
            </w:r>
          </w:p>
        </w:tc>
        <w:tc>
          <w:tcPr>
            <w:tcW w:w="0" w:type="auto"/>
            <w:tcBorders>
              <w:top w:val="single" w:sz="8" w:space="0" w:color="auto"/>
              <w:left w:val="nil"/>
              <w:bottom w:val="single" w:sz="4" w:space="0" w:color="000000"/>
              <w:right w:val="nil"/>
            </w:tcBorders>
            <w:shd w:val="clear" w:color="auto" w:fill="auto"/>
            <w:vAlign w:val="center"/>
          </w:tcPr>
          <w:p w14:paraId="41F98469" w14:textId="77777777"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b/>
                <w:snapToGrid w:val="0"/>
                <w:color w:val="000000" w:themeColor="text1"/>
                <w:sz w:val="20"/>
                <w:szCs w:val="20"/>
                <w:lang w:val="en-US" w:eastAsia="de-DE" w:bidi="en-US"/>
              </w:rPr>
            </w:pPr>
            <w:r w:rsidRPr="00E80A03">
              <w:rPr>
                <w:rFonts w:ascii="Palatino Linotype" w:eastAsia="Times New Roman" w:hAnsi="Palatino Linotype" w:cs="Times New Roman"/>
                <w:b/>
                <w:snapToGrid w:val="0"/>
                <w:color w:val="000000" w:themeColor="text1"/>
                <w:sz w:val="20"/>
                <w:szCs w:val="20"/>
                <w:lang w:val="en-US" w:eastAsia="de-DE" w:bidi="en-US"/>
              </w:rPr>
              <w:t>Category</w:t>
            </w:r>
          </w:p>
        </w:tc>
      </w:tr>
      <w:tr w:rsidR="00DA56E6" w:rsidRPr="00E80A03" w14:paraId="2785291E" w14:textId="77777777" w:rsidTr="00E80A03">
        <w:trPr>
          <w:jc w:val="center"/>
        </w:trPr>
        <w:tc>
          <w:tcPr>
            <w:tcW w:w="0" w:type="auto"/>
            <w:tcBorders>
              <w:top w:val="single" w:sz="4" w:space="0" w:color="000000"/>
              <w:left w:val="nil"/>
              <w:bottom w:val="nil"/>
              <w:right w:val="nil"/>
            </w:tcBorders>
            <w:shd w:val="clear" w:color="auto" w:fill="auto"/>
            <w:vAlign w:val="center"/>
          </w:tcPr>
          <w:p w14:paraId="34795E6A" w14:textId="3ECBA94B"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&lt;18.5</w:t>
            </w:r>
          </w:p>
        </w:tc>
        <w:tc>
          <w:tcPr>
            <w:tcW w:w="0" w:type="auto"/>
            <w:tcBorders>
              <w:top w:val="single" w:sz="4" w:space="0" w:color="000000"/>
              <w:left w:val="nil"/>
              <w:bottom w:val="nil"/>
              <w:right w:val="nil"/>
            </w:tcBorders>
            <w:shd w:val="clear" w:color="auto" w:fill="auto"/>
            <w:vAlign w:val="center"/>
          </w:tcPr>
          <w:p w14:paraId="2F27DE3A" w14:textId="77777777"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Underweight</w:t>
            </w:r>
          </w:p>
        </w:tc>
      </w:tr>
      <w:tr w:rsidR="00DA56E6" w:rsidRPr="00E80A03" w14:paraId="0F07A311" w14:textId="77777777" w:rsidTr="00E80A03">
        <w:trPr>
          <w:jc w:val="center"/>
        </w:trPr>
        <w:tc>
          <w:tcPr>
            <w:tcW w:w="0" w:type="auto"/>
            <w:tcBorders>
              <w:top w:val="nil"/>
              <w:left w:val="nil"/>
              <w:bottom w:val="nil"/>
              <w:right w:val="nil"/>
            </w:tcBorders>
            <w:shd w:val="clear" w:color="auto" w:fill="auto"/>
            <w:vAlign w:val="center"/>
          </w:tcPr>
          <w:p w14:paraId="3A8739C4" w14:textId="478B024B"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18.5</w:t>
            </w:r>
            <w:r w:rsidR="00FF032E" w:rsidRPr="00E80A03">
              <w:rPr>
                <w:rFonts w:ascii="Palatino Linotype" w:eastAsia="Times New Roman" w:hAnsi="Palatino Linotype" w:cs="Times New Roman"/>
                <w:snapToGrid w:val="0"/>
                <w:color w:val="000000" w:themeColor="text1"/>
                <w:sz w:val="20"/>
                <w:szCs w:val="20"/>
                <w:lang w:val="en-US" w:eastAsia="de-DE" w:bidi="en-US"/>
              </w:rPr>
              <w:t>–</w:t>
            </w:r>
            <w:r w:rsidRPr="00E80A03">
              <w:rPr>
                <w:rFonts w:ascii="Palatino Linotype" w:eastAsia="Times New Roman" w:hAnsi="Palatino Linotype" w:cs="Times New Roman"/>
                <w:snapToGrid w:val="0"/>
                <w:color w:val="000000" w:themeColor="text1"/>
                <w:sz w:val="20"/>
                <w:szCs w:val="20"/>
                <w:lang w:val="en-US" w:eastAsia="de-DE" w:bidi="en-US"/>
              </w:rPr>
              <w:t>24.9</w:t>
            </w:r>
          </w:p>
        </w:tc>
        <w:tc>
          <w:tcPr>
            <w:tcW w:w="0" w:type="auto"/>
            <w:tcBorders>
              <w:top w:val="nil"/>
              <w:left w:val="nil"/>
              <w:bottom w:val="nil"/>
              <w:right w:val="nil"/>
            </w:tcBorders>
            <w:shd w:val="clear" w:color="auto" w:fill="auto"/>
            <w:vAlign w:val="center"/>
          </w:tcPr>
          <w:p w14:paraId="70BFF42F" w14:textId="77777777"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Normal</w:t>
            </w:r>
          </w:p>
        </w:tc>
      </w:tr>
      <w:tr w:rsidR="00DA56E6" w:rsidRPr="00E80A03" w14:paraId="54310EEF" w14:textId="77777777" w:rsidTr="00E80A03">
        <w:trPr>
          <w:jc w:val="center"/>
        </w:trPr>
        <w:tc>
          <w:tcPr>
            <w:tcW w:w="0" w:type="auto"/>
            <w:tcBorders>
              <w:top w:val="nil"/>
              <w:left w:val="nil"/>
              <w:bottom w:val="nil"/>
              <w:right w:val="nil"/>
            </w:tcBorders>
            <w:shd w:val="clear" w:color="auto" w:fill="auto"/>
            <w:vAlign w:val="center"/>
          </w:tcPr>
          <w:p w14:paraId="33077D8C" w14:textId="5012B396"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25</w:t>
            </w:r>
            <w:r w:rsidR="00FF032E" w:rsidRPr="00E80A03">
              <w:rPr>
                <w:rFonts w:ascii="Palatino Linotype" w:eastAsia="Times New Roman" w:hAnsi="Palatino Linotype" w:cs="Times New Roman"/>
                <w:snapToGrid w:val="0"/>
                <w:color w:val="000000" w:themeColor="text1"/>
                <w:sz w:val="20"/>
                <w:szCs w:val="20"/>
                <w:lang w:val="en-US" w:eastAsia="de-DE" w:bidi="en-US"/>
              </w:rPr>
              <w:t>–</w:t>
            </w:r>
            <w:r w:rsidRPr="00E80A03">
              <w:rPr>
                <w:rFonts w:ascii="Palatino Linotype" w:eastAsia="Times New Roman" w:hAnsi="Palatino Linotype" w:cs="Times New Roman"/>
                <w:snapToGrid w:val="0"/>
                <w:color w:val="000000" w:themeColor="text1"/>
                <w:sz w:val="20"/>
                <w:szCs w:val="20"/>
                <w:lang w:val="en-US" w:eastAsia="de-DE" w:bidi="en-US"/>
              </w:rPr>
              <w:t>29.9</w:t>
            </w:r>
          </w:p>
        </w:tc>
        <w:tc>
          <w:tcPr>
            <w:tcW w:w="0" w:type="auto"/>
            <w:tcBorders>
              <w:top w:val="nil"/>
              <w:left w:val="nil"/>
              <w:bottom w:val="nil"/>
              <w:right w:val="nil"/>
            </w:tcBorders>
            <w:shd w:val="clear" w:color="auto" w:fill="auto"/>
            <w:vAlign w:val="center"/>
          </w:tcPr>
          <w:p w14:paraId="41682A71" w14:textId="77777777"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Overweight</w:t>
            </w:r>
          </w:p>
        </w:tc>
      </w:tr>
      <w:tr w:rsidR="00DA56E6" w:rsidRPr="00E80A03" w14:paraId="27A97D14" w14:textId="77777777" w:rsidTr="00E80A03">
        <w:trPr>
          <w:jc w:val="center"/>
        </w:trPr>
        <w:tc>
          <w:tcPr>
            <w:tcW w:w="0" w:type="auto"/>
            <w:tcBorders>
              <w:top w:val="nil"/>
              <w:left w:val="nil"/>
              <w:bottom w:val="single" w:sz="8" w:space="0" w:color="auto"/>
              <w:right w:val="nil"/>
            </w:tcBorders>
            <w:shd w:val="clear" w:color="auto" w:fill="auto"/>
            <w:vAlign w:val="center"/>
          </w:tcPr>
          <w:p w14:paraId="7916D783" w14:textId="78806AB0"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≥30.0</w:t>
            </w:r>
          </w:p>
        </w:tc>
        <w:tc>
          <w:tcPr>
            <w:tcW w:w="0" w:type="auto"/>
            <w:tcBorders>
              <w:top w:val="nil"/>
              <w:left w:val="nil"/>
              <w:bottom w:val="single" w:sz="8" w:space="0" w:color="auto"/>
              <w:right w:val="nil"/>
            </w:tcBorders>
            <w:shd w:val="clear" w:color="auto" w:fill="auto"/>
            <w:vAlign w:val="center"/>
          </w:tcPr>
          <w:p w14:paraId="7C56C3FB" w14:textId="77777777" w:rsidR="00A22D7A" w:rsidRPr="00E80A03" w:rsidRDefault="00A22D7A" w:rsidP="00A22D7A">
            <w:pPr>
              <w:autoSpaceDE w:val="0"/>
              <w:autoSpaceDN w:val="0"/>
              <w:adjustRightInd w:val="0"/>
              <w:snapToGrid w:val="0"/>
              <w:spacing w:after="0" w:line="240" w:lineRule="auto"/>
              <w:jc w:val="center"/>
              <w:rPr>
                <w:rFonts w:ascii="Palatino Linotype" w:eastAsia="Times New Roman" w:hAnsi="Palatino Linotype" w:cs="Times New Roman"/>
                <w:snapToGrid w:val="0"/>
                <w:color w:val="000000" w:themeColor="text1"/>
                <w:sz w:val="20"/>
                <w:szCs w:val="20"/>
                <w:lang w:val="en-US" w:eastAsia="de-DE" w:bidi="en-US"/>
              </w:rPr>
            </w:pPr>
            <w:r w:rsidRPr="00E80A03">
              <w:rPr>
                <w:rFonts w:ascii="Palatino Linotype" w:eastAsia="Times New Roman" w:hAnsi="Palatino Linotype" w:cs="Times New Roman"/>
                <w:snapToGrid w:val="0"/>
                <w:color w:val="000000" w:themeColor="text1"/>
                <w:sz w:val="20"/>
                <w:szCs w:val="20"/>
                <w:lang w:val="en-US" w:eastAsia="de-DE" w:bidi="en-US"/>
              </w:rPr>
              <w:t>Obese</w:t>
            </w:r>
          </w:p>
        </w:tc>
      </w:tr>
    </w:tbl>
    <w:p w14:paraId="2C303CB6" w14:textId="77777777" w:rsidR="00A22D7A" w:rsidRDefault="00A22D7A" w:rsidP="00057D80">
      <w:pPr>
        <w:pStyle w:val="MDPI31text"/>
      </w:pPr>
      <w:bookmarkStart w:id="0" w:name="_GoBack"/>
      <w:bookmarkEnd w:id="0"/>
    </w:p>
    <w:sectPr w:rsidR="00A22D7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C98913" w14:textId="77777777" w:rsidR="00960352" w:rsidRDefault="00960352" w:rsidP="00FF032E">
      <w:pPr>
        <w:spacing w:after="0" w:line="240" w:lineRule="auto"/>
      </w:pPr>
      <w:r>
        <w:separator/>
      </w:r>
    </w:p>
  </w:endnote>
  <w:endnote w:type="continuationSeparator" w:id="0">
    <w:p w14:paraId="21F4945F" w14:textId="77777777" w:rsidR="00960352" w:rsidRDefault="00960352" w:rsidP="00FF03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65D5E" w14:textId="77777777" w:rsidR="00960352" w:rsidRDefault="00960352" w:rsidP="00FF032E">
      <w:pPr>
        <w:spacing w:after="0" w:line="240" w:lineRule="auto"/>
      </w:pPr>
      <w:r>
        <w:separator/>
      </w:r>
    </w:p>
  </w:footnote>
  <w:footnote w:type="continuationSeparator" w:id="0">
    <w:p w14:paraId="2B4BF520" w14:textId="77777777" w:rsidR="00960352" w:rsidRDefault="00960352" w:rsidP="00FF032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596E"/>
    <w:rsid w:val="00057D80"/>
    <w:rsid w:val="001C596E"/>
    <w:rsid w:val="002A2D0C"/>
    <w:rsid w:val="005633D4"/>
    <w:rsid w:val="00960352"/>
    <w:rsid w:val="00A22D7A"/>
    <w:rsid w:val="00C24553"/>
    <w:rsid w:val="00C7370B"/>
    <w:rsid w:val="00DA56E6"/>
    <w:rsid w:val="00E80A03"/>
    <w:rsid w:val="00F743D4"/>
    <w:rsid w:val="00FF032E"/>
  </w:rsids>
  <m:mathPr>
    <m:mathFont m:val="Cambria Math"/>
    <m:brkBin m:val="before"/>
    <m:brkBinSub m:val="--"/>
    <m:smallFrac m:val="0"/>
    <m:dispDef/>
    <m:lMargin m:val="0"/>
    <m:rMargin m:val="0"/>
    <m:defJc m:val="centerGroup"/>
    <m:wrapIndent m:val="1440"/>
    <m:intLim m:val="subSup"/>
    <m:naryLim m:val="undOvr"/>
  </m:mathPr>
  <w:themeFontLang w:val="en-MY"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AFD36A"/>
  <w15:chartTrackingRefBased/>
  <w15:docId w15:val="{26CDA68E-2DC2-4F3B-866C-FB84E07F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31text">
    <w:name w:val="MDPI_3.1_text"/>
    <w:link w:val="MDPI31textChar"/>
    <w:qFormat/>
    <w:rsid w:val="00057D80"/>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23heading3">
    <w:name w:val="MDPI_2.3_heading3"/>
    <w:basedOn w:val="MDPI31text"/>
    <w:qFormat/>
    <w:rsid w:val="00057D80"/>
    <w:pPr>
      <w:spacing w:before="240" w:after="120"/>
      <w:ind w:firstLine="0"/>
      <w:jc w:val="left"/>
      <w:outlineLvl w:val="2"/>
    </w:pPr>
  </w:style>
  <w:style w:type="character" w:customStyle="1" w:styleId="MDPI31textChar">
    <w:name w:val="MDPI_3.1_text Char"/>
    <w:link w:val="MDPI31text"/>
    <w:rsid w:val="00057D80"/>
    <w:rPr>
      <w:rFonts w:ascii="Palatino Linotype" w:eastAsia="Times New Roman" w:hAnsi="Palatino Linotype" w:cs="Times New Roman"/>
      <w:snapToGrid w:val="0"/>
      <w:color w:val="000000"/>
      <w:sz w:val="20"/>
      <w:lang w:val="en-US" w:eastAsia="de-DE" w:bidi="en-US"/>
    </w:rPr>
  </w:style>
  <w:style w:type="paragraph" w:styleId="Header">
    <w:name w:val="header"/>
    <w:basedOn w:val="Normal"/>
    <w:link w:val="HeaderChar"/>
    <w:uiPriority w:val="99"/>
    <w:unhideWhenUsed/>
    <w:rsid w:val="00FF032E"/>
    <w:pPr>
      <w:pBdr>
        <w:bottom w:val="single" w:sz="6" w:space="1" w:color="auto"/>
      </w:pBdr>
      <w:tabs>
        <w:tab w:val="center" w:pos="4153"/>
        <w:tab w:val="right" w:pos="8306"/>
      </w:tabs>
      <w:snapToGrid w:val="0"/>
      <w:spacing w:line="240" w:lineRule="auto"/>
      <w:jc w:val="center"/>
    </w:pPr>
    <w:rPr>
      <w:sz w:val="18"/>
      <w:szCs w:val="18"/>
    </w:rPr>
  </w:style>
  <w:style w:type="character" w:customStyle="1" w:styleId="HeaderChar">
    <w:name w:val="Header Char"/>
    <w:basedOn w:val="DefaultParagraphFont"/>
    <w:link w:val="Header"/>
    <w:uiPriority w:val="99"/>
    <w:rsid w:val="00FF032E"/>
    <w:rPr>
      <w:sz w:val="18"/>
      <w:szCs w:val="18"/>
    </w:rPr>
  </w:style>
  <w:style w:type="paragraph" w:styleId="Footer">
    <w:name w:val="footer"/>
    <w:basedOn w:val="Normal"/>
    <w:link w:val="FooterChar"/>
    <w:uiPriority w:val="99"/>
    <w:unhideWhenUsed/>
    <w:rsid w:val="00FF032E"/>
    <w:pPr>
      <w:tabs>
        <w:tab w:val="center" w:pos="4153"/>
        <w:tab w:val="right" w:pos="8306"/>
      </w:tabs>
      <w:snapToGrid w:val="0"/>
      <w:spacing w:line="240" w:lineRule="auto"/>
    </w:pPr>
    <w:rPr>
      <w:sz w:val="18"/>
      <w:szCs w:val="18"/>
    </w:rPr>
  </w:style>
  <w:style w:type="character" w:customStyle="1" w:styleId="FooterChar">
    <w:name w:val="Footer Char"/>
    <w:basedOn w:val="DefaultParagraphFont"/>
    <w:link w:val="Footer"/>
    <w:uiPriority w:val="99"/>
    <w:rsid w:val="00FF032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724</Words>
  <Characters>3425</Characters>
  <Application>Microsoft Office Word</Application>
  <DocSecurity>0</DocSecurity>
  <Lines>61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Hashem</dc:creator>
  <cp:keywords/>
  <dc:description/>
  <cp:lastModifiedBy>mdpi</cp:lastModifiedBy>
  <cp:revision>4</cp:revision>
  <dcterms:created xsi:type="dcterms:W3CDTF">2019-01-24T02:57:00Z</dcterms:created>
  <dcterms:modified xsi:type="dcterms:W3CDTF">2019-01-24T03:01:00Z</dcterms:modified>
</cp:coreProperties>
</file>