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6E9" w:rsidRPr="008D66E9" w:rsidRDefault="008D66E9" w:rsidP="008D66E9">
      <w:pPr>
        <w:pStyle w:val="MDPI21heading1"/>
      </w:pPr>
      <w:r w:rsidRPr="008D66E9">
        <w:t>Supplementary Materials</w:t>
      </w:r>
    </w:p>
    <w:p w:rsidR="008D66E9" w:rsidRPr="008D66E9" w:rsidRDefault="008D66E9" w:rsidP="008D66E9">
      <w:pPr>
        <w:pStyle w:val="MDPI41tablecaption"/>
        <w:rPr>
          <w:b/>
        </w:rPr>
      </w:pPr>
      <w:r w:rsidRPr="008D66E9">
        <w:rPr>
          <w:b/>
        </w:rPr>
        <w:t xml:space="preserve">Table S1. </w:t>
      </w:r>
      <w:r w:rsidRPr="008D66E9">
        <w:t>Baseline characteristics of completers and drop-outs of the home-based exercise program, and differences between both groups.</w:t>
      </w:r>
    </w:p>
    <w:tbl>
      <w:tblPr>
        <w:tblW w:w="8134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1417"/>
        <w:gridCol w:w="1614"/>
      </w:tblGrid>
      <w:tr w:rsidR="008D66E9" w:rsidRPr="008D66E9" w:rsidTr="0060313F">
        <w:trPr>
          <w:jc w:val="center"/>
        </w:trPr>
        <w:tc>
          <w:tcPr>
            <w:tcW w:w="3402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D66E9" w:rsidRPr="008D66E9" w:rsidRDefault="008D66E9" w:rsidP="0060313F">
            <w:pPr>
              <w:pStyle w:val="NoSpacing"/>
              <w:autoSpaceDE w:val="0"/>
              <w:autoSpaceDN w:val="0"/>
              <w:adjustRightInd w:val="0"/>
              <w:snapToGrid w:val="0"/>
              <w:spacing w:before="2" w:after="2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b/>
                <w:sz w:val="20"/>
                <w:szCs w:val="20"/>
              </w:rPr>
              <w:t>Completers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b/>
                <w:sz w:val="20"/>
                <w:szCs w:val="20"/>
              </w:rPr>
              <w:t>(n=195)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b/>
                <w:sz w:val="20"/>
                <w:szCs w:val="20"/>
              </w:rPr>
              <w:t>Drop-outs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b/>
                <w:sz w:val="20"/>
                <w:szCs w:val="20"/>
              </w:rPr>
              <w:t>(n=43)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b/>
                <w:sz w:val="20"/>
                <w:szCs w:val="20"/>
              </w:rPr>
              <w:t>Difference between completers and drop-outs*</w:t>
            </w:r>
          </w:p>
        </w:tc>
      </w:tr>
      <w:tr w:rsidR="008D66E9" w:rsidRPr="008D66E9" w:rsidTr="0060313F">
        <w:trPr>
          <w:jc w:val="center"/>
        </w:trPr>
        <w:tc>
          <w:tcPr>
            <w:tcW w:w="3402" w:type="dxa"/>
            <w:tcBorders>
              <w:left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b/>
                <w:sz w:val="20"/>
                <w:szCs w:val="20"/>
              </w:rPr>
              <w:t>Demographic characteristics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i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i/>
                <w:sz w:val="20"/>
                <w:szCs w:val="20"/>
              </w:rPr>
              <w:t>n (%)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i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i/>
                <w:sz w:val="20"/>
                <w:szCs w:val="20"/>
              </w:rPr>
              <w:t>n (%)</w:t>
            </w:r>
          </w:p>
        </w:tc>
        <w:tc>
          <w:tcPr>
            <w:tcW w:w="1614" w:type="dxa"/>
            <w:tcBorders>
              <w:left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i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i/>
                <w:sz w:val="20"/>
                <w:szCs w:val="20"/>
              </w:rPr>
              <w:t>p-value</w:t>
            </w:r>
          </w:p>
        </w:tc>
      </w:tr>
      <w:tr w:rsidR="008D66E9" w:rsidRPr="008D66E9" w:rsidTr="0060313F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Female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140 (72)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29 (67)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0.57</w:t>
            </w:r>
          </w:p>
        </w:tc>
      </w:tr>
      <w:tr w:rsidR="008D66E9" w:rsidRPr="008D66E9" w:rsidTr="0060313F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Age - mean ± SD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80.9 ± 6.6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82.2 ± 6.9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0.24</w:t>
            </w:r>
          </w:p>
        </w:tc>
      </w:tr>
      <w:tr w:rsidR="008D66E9" w:rsidRPr="008D66E9" w:rsidTr="0060313F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Living alone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124 (64)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27 (63)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0.92</w:t>
            </w:r>
          </w:p>
        </w:tc>
      </w:tr>
      <w:tr w:rsidR="008D66E9" w:rsidRPr="008D66E9" w:rsidTr="0060313F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Education</w:t>
            </w:r>
          </w:p>
          <w:p w:rsidR="008D66E9" w:rsidRPr="008D66E9" w:rsidRDefault="008D66E9" w:rsidP="0060313F">
            <w:pPr>
              <w:pStyle w:val="NoSpacing"/>
              <w:spacing w:before="2" w:after="2"/>
              <w:ind w:left="708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low</w:t>
            </w:r>
          </w:p>
          <w:p w:rsidR="008D66E9" w:rsidRPr="008D66E9" w:rsidRDefault="008D66E9" w:rsidP="0060313F">
            <w:pPr>
              <w:pStyle w:val="NoSpacing"/>
              <w:spacing w:before="2" w:after="2"/>
              <w:ind w:left="708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middle</w:t>
            </w:r>
          </w:p>
          <w:p w:rsidR="008D66E9" w:rsidRPr="008D66E9" w:rsidRDefault="008D66E9" w:rsidP="0060313F">
            <w:pPr>
              <w:pStyle w:val="NoSpacing"/>
              <w:spacing w:before="2" w:after="2"/>
              <w:ind w:left="708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high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53 (27)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108 (55)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34 (17)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17 (40)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22 (51)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4 (9)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0.11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0.62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0.19</w:t>
            </w:r>
          </w:p>
        </w:tc>
      </w:tr>
      <w:tr w:rsidR="008D66E9" w:rsidRPr="008D66E9" w:rsidTr="0060313F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b/>
                <w:sz w:val="20"/>
                <w:szCs w:val="20"/>
              </w:rPr>
              <w:t>Health-related outcomes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i/>
                <w:sz w:val="20"/>
                <w:szCs w:val="20"/>
              </w:rPr>
            </w:pP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i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i/>
                <w:sz w:val="20"/>
                <w:szCs w:val="20"/>
              </w:rPr>
              <w:t>mean</w:t>
            </w:r>
            <w:r w:rsidRPr="008D66E9">
              <w:rPr>
                <w:rFonts w:ascii="Palatino Linotype" w:hAnsi="Palatino Linotype" w:cs="Arial"/>
                <w:b/>
                <w:i/>
                <w:sz w:val="20"/>
                <w:szCs w:val="20"/>
              </w:rPr>
              <w:t xml:space="preserve"> </w:t>
            </w:r>
            <w:r w:rsidRPr="008D66E9">
              <w:rPr>
                <w:rFonts w:ascii="Palatino Linotype" w:hAnsi="Palatino Linotype" w:cs="Arial"/>
                <w:i/>
                <w:sz w:val="20"/>
                <w:szCs w:val="20"/>
              </w:rPr>
              <w:t>± SD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i/>
                <w:sz w:val="20"/>
                <w:szCs w:val="20"/>
              </w:rPr>
            </w:pP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i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i/>
                <w:sz w:val="20"/>
                <w:szCs w:val="20"/>
              </w:rPr>
              <w:t>mean</w:t>
            </w:r>
            <w:r w:rsidRPr="008D66E9">
              <w:rPr>
                <w:rFonts w:ascii="Palatino Linotype" w:hAnsi="Palatino Linotype" w:cs="Arial"/>
                <w:b/>
                <w:i/>
                <w:sz w:val="20"/>
                <w:szCs w:val="20"/>
              </w:rPr>
              <w:t xml:space="preserve"> </w:t>
            </w:r>
            <w:r w:rsidRPr="008D66E9">
              <w:rPr>
                <w:rFonts w:ascii="Palatino Linotype" w:hAnsi="Palatino Linotype" w:cs="Arial"/>
                <w:i/>
                <w:sz w:val="20"/>
                <w:szCs w:val="20"/>
              </w:rPr>
              <w:t>± SD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i/>
                <w:sz w:val="20"/>
                <w:szCs w:val="20"/>
              </w:rPr>
            </w:pP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i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i/>
                <w:sz w:val="20"/>
                <w:szCs w:val="20"/>
              </w:rPr>
              <w:t>p-value</w:t>
            </w:r>
          </w:p>
        </w:tc>
      </w:tr>
      <w:tr w:rsidR="008D66E9" w:rsidRPr="008D66E9" w:rsidTr="0060313F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Quality of life (EQ-5D + cognition)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0.65 ± 0.24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 xml:space="preserve">0.61 ± 0.23 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0.35</w:t>
            </w:r>
          </w:p>
        </w:tc>
      </w:tr>
      <w:tr w:rsidR="008D66E9" w:rsidRPr="008D66E9" w:rsidTr="0060313F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Elevated fall risk - n (%)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  <w:vertAlign w:val="superscript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133 (69)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28 (65)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0.60</w:t>
            </w:r>
          </w:p>
        </w:tc>
      </w:tr>
      <w:tr w:rsidR="008D66E9" w:rsidRPr="008D66E9" w:rsidTr="0060313F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  <w:vertAlign w:val="superscript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Mobility (TUG) in seconds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  <w:vertAlign w:val="superscript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16.9 ± 8.9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  <w:vertAlign w:val="superscript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17.8 ± 9.8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0.58</w:t>
            </w:r>
          </w:p>
        </w:tc>
      </w:tr>
      <w:tr w:rsidR="008D66E9" w:rsidRPr="008D66E9" w:rsidTr="0060313F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 xml:space="preserve">Concern about falling (Short FES-I)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9.8 ± 3.9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9.7 ± 4.7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0.84</w:t>
            </w:r>
          </w:p>
        </w:tc>
      </w:tr>
      <w:tr w:rsidR="008D66E9" w:rsidRPr="008D66E9" w:rsidTr="0060313F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Self-management (SMAS-S)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  <w:vertAlign w:val="superscript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60.1 ± 16.0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55.4 ± 16.5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0.08</w:t>
            </w:r>
          </w:p>
        </w:tc>
      </w:tr>
      <w:tr w:rsidR="008D66E9" w:rsidRPr="008D66E9" w:rsidTr="0060313F">
        <w:trPr>
          <w:jc w:val="center"/>
        </w:trPr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General health (SF-20)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3</w:t>
            </w:r>
          </w:p>
          <w:p w:rsidR="008D66E9" w:rsidRPr="008D66E9" w:rsidRDefault="008D66E9" w:rsidP="0060313F">
            <w:pPr>
              <w:pStyle w:val="NoSpacing"/>
              <w:spacing w:before="2" w:after="2"/>
              <w:ind w:left="708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physical functioning</w:t>
            </w:r>
          </w:p>
          <w:p w:rsidR="008D66E9" w:rsidRPr="008D66E9" w:rsidRDefault="008D66E9" w:rsidP="0060313F">
            <w:pPr>
              <w:pStyle w:val="NoSpacing"/>
              <w:spacing w:before="2" w:after="2"/>
              <w:ind w:left="708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role functioning</w:t>
            </w:r>
          </w:p>
          <w:p w:rsidR="008D66E9" w:rsidRPr="008D66E9" w:rsidRDefault="008D66E9" w:rsidP="0060313F">
            <w:pPr>
              <w:pStyle w:val="NoSpacing"/>
              <w:spacing w:before="2" w:after="2"/>
              <w:ind w:left="708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social functioning</w:t>
            </w:r>
          </w:p>
          <w:p w:rsidR="008D66E9" w:rsidRPr="008D66E9" w:rsidRDefault="008D66E9" w:rsidP="0060313F">
            <w:pPr>
              <w:pStyle w:val="NoSpacing"/>
              <w:spacing w:before="2" w:after="2"/>
              <w:ind w:left="708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mental health</w:t>
            </w:r>
          </w:p>
          <w:p w:rsidR="008D66E9" w:rsidRPr="008D66E9" w:rsidRDefault="008D66E9" w:rsidP="0060313F">
            <w:pPr>
              <w:pStyle w:val="NoSpacing"/>
              <w:spacing w:before="2" w:after="2"/>
              <w:ind w:left="708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current health perceptions</w:t>
            </w:r>
          </w:p>
          <w:p w:rsidR="008D66E9" w:rsidRPr="008D66E9" w:rsidRDefault="008D66E9" w:rsidP="0060313F">
            <w:pPr>
              <w:pStyle w:val="NoSpacing"/>
              <w:spacing w:before="2" w:after="2"/>
              <w:ind w:left="708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pain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  <w:vertAlign w:val="superscript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45.1 ± 31.6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c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29.2 ± 41.1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74.5 ± 32.7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  <w:vertAlign w:val="superscript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73.2 ± 20.8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c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  <w:vertAlign w:val="superscript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46.9 ± 21.1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c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31.9 ± 27.8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45.0 ± 32.4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26.7 ± 42.7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63.7 ± 38.6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72.3 ± 20.5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44.1 ± 21.4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37.8 ± 26.9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0.98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0.72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0.10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0.79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0.43</w:t>
            </w:r>
          </w:p>
          <w:p w:rsidR="008D66E9" w:rsidRPr="008D66E9" w:rsidRDefault="008D66E9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0.21</w:t>
            </w:r>
          </w:p>
        </w:tc>
      </w:tr>
    </w:tbl>
    <w:p w:rsidR="00C42523" w:rsidRDefault="008D66E9" w:rsidP="00544888">
      <w:pPr>
        <w:pStyle w:val="MDPI43tablefooter"/>
        <w:ind w:left="425" w:right="425"/>
      </w:pPr>
      <w:r w:rsidRPr="008D66E9">
        <w:t xml:space="preserve">SD: Standard deviation; </w:t>
      </w:r>
      <w:r w:rsidRPr="008D66E9">
        <w:rPr>
          <w:vertAlign w:val="superscript"/>
        </w:rPr>
        <w:t>1</w:t>
      </w:r>
      <w:r w:rsidRPr="008D66E9">
        <w:t xml:space="preserve">: Mean scores range from 0 (death) to 1 (full health); </w:t>
      </w:r>
      <w:r w:rsidRPr="008D66E9">
        <w:rPr>
          <w:vertAlign w:val="superscript"/>
        </w:rPr>
        <w:t>2</w:t>
      </w:r>
      <w:r w:rsidRPr="008D66E9">
        <w:t xml:space="preserve">: Scores range from 0-100, a higher score means better self-management abilities; </w:t>
      </w:r>
      <w:r w:rsidRPr="008D66E9">
        <w:rPr>
          <w:vertAlign w:val="superscript"/>
        </w:rPr>
        <w:t>3</w:t>
      </w:r>
      <w:r w:rsidRPr="008D66E9">
        <w:t xml:space="preserve">: Scores range from 0-100, a higher score means better functioning, and for pain, a higher score means a higher degree of pain; </w:t>
      </w:r>
      <w:r w:rsidRPr="008D66E9">
        <w:rPr>
          <w:vertAlign w:val="superscript"/>
        </w:rPr>
        <w:t>a</w:t>
      </w:r>
      <w:r w:rsidRPr="008D66E9">
        <w:t xml:space="preserve">: n=192; </w:t>
      </w:r>
      <w:r w:rsidRPr="008D66E9">
        <w:rPr>
          <w:vertAlign w:val="superscript"/>
        </w:rPr>
        <w:t>b</w:t>
      </w:r>
      <w:r w:rsidRPr="008D66E9">
        <w:t xml:space="preserve">: n=178, as seventeen participants were not able to do the test; </w:t>
      </w:r>
      <w:r w:rsidRPr="008D66E9">
        <w:rPr>
          <w:vertAlign w:val="superscript"/>
        </w:rPr>
        <w:t>c</w:t>
      </w:r>
      <w:r w:rsidRPr="008D66E9">
        <w:t xml:space="preserve">: n=194; </w:t>
      </w:r>
      <w:r w:rsidRPr="008D66E9">
        <w:rPr>
          <w:vertAlign w:val="superscript"/>
        </w:rPr>
        <w:t>d</w:t>
      </w:r>
      <w:r w:rsidRPr="008D66E9">
        <w:t>: n=39, as four participants were not able to do the test; *: Independent samples t-test for continuous variables, Chi-squared test for dichotomous variables. A p-value &lt;0.05 is considered a statistically significant difference.</w:t>
      </w:r>
    </w:p>
    <w:p w:rsidR="00C42523" w:rsidRDefault="00C42523">
      <w:pPr>
        <w:spacing w:after="200" w:line="276" w:lineRule="auto"/>
        <w:jc w:val="left"/>
        <w:rPr>
          <w:rFonts w:ascii="Palatino Linotype" w:hAnsi="Palatino Linotype"/>
          <w:sz w:val="18"/>
          <w:szCs w:val="22"/>
          <w:lang w:bidi="en-US"/>
        </w:rPr>
      </w:pPr>
      <w:r>
        <w:br w:type="page"/>
      </w:r>
    </w:p>
    <w:p w:rsidR="00C42523" w:rsidRPr="008D66E9" w:rsidRDefault="00C42523" w:rsidP="00C42523">
      <w:pPr>
        <w:pStyle w:val="MDPI41tablecaption"/>
        <w:rPr>
          <w:b/>
        </w:rPr>
      </w:pPr>
      <w:bookmarkStart w:id="0" w:name="_GoBack"/>
      <w:bookmarkEnd w:id="0"/>
      <w:r w:rsidRPr="008D66E9">
        <w:rPr>
          <w:b/>
        </w:rPr>
        <w:lastRenderedPageBreak/>
        <w:t xml:space="preserve">Table S2. </w:t>
      </w:r>
      <w:r w:rsidRPr="008D66E9">
        <w:t>Baseline and follow-up health-related outcomes of individuals frequently participating in the home-based exercise program.</w:t>
      </w:r>
    </w:p>
    <w:tbl>
      <w:tblPr>
        <w:tblW w:w="6520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1417"/>
      </w:tblGrid>
      <w:tr w:rsidR="00C42523" w:rsidRPr="008D66E9" w:rsidTr="0060313F">
        <w:trPr>
          <w:jc w:val="center"/>
        </w:trPr>
        <w:tc>
          <w:tcPr>
            <w:tcW w:w="3402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C42523" w:rsidRPr="008D66E9" w:rsidRDefault="00C42523" w:rsidP="0060313F">
            <w:pPr>
              <w:pStyle w:val="NoSpacing"/>
              <w:autoSpaceDE w:val="0"/>
              <w:autoSpaceDN w:val="0"/>
              <w:adjustRightInd w:val="0"/>
              <w:snapToGrid w:val="0"/>
              <w:spacing w:before="2" w:after="2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b/>
                <w:sz w:val="20"/>
                <w:szCs w:val="20"/>
              </w:rPr>
              <w:t>Baseline frequent participation</w:t>
            </w:r>
          </w:p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b/>
                <w:sz w:val="20"/>
                <w:szCs w:val="20"/>
              </w:rPr>
              <w:t>(n=102)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b/>
                <w:sz w:val="20"/>
                <w:szCs w:val="20"/>
              </w:rPr>
              <w:t>Follow-up frequent participation</w:t>
            </w:r>
          </w:p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b/>
                <w:sz w:val="20"/>
                <w:szCs w:val="20"/>
              </w:rPr>
              <w:t>(n=102)</w:t>
            </w:r>
          </w:p>
        </w:tc>
      </w:tr>
      <w:tr w:rsidR="00C42523" w:rsidRPr="008D66E9" w:rsidTr="0060313F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b/>
                <w:sz w:val="20"/>
                <w:szCs w:val="20"/>
              </w:rPr>
              <w:t>Health-related outcomes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i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i/>
                <w:sz w:val="20"/>
                <w:szCs w:val="20"/>
              </w:rPr>
              <w:t>mean</w:t>
            </w:r>
            <w:r w:rsidRPr="008D66E9">
              <w:rPr>
                <w:rFonts w:ascii="Palatino Linotype" w:hAnsi="Palatino Linotype" w:cs="Arial"/>
                <w:b/>
                <w:i/>
                <w:sz w:val="20"/>
                <w:szCs w:val="20"/>
              </w:rPr>
              <w:t xml:space="preserve"> </w:t>
            </w:r>
            <w:r w:rsidRPr="008D66E9">
              <w:rPr>
                <w:rFonts w:ascii="Palatino Linotype" w:hAnsi="Palatino Linotype" w:cs="Arial"/>
                <w:i/>
                <w:sz w:val="20"/>
                <w:szCs w:val="20"/>
              </w:rPr>
              <w:t>± SD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i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i/>
                <w:sz w:val="20"/>
                <w:szCs w:val="20"/>
              </w:rPr>
              <w:t>mean</w:t>
            </w:r>
            <w:r w:rsidRPr="008D66E9">
              <w:rPr>
                <w:rFonts w:ascii="Palatino Linotype" w:hAnsi="Palatino Linotype" w:cs="Arial"/>
                <w:b/>
                <w:i/>
                <w:sz w:val="20"/>
                <w:szCs w:val="20"/>
              </w:rPr>
              <w:t xml:space="preserve"> </w:t>
            </w:r>
            <w:r w:rsidRPr="008D66E9">
              <w:rPr>
                <w:rFonts w:ascii="Palatino Linotype" w:hAnsi="Palatino Linotype" w:cs="Arial"/>
                <w:i/>
                <w:sz w:val="20"/>
                <w:szCs w:val="20"/>
              </w:rPr>
              <w:t>± SD</w:t>
            </w:r>
          </w:p>
        </w:tc>
      </w:tr>
      <w:tr w:rsidR="00C42523" w:rsidRPr="008D66E9" w:rsidTr="0060313F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Quality of life (EQ-5D + cognition)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0.70 ± 0.23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  <w:vertAlign w:val="superscript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0.70 ± 0.26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c</w:t>
            </w:r>
          </w:p>
        </w:tc>
      </w:tr>
      <w:tr w:rsidR="00C42523" w:rsidRPr="008D66E9" w:rsidTr="0060313F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Elevated fall risk - n (%)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rPr>
                <w:rFonts w:ascii="Palatino Linotype" w:hAnsi="Palatino Linotype" w:cs="Arial"/>
                <w:sz w:val="20"/>
                <w:szCs w:val="20"/>
                <w:vertAlign w:val="superscript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65 (64)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C42523" w:rsidRPr="008D66E9" w:rsidTr="0060313F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  <w:vertAlign w:val="superscript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Mobility (TUG) in seconds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rPr>
                <w:rFonts w:ascii="Palatino Linotype" w:hAnsi="Palatino Linotype" w:cs="Arial"/>
                <w:sz w:val="20"/>
                <w:szCs w:val="20"/>
                <w:vertAlign w:val="superscript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16.2 ± 7.9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  <w:vertAlign w:val="superscript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16.9 ± 9.1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d</w:t>
            </w:r>
          </w:p>
        </w:tc>
      </w:tr>
      <w:tr w:rsidR="00C42523" w:rsidRPr="008D66E9" w:rsidTr="0060313F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 xml:space="preserve">Concern about falling (Short FES-I)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9.9 ± 3.6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  <w:vertAlign w:val="superscript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9.9 ± 4.3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c</w:t>
            </w:r>
          </w:p>
        </w:tc>
      </w:tr>
      <w:tr w:rsidR="00C42523" w:rsidRPr="008D66E9" w:rsidTr="0060313F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Self-management (SMAS-S)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63.8 ± 14.9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61.6 ± 14.5</w:t>
            </w:r>
          </w:p>
        </w:tc>
      </w:tr>
      <w:tr w:rsidR="00C42523" w:rsidRPr="008D66E9" w:rsidTr="0060313F">
        <w:trPr>
          <w:jc w:val="center"/>
        </w:trPr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General health (SF-20)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3</w:t>
            </w:r>
          </w:p>
          <w:p w:rsidR="00C42523" w:rsidRPr="008D66E9" w:rsidRDefault="00C42523" w:rsidP="0060313F">
            <w:pPr>
              <w:pStyle w:val="NoSpacing"/>
              <w:spacing w:before="2" w:after="2"/>
              <w:ind w:left="708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physical functioning</w:t>
            </w:r>
          </w:p>
          <w:p w:rsidR="00C42523" w:rsidRPr="008D66E9" w:rsidRDefault="00C42523" w:rsidP="0060313F">
            <w:pPr>
              <w:pStyle w:val="NoSpacing"/>
              <w:spacing w:before="2" w:after="2"/>
              <w:ind w:left="708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role functioning</w:t>
            </w:r>
          </w:p>
          <w:p w:rsidR="00C42523" w:rsidRPr="008D66E9" w:rsidRDefault="00C42523" w:rsidP="0060313F">
            <w:pPr>
              <w:pStyle w:val="NoSpacing"/>
              <w:spacing w:before="2" w:after="2"/>
              <w:ind w:left="708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social functioning</w:t>
            </w:r>
          </w:p>
          <w:p w:rsidR="00C42523" w:rsidRPr="008D66E9" w:rsidRDefault="00C42523" w:rsidP="0060313F">
            <w:pPr>
              <w:pStyle w:val="NoSpacing"/>
              <w:spacing w:before="2" w:after="2"/>
              <w:ind w:left="708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mental health</w:t>
            </w:r>
          </w:p>
          <w:p w:rsidR="00C42523" w:rsidRPr="008D66E9" w:rsidRDefault="00C42523" w:rsidP="0060313F">
            <w:pPr>
              <w:pStyle w:val="NoSpacing"/>
              <w:spacing w:before="2" w:after="2"/>
              <w:ind w:left="708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current health perceptions</w:t>
            </w:r>
          </w:p>
          <w:p w:rsidR="00C42523" w:rsidRPr="008D66E9" w:rsidRDefault="00C42523" w:rsidP="0060313F">
            <w:pPr>
              <w:pStyle w:val="NoSpacing"/>
              <w:spacing w:before="2" w:after="2"/>
              <w:ind w:left="708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pain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C42523" w:rsidRPr="008D66E9" w:rsidRDefault="00C42523" w:rsidP="0060313F">
            <w:pPr>
              <w:pStyle w:val="NoSpacing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50.2 ± 32.0</w:t>
            </w:r>
          </w:p>
          <w:p w:rsidR="00C42523" w:rsidRPr="008D66E9" w:rsidRDefault="00C42523" w:rsidP="0060313F">
            <w:pPr>
              <w:pStyle w:val="NoSpacing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34.3 ± 43.9</w:t>
            </w:r>
          </w:p>
          <w:p w:rsidR="00C42523" w:rsidRPr="008D66E9" w:rsidRDefault="00C42523" w:rsidP="0060313F">
            <w:pPr>
              <w:pStyle w:val="NoSpacing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76.3 ± 32.5</w:t>
            </w:r>
          </w:p>
          <w:p w:rsidR="00C42523" w:rsidRPr="008D66E9" w:rsidRDefault="00C42523" w:rsidP="0060313F">
            <w:pPr>
              <w:pStyle w:val="NoSpacing"/>
              <w:rPr>
                <w:rFonts w:ascii="Palatino Linotype" w:hAnsi="Palatino Linotype" w:cs="Arial"/>
                <w:sz w:val="20"/>
                <w:szCs w:val="20"/>
                <w:vertAlign w:val="superscript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74.1 ± 20.8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a</w:t>
            </w:r>
          </w:p>
          <w:p w:rsidR="00C42523" w:rsidRPr="008D66E9" w:rsidRDefault="00C42523" w:rsidP="0060313F">
            <w:pPr>
              <w:pStyle w:val="NoSpacing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47.1 ± 20.5</w:t>
            </w:r>
          </w:p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35.8 ± 27.1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  <w:vertAlign w:val="superscript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51.7 ± 31.1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e</w:t>
            </w:r>
          </w:p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36.3 ± 42.3</w:t>
            </w:r>
          </w:p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73.9 ± 33.4</w:t>
            </w:r>
          </w:p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75.1 ± 20.8</w:t>
            </w:r>
          </w:p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  <w:vertAlign w:val="superscript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49.0 ± 19.4</w:t>
            </w:r>
            <w:r w:rsidRPr="008D66E9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c</w:t>
            </w:r>
          </w:p>
          <w:p w:rsidR="00C42523" w:rsidRPr="008D66E9" w:rsidRDefault="00C42523" w:rsidP="0060313F">
            <w:pPr>
              <w:pStyle w:val="NoSpacing"/>
              <w:spacing w:before="2" w:after="2"/>
              <w:rPr>
                <w:rFonts w:ascii="Palatino Linotype" w:hAnsi="Palatino Linotype" w:cs="Arial"/>
                <w:sz w:val="20"/>
                <w:szCs w:val="20"/>
              </w:rPr>
            </w:pPr>
            <w:r w:rsidRPr="008D66E9">
              <w:rPr>
                <w:rFonts w:ascii="Palatino Linotype" w:hAnsi="Palatino Linotype" w:cs="Arial"/>
                <w:sz w:val="20"/>
                <w:szCs w:val="20"/>
              </w:rPr>
              <w:t>36.0 ± 26.7</w:t>
            </w:r>
          </w:p>
        </w:tc>
      </w:tr>
    </w:tbl>
    <w:p w:rsidR="00C42523" w:rsidRPr="008D66E9" w:rsidRDefault="00C42523" w:rsidP="00C42523">
      <w:pPr>
        <w:pStyle w:val="MDPI43tablefooter"/>
        <w:ind w:left="425" w:right="425"/>
      </w:pPr>
      <w:r w:rsidRPr="008D66E9">
        <w:t xml:space="preserve">SD: Standard deviation; </w:t>
      </w:r>
      <w:r w:rsidRPr="008D66E9">
        <w:rPr>
          <w:vertAlign w:val="superscript"/>
        </w:rPr>
        <w:t>1</w:t>
      </w:r>
      <w:r w:rsidRPr="008D66E9">
        <w:t xml:space="preserve">: Mean scores range from 0 (death) to 1 (full health); </w:t>
      </w:r>
      <w:r w:rsidRPr="008D66E9">
        <w:rPr>
          <w:vertAlign w:val="superscript"/>
        </w:rPr>
        <w:t>2</w:t>
      </w:r>
      <w:r w:rsidRPr="008D66E9">
        <w:t xml:space="preserve">: Scores range from 0-100, a higher score means better self-management abilities; </w:t>
      </w:r>
      <w:r w:rsidRPr="008D66E9">
        <w:rPr>
          <w:vertAlign w:val="superscript"/>
        </w:rPr>
        <w:t>3</w:t>
      </w:r>
      <w:r w:rsidRPr="008D66E9">
        <w:t xml:space="preserve">: Scores range from 0-100, a higher score means better functioning, and for pain, a higher score means a higher degree of pain; </w:t>
      </w:r>
      <w:r w:rsidRPr="008D66E9">
        <w:rPr>
          <w:vertAlign w:val="superscript"/>
        </w:rPr>
        <w:t>a</w:t>
      </w:r>
      <w:r w:rsidRPr="008D66E9">
        <w:t xml:space="preserve">: n=101; </w:t>
      </w:r>
      <w:r w:rsidRPr="008D66E9">
        <w:rPr>
          <w:vertAlign w:val="superscript"/>
        </w:rPr>
        <w:t>b</w:t>
      </w:r>
      <w:r w:rsidRPr="008D66E9">
        <w:t xml:space="preserve">: n=96, as six participants were not able to do the test; </w:t>
      </w:r>
      <w:r w:rsidRPr="008D66E9">
        <w:rPr>
          <w:vertAlign w:val="superscript"/>
        </w:rPr>
        <w:t>c</w:t>
      </w:r>
      <w:r w:rsidRPr="008D66E9">
        <w:t xml:space="preserve">: n=101; </w:t>
      </w:r>
      <w:r w:rsidRPr="008D66E9">
        <w:rPr>
          <w:vertAlign w:val="superscript"/>
        </w:rPr>
        <w:t>d</w:t>
      </w:r>
      <w:r w:rsidRPr="008D66E9">
        <w:t xml:space="preserve">: n=82, as twenty participants were not able to do the test; </w:t>
      </w:r>
      <w:r w:rsidRPr="008D66E9">
        <w:rPr>
          <w:vertAlign w:val="superscript"/>
        </w:rPr>
        <w:t>e</w:t>
      </w:r>
      <w:r w:rsidRPr="008D66E9">
        <w:t>: n=100.</w:t>
      </w:r>
    </w:p>
    <w:p w:rsidR="00C42523" w:rsidRDefault="00C42523" w:rsidP="00C42523"/>
    <w:p w:rsidR="00CE7ACF" w:rsidRDefault="00CE7ACF" w:rsidP="00544888">
      <w:pPr>
        <w:pStyle w:val="MDPI43tablefooter"/>
        <w:ind w:left="425" w:right="425"/>
      </w:pPr>
    </w:p>
    <w:sectPr w:rsidR="00CE7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6E9"/>
    <w:rsid w:val="00544888"/>
    <w:rsid w:val="008D66E9"/>
    <w:rsid w:val="00C42523"/>
    <w:rsid w:val="00CE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6E9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8D66E9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3tablefooter">
    <w:name w:val="MDPI_4.3_table_footer"/>
    <w:basedOn w:val="MDPI41tablecaption"/>
    <w:next w:val="Normal"/>
    <w:qFormat/>
    <w:rsid w:val="008D66E9"/>
    <w:pPr>
      <w:spacing w:before="0"/>
      <w:ind w:left="0" w:right="0"/>
    </w:pPr>
  </w:style>
  <w:style w:type="paragraph" w:customStyle="1" w:styleId="MDPI21heading1">
    <w:name w:val="MDPI_2.1_heading1"/>
    <w:basedOn w:val="Normal"/>
    <w:qFormat/>
    <w:rsid w:val="008D66E9"/>
    <w:pPr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hAnsi="Palatino Linotype"/>
      <w:b/>
      <w:snapToGrid w:val="0"/>
      <w:sz w:val="20"/>
      <w:szCs w:val="22"/>
      <w:lang w:bidi="en-US"/>
    </w:rPr>
  </w:style>
  <w:style w:type="paragraph" w:styleId="NoSpacing">
    <w:name w:val="No Spacing"/>
    <w:uiPriority w:val="1"/>
    <w:qFormat/>
    <w:rsid w:val="008D66E9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6E9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8D66E9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3tablefooter">
    <w:name w:val="MDPI_4.3_table_footer"/>
    <w:basedOn w:val="MDPI41tablecaption"/>
    <w:next w:val="Normal"/>
    <w:qFormat/>
    <w:rsid w:val="008D66E9"/>
    <w:pPr>
      <w:spacing w:before="0"/>
      <w:ind w:left="0" w:right="0"/>
    </w:pPr>
  </w:style>
  <w:style w:type="paragraph" w:customStyle="1" w:styleId="MDPI21heading1">
    <w:name w:val="MDPI_2.1_heading1"/>
    <w:basedOn w:val="Normal"/>
    <w:qFormat/>
    <w:rsid w:val="008D66E9"/>
    <w:pPr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hAnsi="Palatino Linotype"/>
      <w:b/>
      <w:snapToGrid w:val="0"/>
      <w:sz w:val="20"/>
      <w:szCs w:val="22"/>
      <w:lang w:bidi="en-US"/>
    </w:rPr>
  </w:style>
  <w:style w:type="paragraph" w:styleId="NoSpacing">
    <w:name w:val="No Spacing"/>
    <w:uiPriority w:val="1"/>
    <w:qFormat/>
    <w:rsid w:val="008D66E9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2564</Characters>
  <Application>Microsoft Office Word</Application>
  <DocSecurity>0</DocSecurity>
  <Lines>21</Lines>
  <Paragraphs>6</Paragraphs>
  <ScaleCrop>false</ScaleCrop>
  <Company>Erasmus MC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B.F. Olij</dc:creator>
  <cp:lastModifiedBy>B.F. Olij</cp:lastModifiedBy>
  <cp:revision>3</cp:revision>
  <dcterms:created xsi:type="dcterms:W3CDTF">2019-03-26T12:33:00Z</dcterms:created>
  <dcterms:modified xsi:type="dcterms:W3CDTF">2019-03-26T12:40:00Z</dcterms:modified>
</cp:coreProperties>
</file>