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79" w:rsidRPr="00DE38CD" w:rsidRDefault="00092879">
      <w:pPr>
        <w:rPr>
          <w:lang w:val="en-US"/>
        </w:rPr>
      </w:pPr>
      <w:r w:rsidRPr="00DE38CD">
        <w:rPr>
          <w:lang w:val="en-US"/>
        </w:rPr>
        <w:t>Supplementary Table 3. Explanatory factors of single dispensing within a 3-months period based on the bivariate analysis.</w:t>
      </w:r>
    </w:p>
    <w:p w:rsidR="00092879" w:rsidRPr="00DE38CD" w:rsidRDefault="00092879">
      <w:pPr>
        <w:rPr>
          <w:lang w:val="en-US"/>
        </w:rPr>
      </w:pPr>
    </w:p>
    <w:tbl>
      <w:tblPr>
        <w:tblStyle w:val="Tablaconcuadrcula"/>
        <w:tblW w:w="45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0"/>
        <w:gridCol w:w="1572"/>
        <w:gridCol w:w="791"/>
        <w:gridCol w:w="1570"/>
        <w:gridCol w:w="794"/>
        <w:gridCol w:w="1570"/>
        <w:gridCol w:w="794"/>
        <w:gridCol w:w="1570"/>
        <w:gridCol w:w="791"/>
      </w:tblGrid>
      <w:tr w:rsidR="00092879" w:rsidRPr="00172897" w:rsidTr="00092879">
        <w:trPr>
          <w:trHeight w:val="315"/>
        </w:trPr>
        <w:tc>
          <w:tcPr>
            <w:tcW w:w="1285" w:type="pct"/>
            <w:tcBorders>
              <w:top w:val="single" w:sz="4" w:space="0" w:color="auto"/>
            </w:tcBorders>
            <w:noWrap/>
            <w:hideMark/>
          </w:tcPr>
          <w:p w:rsidR="00172897" w:rsidRPr="00172897" w:rsidRDefault="00172897" w:rsidP="00172897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172897" w:rsidRPr="00172897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8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172897" w:rsidRPr="00172897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33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172897" w:rsidRPr="00172897" w:rsidRDefault="00C71072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73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  <w:noWrap/>
            <w:hideMark/>
          </w:tcPr>
          <w:p w:rsidR="00172897" w:rsidRPr="00172897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69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172897"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17289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PATIENT VARIABLES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172897" w:rsidRPr="00172897" w:rsidRDefault="00172897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F173FD" w:rsidP="00DE38CD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proofErr w:type="spellStart"/>
            <w:r w:rsidRPr="002F4FA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Female</w:t>
            </w:r>
            <w:proofErr w:type="spellEnd"/>
            <w:r w:rsidRPr="002F4FA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F4FA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patient</w:t>
            </w:r>
            <w:proofErr w:type="spellEnd"/>
            <w:r w:rsidRPr="002F4FA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 (vs. male)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249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141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18)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568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Patient’s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ge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continuous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F173FD" w:rsidP="009D02B4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94203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Patient’s </w:t>
            </w:r>
            <w:proofErr w:type="spellStart"/>
            <w:r w:rsidRPr="0094203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SES</w:t>
            </w:r>
            <w:r w:rsidRPr="0094203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proofErr w:type="spellStart"/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lowest</w:t>
            </w:r>
            <w:proofErr w:type="spellEnd"/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F173FD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SES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2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42)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299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85; 1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330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989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3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280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267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859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451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4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21)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743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132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511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185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5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proofErr w:type="spellStart"/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highest</w:t>
            </w:r>
            <w:proofErr w:type="spellEnd"/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F173FD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SES</w:t>
            </w:r>
            <w:r w:rsidRPr="0066282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152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44)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208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252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422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106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Rural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708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882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195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957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46DD9"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>P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>atient’s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 xml:space="preserve"> p</w:t>
            </w:r>
            <w:r w:rsidRPr="00446DD9"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 xml:space="preserve">lace of </w:t>
            </w:r>
            <w:proofErr w:type="spellStart"/>
            <w:r w:rsidRPr="00446DD9"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>origin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Spain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Americas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329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744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48;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375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26;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56;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93)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Asia/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Oceania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772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019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291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631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523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24;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Europe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outside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Spain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454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34)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123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43;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21)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678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792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56;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Africa</w:t>
            </w:r>
            <w:proofErr w:type="spellEnd"/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936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44;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901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54;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35)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277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42)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437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24;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F173FD" w:rsidP="009D02B4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BMI (cont.)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9D02B4" w:rsidRPr="00172897" w:rsidRDefault="00F173FD" w:rsidP="00F173FD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≥1 New </w:t>
            </w:r>
            <w:proofErr w:type="spellStart"/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prescriptions</w:t>
            </w: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(vs. none)</w:t>
            </w:r>
          </w:p>
        </w:tc>
        <w:tc>
          <w:tcPr>
            <w:tcW w:w="618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017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235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14;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33)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098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15)</w:t>
            </w:r>
          </w:p>
        </w:tc>
        <w:tc>
          <w:tcPr>
            <w:tcW w:w="312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104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17)</w:t>
            </w:r>
          </w:p>
        </w:tc>
        <w:tc>
          <w:tcPr>
            <w:tcW w:w="311" w:type="pct"/>
            <w:noWrap/>
            <w:hideMark/>
          </w:tcPr>
          <w:p w:rsidR="009D02B4" w:rsidRPr="00172897" w:rsidRDefault="009D02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F173FD" w:rsidRPr="00842708" w:rsidRDefault="00F173FD" w:rsidP="00F173F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≥1 CV/diabetes new </w:t>
            </w:r>
            <w:proofErr w:type="spellStart"/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prescriptions</w:t>
            </w: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84270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(vs. none)</w:t>
            </w:r>
          </w:p>
        </w:tc>
        <w:tc>
          <w:tcPr>
            <w:tcW w:w="618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56)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464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468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008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063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</w:tcPr>
          <w:p w:rsidR="00F173FD" w:rsidRPr="002B2E22" w:rsidRDefault="00F173FD" w:rsidP="00F173F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visits</w:t>
            </w:r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(cont.)</w:t>
            </w:r>
          </w:p>
        </w:tc>
        <w:tc>
          <w:tcPr>
            <w:tcW w:w="618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F173FD" w:rsidRPr="00172897" w:rsidRDefault="00F173FD" w:rsidP="00F173FD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FC7A7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Visits to GP</w:t>
            </w:r>
          </w:p>
        </w:tc>
        <w:tc>
          <w:tcPr>
            <w:tcW w:w="618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005 (1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267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132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F173FD" w:rsidRPr="00172897" w:rsidRDefault="00F173FD" w:rsidP="00F173FD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FC7A7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Visits to nurse</w:t>
            </w:r>
          </w:p>
        </w:tc>
        <w:tc>
          <w:tcPr>
            <w:tcW w:w="618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850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002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F173FD" w:rsidRPr="00172897" w:rsidRDefault="00F173FD" w:rsidP="00F173F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Active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illnesses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eastAsia="es-ES"/>
              </w:rPr>
              <w:t xml:space="preserve"> </w:t>
            </w:r>
          </w:p>
        </w:tc>
        <w:tc>
          <w:tcPr>
            <w:tcW w:w="618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F173FD" w:rsidRPr="00172897" w:rsidRDefault="00F173FD" w:rsidP="00F173F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Pain</w:t>
            </w:r>
            <w:proofErr w:type="spellEnd"/>
          </w:p>
        </w:tc>
        <w:tc>
          <w:tcPr>
            <w:tcW w:w="618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007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073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058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003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F173FD" w:rsidRPr="00172897" w:rsidRDefault="00F173FD" w:rsidP="00F173F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Respiratory</w:t>
            </w:r>
            <w:proofErr w:type="spellEnd"/>
          </w:p>
        </w:tc>
        <w:tc>
          <w:tcPr>
            <w:tcW w:w="618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36)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137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2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234</w:t>
            </w:r>
          </w:p>
        </w:tc>
        <w:tc>
          <w:tcPr>
            <w:tcW w:w="617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91)</w:t>
            </w:r>
          </w:p>
        </w:tc>
        <w:tc>
          <w:tcPr>
            <w:tcW w:w="311" w:type="pct"/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Physical</w:t>
            </w:r>
            <w:proofErr w:type="spellEnd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disability</w:t>
            </w:r>
            <w:r w:rsidRPr="00AB105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884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173FD" w:rsidRPr="00172897" w:rsidRDefault="00F173FD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top w:val="single" w:sz="4" w:space="0" w:color="auto"/>
            </w:tcBorders>
            <w:noWrap/>
          </w:tcPr>
          <w:p w:rsidR="00092879" w:rsidRPr="00AB105A" w:rsidRDefault="00092879" w:rsidP="00F173F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noWrap/>
          </w:tcPr>
          <w:p w:rsidR="00092879" w:rsidRPr="00172897" w:rsidRDefault="00092879" w:rsidP="00F173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7E7F6F">
        <w:trPr>
          <w:trHeight w:val="300"/>
        </w:trPr>
        <w:tc>
          <w:tcPr>
            <w:tcW w:w="1285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spacing w:after="200" w:line="276" w:lineRule="auto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33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73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69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092879" w:rsidRPr="00172897" w:rsidTr="007E7F6F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sz w:val="16"/>
                <w:szCs w:val="16"/>
                <w:lang w:eastAsia="es-ES"/>
              </w:rPr>
              <w:t>PRESCRIBER VARIABLES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Cardiovascular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conditions</w:t>
            </w:r>
            <w:proofErr w:type="spellEnd"/>
          </w:p>
        </w:tc>
        <w:tc>
          <w:tcPr>
            <w:tcW w:w="618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2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7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Hypertension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564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701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622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65)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Dyslipidemia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Recent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CVD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≤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6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months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217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320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526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Established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CVD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&gt;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6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months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942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4977B4" w:rsidRDefault="00275F2B" w:rsidP="00092879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092879" w:rsidRPr="00762888"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lcohol and tobacco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 xml:space="preserve"> use</w:t>
            </w:r>
            <w:r w:rsidR="00092879" w:rsidRPr="00762888">
              <w:rPr>
                <w:rFonts w:ascii="Calibri" w:hAnsi="Calibri"/>
                <w:color w:val="000000"/>
                <w:sz w:val="16"/>
                <w:szCs w:val="16"/>
                <w:vertAlign w:val="superscript"/>
                <w:lang w:val="en-US" w:eastAsia="es-ES"/>
              </w:rPr>
              <w:t>c</w:t>
            </w:r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81;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341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727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054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268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Mental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disorders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086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909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008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225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233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Neurological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904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298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303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829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120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Diabetes</w:t>
            </w:r>
            <w:r w:rsidRPr="00EF3DC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(1 and 2)</w:t>
            </w:r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387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48)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564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665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Digestive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system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disorder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107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184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002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920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Urticaria/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llergy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62)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000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26)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837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193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06;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34)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004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109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185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Hyper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/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hypothyroidism</w:t>
            </w:r>
            <w:proofErr w:type="spellEnd"/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19)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725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075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512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Nº of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comorbidities</w:t>
            </w:r>
            <w:r w:rsidRPr="00F173FD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eastAsia="es-ES"/>
              </w:rPr>
              <w:t>d</w:t>
            </w:r>
            <w:proofErr w:type="spellEnd"/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spacing w:after="200" w:line="276" w:lineRule="auto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33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73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69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sz w:val="16"/>
                <w:szCs w:val="16"/>
                <w:lang w:eastAsia="es-ES"/>
              </w:rPr>
              <w:t>PRESCRIBER VARIABLES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top w:val="single" w:sz="4" w:space="0" w:color="auto"/>
            </w:tcBorders>
            <w:noWrap/>
            <w:hideMark/>
          </w:tcPr>
          <w:p w:rsidR="00092879" w:rsidRPr="004C32A8" w:rsidRDefault="00092879" w:rsidP="00092879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5B086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Female GP (vs. male)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061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694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12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700</w:t>
            </w:r>
          </w:p>
        </w:tc>
        <w:tc>
          <w:tcPr>
            <w:tcW w:w="617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172897" w:rsidRDefault="00092879" w:rsidP="0009287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Age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continuous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218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984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001 (1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250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noWrap/>
            <w:hideMark/>
          </w:tcPr>
          <w:p w:rsidR="00092879" w:rsidRPr="00F173FD" w:rsidRDefault="00092879" w:rsidP="00092879">
            <w:pPr>
              <w:rPr>
                <w:rFonts w:ascii="Calibri" w:hAnsi="Calibri" w:cs="Calibri"/>
                <w:sz w:val="16"/>
                <w:szCs w:val="16"/>
                <w:lang w:val="en-US" w:eastAsia="es-ES"/>
              </w:rPr>
            </w:pPr>
            <w:r w:rsidRPr="005B0869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 xml:space="preserve">Substitute/resident </w:t>
            </w:r>
            <w:r w:rsidRPr="005B086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GP (vs. other)</w:t>
            </w:r>
          </w:p>
        </w:tc>
        <w:tc>
          <w:tcPr>
            <w:tcW w:w="618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66)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195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314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14;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51)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373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26;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7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42)</w:t>
            </w:r>
          </w:p>
        </w:tc>
        <w:tc>
          <w:tcPr>
            <w:tcW w:w="311" w:type="pct"/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092879" w:rsidRPr="00172897" w:rsidTr="00092879">
        <w:trPr>
          <w:trHeight w:val="300"/>
        </w:trPr>
        <w:tc>
          <w:tcPr>
            <w:tcW w:w="1285" w:type="pct"/>
            <w:tcBorders>
              <w:bottom w:val="single" w:sz="4" w:space="0" w:color="auto"/>
            </w:tcBorders>
            <w:noWrap/>
            <w:hideMark/>
          </w:tcPr>
          <w:p w:rsidR="00092879" w:rsidRPr="00F173FD" w:rsidRDefault="00092879" w:rsidP="00092879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5B0869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>Teaching PC center (vs. regular)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525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048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089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092879" w:rsidRPr="00172897" w:rsidRDefault="00092879" w:rsidP="000928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17289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</w:tbl>
    <w:p w:rsidR="00F173FD" w:rsidRPr="00762888" w:rsidRDefault="00F173FD" w:rsidP="00F173FD">
      <w:pPr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ACEI: ACE inhibitor; cont.: continuous variable; CVD: Cardiovascular disease; GP: General practitioner; SES: Socioeconomic status.</w:t>
      </w:r>
    </w:p>
    <w:p w:rsidR="00F173FD" w:rsidRPr="00762888" w:rsidRDefault="00F173FD" w:rsidP="00F173FD">
      <w:pPr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</w:pPr>
      <w:r w:rsidRPr="00762888">
        <w:rPr>
          <w:rFonts w:ascii="Calibri" w:hAnsi="Calibri" w:cs="Calibri"/>
          <w:b/>
          <w:bCs/>
          <w:color w:val="000000"/>
          <w:sz w:val="16"/>
          <w:szCs w:val="16"/>
          <w:lang w:val="en-US" w:eastAsia="es-ES"/>
        </w:rPr>
        <w:t>Bold</w:t>
      </w:r>
      <w:r w:rsidRPr="00762888">
        <w:rPr>
          <w:rFonts w:ascii="Calibri" w:hAnsi="Calibri" w:cs="Calibri"/>
          <w:color w:val="000000"/>
          <w:sz w:val="16"/>
          <w:szCs w:val="16"/>
          <w:lang w:val="en-US" w:eastAsia="es-ES"/>
        </w:rPr>
        <w:t xml:space="preserve"> numbers indicate statistically significant results.</w:t>
      </w:r>
    </w:p>
    <w:p w:rsidR="00F173FD" w:rsidRPr="00762888" w:rsidRDefault="00F173FD" w:rsidP="00F173FD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proofErr w:type="spellStart"/>
      <w:proofErr w:type="gramStart"/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a</w:t>
      </w:r>
      <w:proofErr w:type="spellEnd"/>
      <w:proofErr w:type="gramEnd"/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 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In the 12 months preceding the index prescription.</w:t>
      </w:r>
    </w:p>
    <w:p w:rsidR="00F173FD" w:rsidRDefault="00F173FD" w:rsidP="00F173FD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b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 xml:space="preserve"> Physical disabilities includes blindness, urinary incontinency and </w:t>
      </w:r>
      <w:proofErr w:type="spellStart"/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hypoacusia</w:t>
      </w:r>
      <w:proofErr w:type="spellEnd"/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.</w:t>
      </w:r>
    </w:p>
    <w:p w:rsidR="00092879" w:rsidRDefault="00F173FD" w:rsidP="00092879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c </w:t>
      </w:r>
      <w:r w:rsidR="00092879" w:rsidRPr="007E7F6F">
        <w:rPr>
          <w:rFonts w:ascii="Calibri" w:hAnsi="Calibri"/>
          <w:color w:val="000000"/>
          <w:sz w:val="16"/>
          <w:szCs w:val="16"/>
          <w:lang w:val="en-US" w:eastAsia="es-ES"/>
        </w:rPr>
        <w:t>Alcohol or tobacco use was based on the qualitative appreciation of GPs; alcohol or tobacco use, though not cardiovascular conditions, are included as cardiovascular risk factors.</w:t>
      </w:r>
    </w:p>
    <w:p w:rsidR="00F173FD" w:rsidRDefault="00F173FD" w:rsidP="00F173FD">
      <w:pPr>
        <w:rPr>
          <w:lang w:val="en-U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d 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Number of comorbidities includes all the active illnesses listed in the table.</w:t>
      </w:r>
    </w:p>
    <w:p w:rsidR="00446DD9" w:rsidRDefault="00446DD9" w:rsidP="00F173FD">
      <w:pPr>
        <w:spacing w:after="200" w:line="276" w:lineRule="auto"/>
        <w:rPr>
          <w:lang w:val="en-US"/>
        </w:rPr>
      </w:pPr>
    </w:p>
    <w:sectPr w:rsidR="00446DD9" w:rsidSect="005A33A2">
      <w:footerReference w:type="default" r:id="rId7"/>
      <w:footerReference w:type="first" r:id="rId8"/>
      <w:pgSz w:w="16838" w:h="11906" w:orient="landscape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BB" w:rsidRDefault="00DA39BB" w:rsidP="008560CF">
      <w:r>
        <w:separator/>
      </w:r>
    </w:p>
  </w:endnote>
  <w:endnote w:type="continuationSeparator" w:id="0">
    <w:p w:rsidR="00DA39BB" w:rsidRDefault="00DA39BB" w:rsidP="0085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108587"/>
      <w:docPartObj>
        <w:docPartGallery w:val="Page Numbers (Bottom of Page)"/>
        <w:docPartUnique/>
      </w:docPartObj>
    </w:sdtPr>
    <w:sdtContent>
      <w:p w:rsidR="000A4C68" w:rsidRDefault="000A4C6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3A2">
          <w:rPr>
            <w:noProof/>
          </w:rPr>
          <w:t>2</w:t>
        </w:r>
        <w:r>
          <w:fldChar w:fldCharType="end"/>
        </w:r>
      </w:p>
    </w:sdtContent>
  </w:sdt>
  <w:p w:rsidR="000A4C68" w:rsidRDefault="000A4C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B4" w:rsidRDefault="009D02B4">
    <w:pPr>
      <w:pStyle w:val="Piedepgina"/>
    </w:pPr>
  </w:p>
  <w:p w:rsidR="009D02B4" w:rsidRDefault="009D02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BB" w:rsidRDefault="00DA39BB" w:rsidP="008560CF">
      <w:r>
        <w:separator/>
      </w:r>
    </w:p>
  </w:footnote>
  <w:footnote w:type="continuationSeparator" w:id="0">
    <w:p w:rsidR="00DA39BB" w:rsidRDefault="00DA39BB" w:rsidP="00856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F"/>
    <w:rsid w:val="000125DD"/>
    <w:rsid w:val="00017D86"/>
    <w:rsid w:val="00030EF1"/>
    <w:rsid w:val="0003268C"/>
    <w:rsid w:val="00040C64"/>
    <w:rsid w:val="00041AA6"/>
    <w:rsid w:val="00044432"/>
    <w:rsid w:val="0005490A"/>
    <w:rsid w:val="00056A66"/>
    <w:rsid w:val="00057574"/>
    <w:rsid w:val="00071648"/>
    <w:rsid w:val="00083F92"/>
    <w:rsid w:val="000855D7"/>
    <w:rsid w:val="00092879"/>
    <w:rsid w:val="00093B80"/>
    <w:rsid w:val="00096606"/>
    <w:rsid w:val="000A3583"/>
    <w:rsid w:val="000A4C68"/>
    <w:rsid w:val="000B0361"/>
    <w:rsid w:val="000B35F5"/>
    <w:rsid w:val="000C2A0B"/>
    <w:rsid w:val="000C2D92"/>
    <w:rsid w:val="001034EE"/>
    <w:rsid w:val="001141AC"/>
    <w:rsid w:val="00127D25"/>
    <w:rsid w:val="00153EA0"/>
    <w:rsid w:val="0015435D"/>
    <w:rsid w:val="00163F08"/>
    <w:rsid w:val="00172897"/>
    <w:rsid w:val="00186D51"/>
    <w:rsid w:val="00192A2C"/>
    <w:rsid w:val="001A3C43"/>
    <w:rsid w:val="001B79D5"/>
    <w:rsid w:val="001C240A"/>
    <w:rsid w:val="001C68F4"/>
    <w:rsid w:val="001D7878"/>
    <w:rsid w:val="001E17CA"/>
    <w:rsid w:val="001E2D90"/>
    <w:rsid w:val="002059ED"/>
    <w:rsid w:val="00216FF0"/>
    <w:rsid w:val="00225B14"/>
    <w:rsid w:val="00241BF9"/>
    <w:rsid w:val="00255A9B"/>
    <w:rsid w:val="002572B6"/>
    <w:rsid w:val="00260D1B"/>
    <w:rsid w:val="00272510"/>
    <w:rsid w:val="00275F2B"/>
    <w:rsid w:val="00277B92"/>
    <w:rsid w:val="00290CAA"/>
    <w:rsid w:val="00291B72"/>
    <w:rsid w:val="002A1ABA"/>
    <w:rsid w:val="002A2942"/>
    <w:rsid w:val="002A3BA5"/>
    <w:rsid w:val="002B2E22"/>
    <w:rsid w:val="002B73C4"/>
    <w:rsid w:val="002C3F5D"/>
    <w:rsid w:val="002D6CF0"/>
    <w:rsid w:val="002F106D"/>
    <w:rsid w:val="002F50C6"/>
    <w:rsid w:val="003025B3"/>
    <w:rsid w:val="00304F48"/>
    <w:rsid w:val="00311BF9"/>
    <w:rsid w:val="00347AD6"/>
    <w:rsid w:val="00367E7D"/>
    <w:rsid w:val="003868B2"/>
    <w:rsid w:val="00387107"/>
    <w:rsid w:val="00391AB4"/>
    <w:rsid w:val="00392445"/>
    <w:rsid w:val="00392A8F"/>
    <w:rsid w:val="003A5EC9"/>
    <w:rsid w:val="003B3A7F"/>
    <w:rsid w:val="003C24D3"/>
    <w:rsid w:val="003C2AD6"/>
    <w:rsid w:val="003E2865"/>
    <w:rsid w:val="00403D4A"/>
    <w:rsid w:val="00415513"/>
    <w:rsid w:val="004249DC"/>
    <w:rsid w:val="00432160"/>
    <w:rsid w:val="00441728"/>
    <w:rsid w:val="00444BCC"/>
    <w:rsid w:val="00446DD9"/>
    <w:rsid w:val="004805E9"/>
    <w:rsid w:val="004977B4"/>
    <w:rsid w:val="004B3C62"/>
    <w:rsid w:val="004B7067"/>
    <w:rsid w:val="004C32A8"/>
    <w:rsid w:val="004C3501"/>
    <w:rsid w:val="004D3A79"/>
    <w:rsid w:val="004D522F"/>
    <w:rsid w:val="004E0AD9"/>
    <w:rsid w:val="004F3689"/>
    <w:rsid w:val="004F522D"/>
    <w:rsid w:val="005077B0"/>
    <w:rsid w:val="00510DE8"/>
    <w:rsid w:val="00511C86"/>
    <w:rsid w:val="00523523"/>
    <w:rsid w:val="00530194"/>
    <w:rsid w:val="00531EDE"/>
    <w:rsid w:val="005355D4"/>
    <w:rsid w:val="0054485E"/>
    <w:rsid w:val="0054549B"/>
    <w:rsid w:val="00561CEE"/>
    <w:rsid w:val="00577CD6"/>
    <w:rsid w:val="00584BEA"/>
    <w:rsid w:val="00586E95"/>
    <w:rsid w:val="00593390"/>
    <w:rsid w:val="005A33A2"/>
    <w:rsid w:val="005A5A7C"/>
    <w:rsid w:val="005B4981"/>
    <w:rsid w:val="005C1BBF"/>
    <w:rsid w:val="005F4F52"/>
    <w:rsid w:val="0063120C"/>
    <w:rsid w:val="00661DA7"/>
    <w:rsid w:val="00662822"/>
    <w:rsid w:val="00667F31"/>
    <w:rsid w:val="006779BD"/>
    <w:rsid w:val="006812F2"/>
    <w:rsid w:val="006B1FC2"/>
    <w:rsid w:val="006B36B6"/>
    <w:rsid w:val="006C367C"/>
    <w:rsid w:val="006D0CE1"/>
    <w:rsid w:val="006D77A7"/>
    <w:rsid w:val="006E18AF"/>
    <w:rsid w:val="00700A9E"/>
    <w:rsid w:val="00701ECF"/>
    <w:rsid w:val="00702460"/>
    <w:rsid w:val="007070BD"/>
    <w:rsid w:val="00712498"/>
    <w:rsid w:val="00717892"/>
    <w:rsid w:val="007305AD"/>
    <w:rsid w:val="007360AB"/>
    <w:rsid w:val="0074716D"/>
    <w:rsid w:val="00747C97"/>
    <w:rsid w:val="00791762"/>
    <w:rsid w:val="007B2B65"/>
    <w:rsid w:val="007B5666"/>
    <w:rsid w:val="007B7CDC"/>
    <w:rsid w:val="007C5213"/>
    <w:rsid w:val="007D2E26"/>
    <w:rsid w:val="007E13A0"/>
    <w:rsid w:val="007F364A"/>
    <w:rsid w:val="0080161E"/>
    <w:rsid w:val="008021FC"/>
    <w:rsid w:val="00804E88"/>
    <w:rsid w:val="00815B9F"/>
    <w:rsid w:val="00845AE7"/>
    <w:rsid w:val="008560CF"/>
    <w:rsid w:val="00872AA8"/>
    <w:rsid w:val="00880D2E"/>
    <w:rsid w:val="008952AB"/>
    <w:rsid w:val="008961AC"/>
    <w:rsid w:val="008B425A"/>
    <w:rsid w:val="008C4B92"/>
    <w:rsid w:val="008F352D"/>
    <w:rsid w:val="009059D1"/>
    <w:rsid w:val="00917C19"/>
    <w:rsid w:val="00940190"/>
    <w:rsid w:val="009557E1"/>
    <w:rsid w:val="00960C8C"/>
    <w:rsid w:val="009828A4"/>
    <w:rsid w:val="00984C8D"/>
    <w:rsid w:val="00987182"/>
    <w:rsid w:val="0099501B"/>
    <w:rsid w:val="00997AE8"/>
    <w:rsid w:val="009C1930"/>
    <w:rsid w:val="009D02B4"/>
    <w:rsid w:val="009D34F3"/>
    <w:rsid w:val="009E3F8B"/>
    <w:rsid w:val="00A06222"/>
    <w:rsid w:val="00A2131B"/>
    <w:rsid w:val="00A301D2"/>
    <w:rsid w:val="00A335E2"/>
    <w:rsid w:val="00A35A9E"/>
    <w:rsid w:val="00A52B81"/>
    <w:rsid w:val="00A6159B"/>
    <w:rsid w:val="00A6550E"/>
    <w:rsid w:val="00A65848"/>
    <w:rsid w:val="00A81FA7"/>
    <w:rsid w:val="00A84AEA"/>
    <w:rsid w:val="00A92BE8"/>
    <w:rsid w:val="00AB0DF1"/>
    <w:rsid w:val="00AC77BA"/>
    <w:rsid w:val="00AD1D06"/>
    <w:rsid w:val="00AF3EF1"/>
    <w:rsid w:val="00B065C5"/>
    <w:rsid w:val="00B1237D"/>
    <w:rsid w:val="00B213CC"/>
    <w:rsid w:val="00B26378"/>
    <w:rsid w:val="00B326BD"/>
    <w:rsid w:val="00B52E12"/>
    <w:rsid w:val="00B73D3E"/>
    <w:rsid w:val="00B73DC6"/>
    <w:rsid w:val="00B86D0C"/>
    <w:rsid w:val="00B92F97"/>
    <w:rsid w:val="00BA7E16"/>
    <w:rsid w:val="00BA7F0F"/>
    <w:rsid w:val="00BC445B"/>
    <w:rsid w:val="00BC516C"/>
    <w:rsid w:val="00BE04C4"/>
    <w:rsid w:val="00BF0A2E"/>
    <w:rsid w:val="00C0192F"/>
    <w:rsid w:val="00C05FAF"/>
    <w:rsid w:val="00C07474"/>
    <w:rsid w:val="00C50B32"/>
    <w:rsid w:val="00C54A1E"/>
    <w:rsid w:val="00C71072"/>
    <w:rsid w:val="00C73097"/>
    <w:rsid w:val="00C74200"/>
    <w:rsid w:val="00C8120A"/>
    <w:rsid w:val="00C828A3"/>
    <w:rsid w:val="00C95AC7"/>
    <w:rsid w:val="00CA416A"/>
    <w:rsid w:val="00CB28F2"/>
    <w:rsid w:val="00CB67F6"/>
    <w:rsid w:val="00CC3C02"/>
    <w:rsid w:val="00CF67F9"/>
    <w:rsid w:val="00D04117"/>
    <w:rsid w:val="00D06745"/>
    <w:rsid w:val="00D10939"/>
    <w:rsid w:val="00D219F8"/>
    <w:rsid w:val="00D2332E"/>
    <w:rsid w:val="00D24376"/>
    <w:rsid w:val="00D33D7C"/>
    <w:rsid w:val="00D4088A"/>
    <w:rsid w:val="00D50EE8"/>
    <w:rsid w:val="00D54FD4"/>
    <w:rsid w:val="00D64089"/>
    <w:rsid w:val="00D654D1"/>
    <w:rsid w:val="00D66C7E"/>
    <w:rsid w:val="00D70F91"/>
    <w:rsid w:val="00DA39BB"/>
    <w:rsid w:val="00DA3CAB"/>
    <w:rsid w:val="00DA5C18"/>
    <w:rsid w:val="00DC0CE8"/>
    <w:rsid w:val="00DD0D57"/>
    <w:rsid w:val="00DD2AFD"/>
    <w:rsid w:val="00DD407B"/>
    <w:rsid w:val="00DE38CD"/>
    <w:rsid w:val="00DE4C5B"/>
    <w:rsid w:val="00DF5C12"/>
    <w:rsid w:val="00DF7802"/>
    <w:rsid w:val="00E00FE2"/>
    <w:rsid w:val="00E0781F"/>
    <w:rsid w:val="00E122A9"/>
    <w:rsid w:val="00E56C6D"/>
    <w:rsid w:val="00E636B4"/>
    <w:rsid w:val="00E7146A"/>
    <w:rsid w:val="00E7229A"/>
    <w:rsid w:val="00E73F0C"/>
    <w:rsid w:val="00EA2932"/>
    <w:rsid w:val="00EB1F7C"/>
    <w:rsid w:val="00EB53B4"/>
    <w:rsid w:val="00EB7105"/>
    <w:rsid w:val="00EC3771"/>
    <w:rsid w:val="00EC705D"/>
    <w:rsid w:val="00ED3B88"/>
    <w:rsid w:val="00EE0527"/>
    <w:rsid w:val="00EE0F30"/>
    <w:rsid w:val="00EE1C01"/>
    <w:rsid w:val="00EE4680"/>
    <w:rsid w:val="00EF3DCC"/>
    <w:rsid w:val="00F00AA9"/>
    <w:rsid w:val="00F0235A"/>
    <w:rsid w:val="00F11680"/>
    <w:rsid w:val="00F173A9"/>
    <w:rsid w:val="00F173FD"/>
    <w:rsid w:val="00F5480C"/>
    <w:rsid w:val="00F6424F"/>
    <w:rsid w:val="00F66D39"/>
    <w:rsid w:val="00F83168"/>
    <w:rsid w:val="00F91C57"/>
    <w:rsid w:val="00FB2268"/>
    <w:rsid w:val="00FC4A5C"/>
    <w:rsid w:val="00FE14AE"/>
    <w:rsid w:val="00FE1A45"/>
    <w:rsid w:val="00FE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9FD0F1-649E-8749-AD76-20E3B88F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E0781F"/>
  </w:style>
  <w:style w:type="table" w:styleId="Tablaconcuadrcula">
    <w:name w:val="Table Grid"/>
    <w:basedOn w:val="Tablanormal"/>
    <w:uiPriority w:val="59"/>
    <w:rsid w:val="00E0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560CF"/>
    <w:rPr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60CF"/>
    <w:rPr>
      <w:sz w:val="20"/>
    </w:rPr>
  </w:style>
  <w:style w:type="character" w:styleId="Hipervnculo">
    <w:name w:val="Hyperlink"/>
    <w:basedOn w:val="Fuentedeprrafopredeter"/>
    <w:uiPriority w:val="99"/>
    <w:unhideWhenUsed/>
    <w:rsid w:val="00BA7F0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22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229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B49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4981"/>
    <w:pPr>
      <w:tabs>
        <w:tab w:val="left" w:pos="2445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498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49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4981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17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80F24E3-D1B4-4E4F-B9FB-CEAA1AF6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897</Words>
  <Characters>4937</Characters>
  <Application>Microsoft Office Word</Application>
  <DocSecurity>0</DocSecurity>
  <Lines>41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Carles Vilaplana Carnerero</dc:creator>
  <cp:lastModifiedBy>mariarubio</cp:lastModifiedBy>
  <cp:revision>5</cp:revision>
  <cp:lastPrinted>2019-01-16T10:06:00Z</cp:lastPrinted>
  <dcterms:created xsi:type="dcterms:W3CDTF">2020-04-14T14:57:00Z</dcterms:created>
  <dcterms:modified xsi:type="dcterms:W3CDTF">2020-04-15T09:36:00Z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Harvard - Cite Them Right 9th edition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http://www.zotero.org/styles/journal-of-studies-on-alcohol-and-drugs</vt:lpwstr>
  </property>
  <property fmtid="{D5CDD505-2E9C-101B-9397-08002B2CF9AE}" pid="11" name="Mendeley Recent Style Name 4_1">
    <vt:lpwstr>Journal of Studies on Alcohol and Drugs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http://www.zotero.org/styles/research-in-social-and-administrative-pharmacy</vt:lpwstr>
  </property>
  <property fmtid="{D5CDD505-2E9C-101B-9397-08002B2CF9AE}" pid="17" name="Mendeley Recent Style Name 7_1">
    <vt:lpwstr>Research in Social and Administrative Pharmacy</vt:lpwstr>
  </property>
  <property fmtid="{D5CDD505-2E9C-101B-9397-08002B2CF9AE}" pid="18" name="Mendeley Recent Style Id 8_1">
    <vt:lpwstr>http://www.zotero.org/styles/revista-espanola-de-cardiologia</vt:lpwstr>
  </property>
  <property fmtid="{D5CDD505-2E9C-101B-9397-08002B2CF9AE}" pid="19" name="Mendeley Recent Style Name 8_1">
    <vt:lpwstr>Revista Española de Cardiología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ef0ea387-1e44-3892-badf-0c052b4b7991</vt:lpwstr>
  </property>
  <property fmtid="{D5CDD505-2E9C-101B-9397-08002B2CF9AE}" pid="24" name="Mendeley Citation Style_1">
    <vt:lpwstr>http://www.zotero.org/styles/research-in-social-and-administrative-pharmacy</vt:lpwstr>
  </property>
</Properties>
</file>