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36"/>
        <w:gridCol w:w="976"/>
        <w:gridCol w:w="976"/>
        <w:gridCol w:w="976"/>
        <w:gridCol w:w="976"/>
        <w:gridCol w:w="976"/>
        <w:gridCol w:w="976"/>
        <w:gridCol w:w="1816"/>
      </w:tblGrid>
      <w:tr w:rsidR="00A45E93" w:rsidRPr="00A45E93" w:rsidTr="00A45E93">
        <w:trPr>
          <w:trHeight w:val="300"/>
        </w:trPr>
        <w:tc>
          <w:tcPr>
            <w:tcW w:w="125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45E93" w:rsidRPr="00A45E93" w:rsidRDefault="00A45E93" w:rsidP="00A45E93">
            <w:pPr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Table S2</w:t>
            </w:r>
            <w:r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.</w:t>
            </w: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Included article quality assessment</w:t>
            </w:r>
          </w:p>
        </w:tc>
      </w:tr>
      <w:tr w:rsidR="00A45E93" w:rsidRPr="00A45E93" w:rsidTr="00A45E93">
        <w:trPr>
          <w:trHeight w:val="300"/>
        </w:trPr>
        <w:tc>
          <w:tcPr>
            <w:tcW w:w="483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Study</w:t>
            </w:r>
          </w:p>
        </w:tc>
        <w:tc>
          <w:tcPr>
            <w:tcW w:w="97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Q1</w:t>
            </w:r>
          </w:p>
        </w:tc>
        <w:tc>
          <w:tcPr>
            <w:tcW w:w="97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Q2</w:t>
            </w:r>
          </w:p>
        </w:tc>
        <w:tc>
          <w:tcPr>
            <w:tcW w:w="97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Q3</w:t>
            </w:r>
          </w:p>
        </w:tc>
        <w:tc>
          <w:tcPr>
            <w:tcW w:w="97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Q4</w:t>
            </w:r>
          </w:p>
        </w:tc>
        <w:tc>
          <w:tcPr>
            <w:tcW w:w="97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Q5</w:t>
            </w:r>
          </w:p>
        </w:tc>
        <w:tc>
          <w:tcPr>
            <w:tcW w:w="97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Q6</w:t>
            </w:r>
          </w:p>
        </w:tc>
        <w:tc>
          <w:tcPr>
            <w:tcW w:w="181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Total (Max: 11)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proofErr w:type="spellStart"/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Barling</w:t>
            </w:r>
            <w:proofErr w:type="spellEnd"/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et al (2001)</w:t>
            </w: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1816" w:type="dxa"/>
            <w:tcBorders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11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proofErr w:type="spellStart"/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Astrom</w:t>
            </w:r>
            <w:proofErr w:type="spellEnd"/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et al (2002)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9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proofErr w:type="spellStart"/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>Ayalon</w:t>
            </w:r>
            <w:proofErr w:type="spellEnd"/>
            <w:r w:rsidRPr="00A45E9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(2009)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A45E93">
              <w:rPr>
                <w:rFonts w:ascii="Palatino Linotype" w:hAnsi="Palatino Linotype"/>
                <w:sz w:val="18"/>
                <w:szCs w:val="18"/>
              </w:rPr>
              <w:t>Nakaishi</w:t>
            </w:r>
            <w:proofErr w:type="spellEnd"/>
            <w:r w:rsidRPr="00A45E93">
              <w:rPr>
                <w:rFonts w:ascii="Palatino Linotype" w:hAnsi="Palatino Linotype"/>
                <w:sz w:val="18"/>
                <w:szCs w:val="18"/>
              </w:rPr>
              <w:t xml:space="preserve"> et al (2013)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A45E93">
              <w:rPr>
                <w:rFonts w:ascii="Palatino Linotype" w:hAnsi="Palatino Linotype"/>
                <w:sz w:val="18"/>
                <w:szCs w:val="18"/>
              </w:rPr>
              <w:t>Hanson</w:t>
            </w:r>
            <w:proofErr w:type="spellEnd"/>
            <w:r w:rsidRPr="00A45E93">
              <w:rPr>
                <w:rFonts w:ascii="Palatino Linotype" w:hAnsi="Palatino Linotype"/>
                <w:sz w:val="18"/>
                <w:szCs w:val="18"/>
              </w:rPr>
              <w:t xml:space="preserve"> et al (2015)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 xml:space="preserve">Green &amp; </w:t>
            </w:r>
            <w:proofErr w:type="spellStart"/>
            <w:r w:rsidRPr="00A45E93">
              <w:rPr>
                <w:rFonts w:ascii="Palatino Linotype" w:hAnsi="Palatino Linotype"/>
                <w:sz w:val="18"/>
                <w:szCs w:val="18"/>
              </w:rPr>
              <w:t>Ayalon</w:t>
            </w:r>
            <w:proofErr w:type="spellEnd"/>
            <w:r w:rsidRPr="00A45E93">
              <w:rPr>
                <w:rFonts w:ascii="Palatino Linotype" w:hAnsi="Palatino Linotype"/>
                <w:sz w:val="18"/>
                <w:szCs w:val="18"/>
              </w:rPr>
              <w:t xml:space="preserve"> (2016)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Quinn et al (2016)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A45E93">
              <w:rPr>
                <w:rFonts w:ascii="Palatino Linotype" w:hAnsi="Palatino Linotype"/>
                <w:sz w:val="18"/>
                <w:szCs w:val="18"/>
              </w:rPr>
              <w:t>Fujimoto</w:t>
            </w:r>
            <w:proofErr w:type="spellEnd"/>
            <w:r w:rsidRPr="00A45E93">
              <w:rPr>
                <w:rFonts w:ascii="Palatino Linotype" w:hAnsi="Palatino Linotype"/>
                <w:sz w:val="18"/>
                <w:szCs w:val="18"/>
              </w:rPr>
              <w:t xml:space="preserve"> et al (2017)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A45E93">
              <w:rPr>
                <w:rFonts w:ascii="Palatino Linotype" w:hAnsi="Palatino Linotype"/>
                <w:sz w:val="18"/>
                <w:szCs w:val="18"/>
              </w:rPr>
              <w:t>Ifediora</w:t>
            </w:r>
            <w:proofErr w:type="spellEnd"/>
            <w:r w:rsidRPr="00A45E93">
              <w:rPr>
                <w:rFonts w:ascii="Palatino Linotype" w:hAnsi="Palatino Linotype"/>
                <w:sz w:val="18"/>
                <w:szCs w:val="18"/>
              </w:rPr>
              <w:t xml:space="preserve"> (2017)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A45E93">
              <w:rPr>
                <w:rFonts w:ascii="Palatino Linotype" w:hAnsi="Palatino Linotype"/>
                <w:sz w:val="18"/>
                <w:szCs w:val="18"/>
              </w:rPr>
              <w:t>Semeah</w:t>
            </w:r>
            <w:proofErr w:type="spellEnd"/>
            <w:r w:rsidRPr="00A45E93">
              <w:rPr>
                <w:rFonts w:ascii="Palatino Linotype" w:hAnsi="Palatino Linotype"/>
                <w:sz w:val="18"/>
                <w:szCs w:val="18"/>
              </w:rPr>
              <w:t xml:space="preserve"> et al (2017)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A45E93">
              <w:rPr>
                <w:rFonts w:ascii="Palatino Linotype" w:hAnsi="Palatino Linotype"/>
                <w:sz w:val="18"/>
                <w:szCs w:val="18"/>
              </w:rPr>
              <w:t>Wong</w:t>
            </w:r>
            <w:proofErr w:type="spellEnd"/>
            <w:r w:rsidRPr="00A45E93">
              <w:rPr>
                <w:rFonts w:ascii="Palatino Linotype" w:hAnsi="Palatino Linotype"/>
                <w:sz w:val="18"/>
                <w:szCs w:val="18"/>
              </w:rPr>
              <w:t xml:space="preserve"> et al (2017)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 xml:space="preserve">Green &amp; </w:t>
            </w:r>
            <w:proofErr w:type="spellStart"/>
            <w:r w:rsidRPr="00A45E93">
              <w:rPr>
                <w:rFonts w:ascii="Palatino Linotype" w:hAnsi="Palatino Linotype"/>
                <w:sz w:val="18"/>
                <w:szCs w:val="18"/>
              </w:rPr>
              <w:t>Ayalon</w:t>
            </w:r>
            <w:proofErr w:type="spellEnd"/>
            <w:r w:rsidRPr="00A45E93">
              <w:rPr>
                <w:rFonts w:ascii="Palatino Linotype" w:hAnsi="Palatino Linotype"/>
                <w:sz w:val="18"/>
                <w:szCs w:val="18"/>
              </w:rPr>
              <w:t xml:space="preserve"> (2018)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A45E93">
              <w:rPr>
                <w:rFonts w:ascii="Palatino Linotype" w:hAnsi="Palatino Linotype"/>
                <w:sz w:val="18"/>
                <w:szCs w:val="18"/>
              </w:rPr>
              <w:t>Ridenour</w:t>
            </w:r>
            <w:proofErr w:type="spellEnd"/>
            <w:r w:rsidRPr="00A45E93">
              <w:rPr>
                <w:rFonts w:ascii="Palatino Linotype" w:hAnsi="Palatino Linotype"/>
                <w:sz w:val="18"/>
                <w:szCs w:val="18"/>
              </w:rPr>
              <w:t xml:space="preserve"> et al (2019)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</w:tr>
      <w:tr w:rsidR="00545E90" w:rsidRPr="00A45E93" w:rsidTr="00A45E93">
        <w:trPr>
          <w:trHeight w:val="300"/>
        </w:trPr>
        <w:tc>
          <w:tcPr>
            <w:tcW w:w="4836" w:type="dxa"/>
            <w:tcBorders>
              <w:top w:val="nil"/>
              <w:left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A45E93">
              <w:rPr>
                <w:rFonts w:ascii="Palatino Linotype" w:hAnsi="Palatino Linotype"/>
                <w:sz w:val="18"/>
                <w:szCs w:val="18"/>
              </w:rPr>
              <w:t>Fujimoto</w:t>
            </w:r>
            <w:proofErr w:type="spellEnd"/>
            <w:r w:rsidRPr="00A45E93">
              <w:rPr>
                <w:rFonts w:ascii="Palatino Linotype" w:hAnsi="Palatino Linotype"/>
                <w:sz w:val="18"/>
                <w:szCs w:val="18"/>
              </w:rPr>
              <w:t xml:space="preserve"> et al (2019)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right w:val="nil"/>
            </w:tcBorders>
            <w:noWrap/>
            <w:hideMark/>
          </w:tcPr>
          <w:p w:rsidR="00545E90" w:rsidRPr="00A45E93" w:rsidRDefault="00545E90" w:rsidP="00A45E9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A45E93">
              <w:rPr>
                <w:rFonts w:ascii="Palatino Linotype" w:hAnsi="Palatino Linotype"/>
                <w:sz w:val="18"/>
                <w:szCs w:val="18"/>
              </w:rPr>
              <w:t>8</w:t>
            </w:r>
          </w:p>
        </w:tc>
      </w:tr>
    </w:tbl>
    <w:p w:rsidR="003E5FFA" w:rsidRDefault="003E5FFA">
      <w:bookmarkStart w:id="0" w:name="_GoBack"/>
      <w:bookmarkEnd w:id="0"/>
    </w:p>
    <w:sectPr w:rsidR="003E5FFA" w:rsidSect="00545E9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E90"/>
    <w:rsid w:val="003E5FFA"/>
    <w:rsid w:val="00545E90"/>
    <w:rsid w:val="00A4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75858"/>
  <w15:chartTrackingRefBased/>
  <w15:docId w15:val="{8CD4854B-77B0-4A86-BC46-9701BA16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5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2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Clari</dc:creator>
  <cp:keywords/>
  <dc:description/>
  <cp:lastModifiedBy> </cp:lastModifiedBy>
  <cp:revision>1</cp:revision>
  <dcterms:created xsi:type="dcterms:W3CDTF">2020-11-03T09:28:00Z</dcterms:created>
  <dcterms:modified xsi:type="dcterms:W3CDTF">2020-11-03T11:02:00Z</dcterms:modified>
</cp:coreProperties>
</file>