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083" w:rsidRPr="00BF4083" w:rsidRDefault="00CB5EE6" w:rsidP="00BF408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analysis S3</w:t>
      </w:r>
      <w:bookmarkStart w:id="0" w:name="_GoBack"/>
      <w:bookmarkEnd w:id="0"/>
    </w:p>
    <w:p w:rsidR="00BF4083" w:rsidRPr="008D1B8B" w:rsidRDefault="00BF4083" w:rsidP="00BF4083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1B8B">
        <w:rPr>
          <w:rFonts w:ascii="Times New Roman" w:eastAsiaTheme="minorEastAsia" w:hAnsi="Times New Roman" w:cs="Times New Roman"/>
          <w:sz w:val="24"/>
          <w:szCs w:val="24"/>
        </w:rPr>
        <w:t>Public awareness, treatment seeking behaviour and clinical suspicion of dengue may have varied over the period. This may have led to different reporting rates over the study period. We considered a sensitivity analysis in which the proportion of cases reported in the early part of the epidemic was lower than for the remainder of the period. We considered cut-offs in weeks 25, 26, 27 and 28, and reporting ratios of 0.2, 0.4, 0.6, 0.8 and 1.0. For each combination of cut-off week and reporting ratio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8D1B8B">
        <w:rPr>
          <w:rFonts w:ascii="Times New Roman" w:eastAsiaTheme="minorEastAsia" w:hAnsi="Times New Roman" w:cs="Times New Roman"/>
          <w:sz w:val="24"/>
          <w:szCs w:val="24"/>
        </w:rPr>
        <w:t xml:space="preserve"> we multiplied the number of cases reported in all weeks prior to the cut-off by the inverse of the reporting ratio (</w:t>
      </w:r>
      <w:r w:rsidR="00CB5EE6">
        <w:rPr>
          <w:rFonts w:ascii="Times New Roman" w:eastAsiaTheme="minorEastAsia" w:hAnsi="Times New Roman" w:cs="Times New Roman"/>
          <w:sz w:val="24"/>
          <w:szCs w:val="24"/>
        </w:rPr>
        <w:t>Supplementary Figure S8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8D1B8B">
        <w:rPr>
          <w:rFonts w:ascii="Times New Roman" w:eastAsiaTheme="minorEastAsia" w:hAnsi="Times New Roman" w:cs="Times New Roman"/>
          <w:sz w:val="24"/>
          <w:szCs w:val="24"/>
        </w:rPr>
        <w:t xml:space="preserve"> and estimated the temperature dependant, time varying reproduction number for the whole coun</w:t>
      </w:r>
      <w:r>
        <w:rPr>
          <w:rFonts w:ascii="Times New Roman" w:eastAsiaTheme="minorEastAsia" w:hAnsi="Times New Roman" w:cs="Times New Roman"/>
          <w:sz w:val="24"/>
          <w:szCs w:val="24"/>
        </w:rPr>
        <w:t>try</w:t>
      </w:r>
      <w:r w:rsidR="00CB5EE6">
        <w:rPr>
          <w:rFonts w:ascii="Times New Roman" w:eastAsiaTheme="minorEastAsia" w:hAnsi="Times New Roman" w:cs="Times New Roman"/>
          <w:sz w:val="24"/>
          <w:szCs w:val="24"/>
        </w:rPr>
        <w:t xml:space="preserve"> (Supplementary Figure S9</w:t>
      </w:r>
      <w:r w:rsidRPr="008D1B8B">
        <w:rPr>
          <w:rFonts w:ascii="Times New Roman" w:eastAsiaTheme="minorEastAsia" w:hAnsi="Times New Roman" w:cs="Times New Roman"/>
          <w:sz w:val="24"/>
          <w:szCs w:val="24"/>
        </w:rPr>
        <w:t>) using these inflated case numbers. Assuming lower reporting ratios in the early weeks of the epidemic reduced the estimates of the reproduction number five weeks either side of the cut-off, and reduced 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he estimated peak value of the </w:t>
      </w:r>
      <w:r w:rsidR="004A113F">
        <w:rPr>
          <w:rFonts w:ascii="Times New Roman" w:eastAsiaTheme="minorEastAsia" w:hAnsi="Times New Roman" w:cs="Times New Roman"/>
          <w:sz w:val="24"/>
          <w:szCs w:val="24"/>
        </w:rPr>
        <w:t>reproduction number</w:t>
      </w:r>
      <w:r w:rsidRPr="008D1B8B">
        <w:rPr>
          <w:rFonts w:ascii="Times New Roman" w:eastAsiaTheme="minorEastAsia" w:hAnsi="Times New Roman" w:cs="Times New Roman"/>
          <w:sz w:val="24"/>
          <w:szCs w:val="24"/>
        </w:rPr>
        <w:t>. For a given reporting ratio, a cut-off at week 27 led to the lowest estimates of time-varying reproduction numbers.</w:t>
      </w:r>
    </w:p>
    <w:p w:rsidR="00952045" w:rsidRDefault="00CB5EE6"/>
    <w:sectPr w:rsidR="00952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83"/>
    <w:rsid w:val="004A113F"/>
    <w:rsid w:val="005C067A"/>
    <w:rsid w:val="00A42B32"/>
    <w:rsid w:val="00BF4083"/>
    <w:rsid w:val="00CB5EE6"/>
    <w:rsid w:val="00F9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7E7E8"/>
  <w15:chartTrackingRefBased/>
  <w15:docId w15:val="{C425C8D1-3C2A-4C25-A8D5-F541E9FC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Tsheten Tsheten</dc:creator>
  <cp:keywords/>
  <dc:description/>
  <cp:lastModifiedBy>Tsheten Tsheten</cp:lastModifiedBy>
  <cp:revision>4</cp:revision>
  <dcterms:created xsi:type="dcterms:W3CDTF">2020-12-22T12:34:00Z</dcterms:created>
  <dcterms:modified xsi:type="dcterms:W3CDTF">2021-01-04T23:30:00Z</dcterms:modified>
</cp:coreProperties>
</file>