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C178D" w14:textId="77777777" w:rsidR="00435CAD" w:rsidRDefault="00435CAD" w:rsidP="008E190F">
      <w:pPr>
        <w:pStyle w:val="Title"/>
      </w:pPr>
      <w:r>
        <w:t>Protocol</w:t>
      </w:r>
    </w:p>
    <w:p w14:paraId="4AB823A1" w14:textId="6FBE4EBC" w:rsidR="00AD2C7E" w:rsidRPr="000A18CF" w:rsidRDefault="00AD2C7E" w:rsidP="008E190F">
      <w:pPr>
        <w:pStyle w:val="Title"/>
      </w:pPr>
      <w:r w:rsidRPr="000A18CF">
        <w:t>The costs of establishing and maintaining environmental health services in healthcare facilities in low- and middle-income countries: a systematic review</w:t>
      </w:r>
    </w:p>
    <w:p w14:paraId="55AE497C" w14:textId="2AF89A7E" w:rsidR="000649D5" w:rsidRPr="000A18CF" w:rsidRDefault="00AD2C7E" w:rsidP="008E190F">
      <w:pPr>
        <w:pStyle w:val="Heading2"/>
      </w:pPr>
      <w:r w:rsidRPr="000A18CF">
        <w:rPr>
          <w:rStyle w:val="Heading1Char"/>
          <w:rFonts w:eastAsiaTheme="minorHAnsi"/>
          <w:sz w:val="22"/>
          <w:szCs w:val="22"/>
        </w:rPr>
        <w:t>Authors:</w:t>
      </w:r>
      <w:r w:rsidRPr="000A18CF">
        <w:t xml:space="preserve"> Darcy M. Anderson</w:t>
      </w:r>
      <w:r w:rsidRPr="000A18CF">
        <w:rPr>
          <w:vertAlign w:val="superscript"/>
        </w:rPr>
        <w:t>1*</w:t>
      </w:r>
      <w:r w:rsidRPr="000A18CF">
        <w:t>, Ryan Cronk</w:t>
      </w:r>
      <w:r w:rsidRPr="000A18CF">
        <w:rPr>
          <w:vertAlign w:val="superscript"/>
        </w:rPr>
        <w:t>1</w:t>
      </w:r>
      <w:r w:rsidRPr="000A18CF">
        <w:t>, Jamie Bartram</w:t>
      </w:r>
      <w:r w:rsidRPr="000A18CF">
        <w:rPr>
          <w:vertAlign w:val="superscript"/>
        </w:rPr>
        <w:t>1</w:t>
      </w:r>
    </w:p>
    <w:p w14:paraId="1E4BACCA" w14:textId="77777777" w:rsidR="008E190F" w:rsidRPr="000A18CF" w:rsidRDefault="008E190F" w:rsidP="008E190F"/>
    <w:p w14:paraId="313C3097" w14:textId="64290B25" w:rsidR="00AD2C7E" w:rsidRPr="000A18CF" w:rsidRDefault="00AD2C7E" w:rsidP="00AD2C7E">
      <w:r w:rsidRPr="000A18CF">
        <w:rPr>
          <w:vertAlign w:val="superscript"/>
        </w:rPr>
        <w:t>1</w:t>
      </w:r>
      <w:r w:rsidRPr="000A18CF">
        <w:t>The Water Institute, University of North Carolina at Chapel Hill, Chapel Hill, North Carolina, United States of America</w:t>
      </w:r>
    </w:p>
    <w:p w14:paraId="35C6FFCB" w14:textId="047F3F77" w:rsidR="000A18CF" w:rsidRPr="000A18CF" w:rsidRDefault="00162FDC" w:rsidP="00162FDC">
      <w:r w:rsidRPr="000A18CF">
        <w:t xml:space="preserve">* Corresponding author: </w:t>
      </w:r>
      <w:hyperlink r:id="rId8" w:history="1">
        <w:r w:rsidR="000A18CF" w:rsidRPr="000A18CF">
          <w:rPr>
            <w:rStyle w:val="Hyperlink"/>
          </w:rPr>
          <w:t>darcy.anderson@unc.edu</w:t>
        </w:r>
      </w:hyperlink>
    </w:p>
    <w:p w14:paraId="43F5B37B" w14:textId="77777777" w:rsidR="000A18CF" w:rsidRPr="000A18CF" w:rsidRDefault="000A18CF" w:rsidP="000A18CF">
      <w:pPr>
        <w:pStyle w:val="paragraph"/>
        <w:spacing w:before="0" w:beforeAutospacing="0" w:after="0" w:afterAutospacing="0"/>
        <w:ind w:left="1890"/>
        <w:textAlignment w:val="baseline"/>
        <w:rPr>
          <w:color w:val="000000"/>
          <w:sz w:val="18"/>
          <w:szCs w:val="18"/>
        </w:rPr>
      </w:pPr>
      <w:r w:rsidRPr="000A18CF">
        <w:rPr>
          <w:rStyle w:val="normaltextrun"/>
          <w:color w:val="000000"/>
          <w:sz w:val="22"/>
          <w:szCs w:val="22"/>
        </w:rPr>
        <w:t>The Water Institute at UNC</w:t>
      </w:r>
      <w:r w:rsidRPr="000A18CF">
        <w:rPr>
          <w:rStyle w:val="eop"/>
          <w:color w:val="000000"/>
          <w:sz w:val="22"/>
          <w:szCs w:val="22"/>
        </w:rPr>
        <w:t> </w:t>
      </w:r>
    </w:p>
    <w:p w14:paraId="43F3422F" w14:textId="77777777" w:rsidR="000A18CF" w:rsidRPr="000A18CF" w:rsidRDefault="000A18CF" w:rsidP="000A18CF">
      <w:pPr>
        <w:pStyle w:val="paragraph"/>
        <w:spacing w:before="0" w:beforeAutospacing="0" w:after="0" w:afterAutospacing="0"/>
        <w:ind w:left="1890"/>
        <w:textAlignment w:val="baseline"/>
        <w:rPr>
          <w:color w:val="000000"/>
          <w:sz w:val="18"/>
          <w:szCs w:val="18"/>
        </w:rPr>
      </w:pPr>
      <w:proofErr w:type="spellStart"/>
      <w:r w:rsidRPr="000A18CF">
        <w:rPr>
          <w:rStyle w:val="normaltextrun"/>
          <w:color w:val="000000"/>
          <w:sz w:val="22"/>
          <w:szCs w:val="22"/>
        </w:rPr>
        <w:t>Gillings</w:t>
      </w:r>
      <w:proofErr w:type="spellEnd"/>
      <w:r w:rsidRPr="000A18CF">
        <w:rPr>
          <w:rStyle w:val="normaltextrun"/>
          <w:color w:val="000000"/>
          <w:sz w:val="22"/>
          <w:szCs w:val="22"/>
        </w:rPr>
        <w:t xml:space="preserve"> School of Global Public Health</w:t>
      </w:r>
      <w:r w:rsidRPr="000A18CF">
        <w:rPr>
          <w:rStyle w:val="eop"/>
          <w:color w:val="000000"/>
          <w:sz w:val="22"/>
          <w:szCs w:val="22"/>
        </w:rPr>
        <w:t> </w:t>
      </w:r>
    </w:p>
    <w:p w14:paraId="663EF05F" w14:textId="77777777" w:rsidR="000A18CF" w:rsidRPr="000A18CF" w:rsidRDefault="000A18CF" w:rsidP="000A18CF">
      <w:pPr>
        <w:pStyle w:val="paragraph"/>
        <w:spacing w:before="0" w:beforeAutospacing="0" w:after="0" w:afterAutospacing="0"/>
        <w:ind w:left="1890"/>
        <w:textAlignment w:val="baseline"/>
        <w:rPr>
          <w:color w:val="000000"/>
          <w:sz w:val="18"/>
          <w:szCs w:val="18"/>
        </w:rPr>
      </w:pPr>
      <w:r w:rsidRPr="000A18CF">
        <w:rPr>
          <w:rStyle w:val="normaltextrun"/>
          <w:color w:val="000000"/>
          <w:sz w:val="22"/>
          <w:szCs w:val="22"/>
        </w:rPr>
        <w:t>The University of North Carolina at Chapel Hill</w:t>
      </w:r>
      <w:r w:rsidRPr="000A18CF">
        <w:rPr>
          <w:rStyle w:val="eop"/>
          <w:color w:val="000000"/>
          <w:sz w:val="22"/>
          <w:szCs w:val="22"/>
        </w:rPr>
        <w:t> </w:t>
      </w:r>
    </w:p>
    <w:p w14:paraId="17984A8D" w14:textId="77777777" w:rsidR="000A18CF" w:rsidRPr="000A18CF" w:rsidRDefault="000A18CF" w:rsidP="000A18CF">
      <w:pPr>
        <w:pStyle w:val="paragraph"/>
        <w:spacing w:before="0" w:beforeAutospacing="0" w:after="0" w:afterAutospacing="0"/>
        <w:ind w:left="1890"/>
        <w:textAlignment w:val="baseline"/>
        <w:rPr>
          <w:color w:val="000000"/>
          <w:sz w:val="18"/>
          <w:szCs w:val="18"/>
        </w:rPr>
      </w:pPr>
      <w:r w:rsidRPr="000A18CF">
        <w:rPr>
          <w:rStyle w:val="normaltextrun"/>
          <w:color w:val="000000"/>
          <w:sz w:val="22"/>
          <w:szCs w:val="22"/>
        </w:rPr>
        <w:t>Rosenau Hall, CB #7431</w:t>
      </w:r>
      <w:r w:rsidRPr="000A18CF">
        <w:rPr>
          <w:rStyle w:val="eop"/>
          <w:color w:val="000000"/>
          <w:sz w:val="22"/>
          <w:szCs w:val="22"/>
        </w:rPr>
        <w:t> </w:t>
      </w:r>
    </w:p>
    <w:p w14:paraId="4870B520" w14:textId="77777777" w:rsidR="000A18CF" w:rsidRPr="000A18CF" w:rsidRDefault="000A18CF" w:rsidP="000A18CF">
      <w:pPr>
        <w:pStyle w:val="paragraph"/>
        <w:spacing w:before="0" w:beforeAutospacing="0" w:after="0" w:afterAutospacing="0"/>
        <w:ind w:left="1890"/>
        <w:textAlignment w:val="baseline"/>
        <w:rPr>
          <w:color w:val="000000"/>
          <w:sz w:val="18"/>
          <w:szCs w:val="18"/>
        </w:rPr>
      </w:pPr>
      <w:r w:rsidRPr="000A18CF">
        <w:rPr>
          <w:rStyle w:val="normaltextrun"/>
          <w:color w:val="000000"/>
          <w:sz w:val="22"/>
          <w:szCs w:val="22"/>
        </w:rPr>
        <w:t xml:space="preserve">135 </w:t>
      </w:r>
      <w:r w:rsidRPr="000A18CF">
        <w:rPr>
          <w:rStyle w:val="findhit"/>
          <w:color w:val="000000"/>
          <w:sz w:val="22"/>
          <w:szCs w:val="22"/>
          <w:shd w:val="clear" w:color="auto" w:fill="FFEE80"/>
        </w:rPr>
        <w:t>Daue</w:t>
      </w:r>
      <w:r w:rsidRPr="000A18CF">
        <w:rPr>
          <w:rStyle w:val="normaltextrun"/>
          <w:color w:val="000000"/>
          <w:sz w:val="22"/>
          <w:szCs w:val="22"/>
        </w:rPr>
        <w:t>r Drive, Chapel Hill, NC 27599-7431</w:t>
      </w:r>
      <w:r w:rsidRPr="000A18CF">
        <w:rPr>
          <w:rStyle w:val="eop"/>
          <w:color w:val="000000"/>
          <w:sz w:val="22"/>
          <w:szCs w:val="22"/>
        </w:rPr>
        <w:t> </w:t>
      </w:r>
    </w:p>
    <w:p w14:paraId="20B27334" w14:textId="77777777" w:rsidR="000A18CF" w:rsidRPr="000A18CF" w:rsidRDefault="000A18CF" w:rsidP="00162FDC"/>
    <w:p w14:paraId="07940E07" w14:textId="0E9330F6" w:rsidR="00492FB8" w:rsidRPr="000A18CF" w:rsidRDefault="000649D5" w:rsidP="008E190F">
      <w:r w:rsidRPr="000A18CF">
        <w:t>Last update: 5 June, 2019</w:t>
      </w:r>
      <w:r w:rsidR="00492FB8" w:rsidRPr="000A18CF">
        <w:br w:type="page"/>
      </w:r>
    </w:p>
    <w:p w14:paraId="6D20DAE2" w14:textId="3247CD19" w:rsidR="00AD2C7E" w:rsidRPr="000A18CF" w:rsidRDefault="00AD2C7E" w:rsidP="000649D5">
      <w:pPr>
        <w:pStyle w:val="Heading1"/>
      </w:pPr>
      <w:r w:rsidRPr="000A18CF">
        <w:lastRenderedPageBreak/>
        <w:t>Background</w:t>
      </w:r>
    </w:p>
    <w:p w14:paraId="2079FBA0" w14:textId="2F1DC2BB" w:rsidR="00AD2C7E" w:rsidRPr="000A18CF" w:rsidRDefault="00AD2C7E" w:rsidP="00AD2C7E">
      <w:r w:rsidRPr="000A18CF">
        <w:t>Safe and hygienic environmental conditions are critical for providing quality patient care and preventing healthcare-acquired infections (HCAI</w:t>
      </w:r>
      <w:r w:rsidR="00D153AD" w:rsidRPr="000A18CF">
        <w:t>s</w:t>
      </w:r>
      <w:r w:rsidRPr="000A18CF">
        <w:t xml:space="preserve">). The </w:t>
      </w:r>
      <w:r w:rsidR="00D153AD" w:rsidRPr="000A18CF">
        <w:t xml:space="preserve">global </w:t>
      </w:r>
      <w:r w:rsidRPr="000A18CF">
        <w:t xml:space="preserve">burden of HCAIs is significant, with reviews suggesting that infection rates may be as high as 15% of all hospitalized patients in low- and middle-income countries </w:t>
      </w:r>
      <w:r w:rsidRPr="000A18CF">
        <w:fldChar w:fldCharType="begin">
          <w:fldData xml:space="preserve">PEVuZE5vdGU+PENpdGU+PEF1dGhvcj5BbGxlZ3JhbnppPC9BdXRob3I+PFllYXI+MjAxMTwvWWVh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=
</w:fldData>
        </w:fldChar>
      </w:r>
      <w:r w:rsidRPr="000A18CF">
        <w:instrText xml:space="preserve"> ADDIN EN.CITE </w:instrText>
      </w:r>
      <w:r w:rsidRPr="000A18CF">
        <w:fldChar w:fldCharType="begin">
          <w:fldData xml:space="preserve">PEVuZE5vdGU+PENpdGU+PEF1dGhvcj5BbGxlZ3JhbnppPC9BdXRob3I+PFllYXI+MjAxMTwvWWVh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=
</w:fldData>
        </w:fldChar>
      </w:r>
      <w:r w:rsidRPr="000A18CF">
        <w:instrText xml:space="preserve"> ADDIN EN.CITE.DATA </w:instrText>
      </w:r>
      <w:r w:rsidRPr="000A18CF">
        <w:fldChar w:fldCharType="end"/>
      </w:r>
      <w:r w:rsidRPr="000A18CF">
        <w:fldChar w:fldCharType="separate"/>
      </w:r>
      <w:r w:rsidRPr="000A18CF">
        <w:rPr>
          <w:noProof/>
        </w:rPr>
        <w:t>[1,2]</w:t>
      </w:r>
      <w:r w:rsidRPr="000A18CF">
        <w:fldChar w:fldCharType="end"/>
      </w:r>
      <w:r w:rsidRPr="000A18CF">
        <w:t xml:space="preserve">. Estimates suggest that approximately 6% of patients with an HCAI die from related causes in high-income settings, </w:t>
      </w:r>
      <w:r w:rsidR="00D153AD" w:rsidRPr="000A18CF">
        <w:t>and</w:t>
      </w:r>
      <w:r w:rsidRPr="000A18CF">
        <w:t xml:space="preserve"> rates </w:t>
      </w:r>
      <w:r w:rsidR="00D153AD" w:rsidRPr="000A18CF">
        <w:t>may be</w:t>
      </w:r>
      <w:r w:rsidRPr="000A18CF">
        <w:t xml:space="preserve"> higher in low-resource settings where appropriate treatment is more challenging </w:t>
      </w:r>
      <w:r w:rsidRPr="000A18CF">
        <w:fldChar w:fldCharType="begin"/>
      </w:r>
      <w:r w:rsidRPr="000A18CF">
        <w:instrText xml:space="preserve"> ADDIN EN.CITE &lt;EndNote&gt;&lt;Cite&gt;&lt;Author&gt;Klevens&lt;/Author&gt;&lt;Year&gt;2007&lt;/Year&gt;&lt;RecNum&gt;30050&lt;/RecNum&gt;&lt;DisplayText&gt;[3]&lt;/DisplayText&gt;&lt;record&gt;&lt;rec-number&gt;30050&lt;/rec-number&gt;&lt;foreign-keys&gt;&lt;key app="EN" db-id="09220x02kxvddhe0xz2x505xe5fzwpfpzpvd"&gt;30050&lt;/key&gt;&lt;/foreign-keys&gt;&lt;ref-type name="Journal Article"&gt;17&lt;/ref-type&gt;&lt;contributors&gt;&lt;authors&gt;&lt;author&gt;Klevens, R. Monina&lt;/author&gt;&lt;author&gt;Edwards, Jonathan R.&lt;/author&gt;&lt;author&gt;Richards, Chesley L., Jr.&lt;/author&gt;&lt;author&gt;Horan, Teresa C.&lt;/author&gt;&lt;author&gt;Gaynes, Robert P.&lt;/author&gt;&lt;author&gt;Pollock, Daniel A.&lt;/author&gt;&lt;author&gt;Cardo, Denise M.&lt;/author&gt;&lt;/authors&gt;&lt;/contributors&gt;&lt;titles&gt;&lt;title&gt;Estimating health care-associated infections and deaths in U.S. hospitals, 2002&lt;/title&gt;&lt;secondary-title&gt;Public health reports (Washington, D.C. : 1974)&lt;/secondary-title&gt;&lt;/titles&gt;&lt;periodical&gt;&lt;full-title&gt;Public health reports (Washington, D.C. : 1974)&lt;/full-title&gt;&lt;/periodical&gt;&lt;pages&gt;160-166&lt;/pages&gt;&lt;volume&gt;122&lt;/volume&gt;&lt;number&gt;2&lt;/number&gt;&lt;dates&gt;&lt;year&gt;2007&lt;/year&gt;&lt;pub-dates&gt;&lt;date&gt;Mar-Apr&lt;/date&gt;&lt;/pub-dates&gt;&lt;/dates&gt;&lt;publisher&gt;Association of Schools of Public Health&lt;/publisher&gt;&lt;isbn&gt;0033-3549&amp;#xD;1468-2877&lt;/isbn&gt;&lt;accession-num&gt;17357358&lt;/accession-num&gt;&lt;urls&gt;&lt;related-urls&gt;&lt;url&gt;https://www.ncbi.nlm.nih.gov/pubmed/17357358&lt;/url&gt;&lt;url&gt;https://www.ncbi.nlm.nih.gov/pmc/PMC1820440/&lt;/url&gt;&lt;/related-urls&gt;&lt;/urls&gt;&lt;electronic-resource-num&gt;10.1177/003335490712200205&lt;/electronic-resource-num&gt;&lt;remote-database-name&gt;PubMed&lt;/remote-database-name&gt;&lt;language&gt;eng&lt;/language&gt;&lt;/record&gt;&lt;/Cite&gt;&lt;/EndNote&gt;</w:instrText>
      </w:r>
      <w:r w:rsidRPr="000A18CF">
        <w:fldChar w:fldCharType="separate"/>
      </w:r>
      <w:r w:rsidRPr="000A18CF">
        <w:rPr>
          <w:noProof/>
        </w:rPr>
        <w:t>[3]</w:t>
      </w:r>
      <w:r w:rsidRPr="000A18CF">
        <w:fldChar w:fldCharType="end"/>
      </w:r>
      <w:r w:rsidRPr="000A18CF">
        <w:t>.</w:t>
      </w:r>
    </w:p>
    <w:p w14:paraId="02B6F5C8" w14:textId="684574E7" w:rsidR="00AD2C7E" w:rsidRPr="000A18CF" w:rsidRDefault="00AD2C7E" w:rsidP="00AD2C7E">
      <w:r w:rsidRPr="000A18CF">
        <w:t xml:space="preserve">Environmental contamination in the healthcare environment is a </w:t>
      </w:r>
      <w:r w:rsidR="00D153AD" w:rsidRPr="000A18CF">
        <w:t>major</w:t>
      </w:r>
      <w:r w:rsidRPr="000A18CF">
        <w:t xml:space="preserve"> contributor to the burden of HCAIs. An estimated 40-60% of HCAIs are transmitted on the hands of healthcare personnel, and an additional 20% are attributable to environmental contamination </w:t>
      </w:r>
      <w:r w:rsidRPr="000A18CF">
        <w:fldChar w:fldCharType="begin"/>
      </w:r>
      <w:r w:rsidRPr="000A18CF">
        <w:instrText xml:space="preserve"> ADDIN EN.CITE &lt;EndNote&gt;&lt;Cite&gt;&lt;Author&gt;Weinstein&lt;/Author&gt;&lt;Year&gt;1991&lt;/Year&gt;&lt;RecNum&gt;30049&lt;/RecNum&gt;&lt;DisplayText&gt;[4]&lt;/DisplayText&gt;&lt;record&gt;&lt;rec-number&gt;30049&lt;/rec-number&gt;&lt;foreign-keys&gt;&lt;key app="EN" db-id="09220x02kxvddhe0xz2x505xe5fzwpfpzpvd"&gt;30049&lt;/key&gt;&lt;/foreign-keys&gt;&lt;ref-type name="Journal Article"&gt;17&lt;/ref-type&gt;&lt;contributors&gt;&lt;authors&gt;&lt;author&gt;Weinstein, Robert A&lt;/author&gt;&lt;/authors&gt;&lt;/contributors&gt;&lt;titles&gt;&lt;title&gt;Epidemiology and control of nosocomial infections in adult intensive care units&lt;/title&gt;&lt;secondary-title&gt;The American journal of medicine&lt;/secondary-title&gt;&lt;/titles&gt;&lt;periodical&gt;&lt;full-title&gt;The American journal of medicine&lt;/full-title&gt;&lt;/periodical&gt;&lt;pages&gt;S179-S184&lt;/pages&gt;&lt;volume&gt;91&lt;/volume&gt;&lt;number&gt;3&lt;/number&gt;&lt;dates&gt;&lt;year&gt;1991&lt;/year&gt;&lt;/dates&gt;&lt;isbn&gt;0002-9343&lt;/isbn&gt;&lt;urls&gt;&lt;/urls&gt;&lt;/record&gt;&lt;/Cite&gt;&lt;/EndNote&gt;</w:instrText>
      </w:r>
      <w:r w:rsidRPr="000A18CF">
        <w:fldChar w:fldCharType="separate"/>
      </w:r>
      <w:r w:rsidRPr="000A18CF">
        <w:rPr>
          <w:noProof/>
        </w:rPr>
        <w:t>[4]</w:t>
      </w:r>
      <w:r w:rsidRPr="000A18CF">
        <w:fldChar w:fldCharType="end"/>
      </w:r>
      <w:r w:rsidRPr="000A18CF">
        <w:t xml:space="preserve">. Provision of basic environmental health services (EHS) in healthcare facilities (HCFs) is considered critical for safe care delivery and </w:t>
      </w:r>
      <w:r w:rsidRPr="000A18CF">
        <w:fldChar w:fldCharType="begin">
          <w:fldData xml:space="preserve">PEVuZE5vdGU+PENpdGU+PEF1dGhvcj5QaXR0ZXQ8L0F1dGhvcj48WWVhcj4yMDA2PC9ZZWFyPjxS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</w:fldData>
        </w:fldChar>
      </w:r>
      <w:r w:rsidRPr="000A18CF">
        <w:instrText xml:space="preserve"> ADDIN EN.CITE </w:instrText>
      </w:r>
      <w:r w:rsidRPr="000A18CF">
        <w:fldChar w:fldCharType="begin">
          <w:fldData xml:space="preserve">PEVuZE5vdGU+PENpdGU+PEF1dGhvcj5QaXR0ZXQ8L0F1dGhvcj48WWVhcj4yMDA2PC9ZZWFyPjxS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</w:fldData>
        </w:fldChar>
      </w:r>
      <w:r w:rsidRPr="000A18CF">
        <w:instrText xml:space="preserve"> ADDIN EN.CITE.DATA </w:instrText>
      </w:r>
      <w:r w:rsidRPr="000A18CF">
        <w:fldChar w:fldCharType="end"/>
      </w:r>
      <w:r w:rsidRPr="000A18CF">
        <w:fldChar w:fldCharType="separate"/>
      </w:r>
      <w:r w:rsidRPr="000A18CF">
        <w:rPr>
          <w:noProof/>
        </w:rPr>
        <w:t>[5,6]</w:t>
      </w:r>
      <w:r w:rsidRPr="000A18CF">
        <w:fldChar w:fldCharType="end"/>
      </w:r>
      <w:r w:rsidRPr="000A18CF">
        <w:t xml:space="preserve"> and may also improve patient satisfaction and reduce barriers to care seeking behavior </w:t>
      </w:r>
      <w:r w:rsidRPr="000A18CF">
        <w:fldChar w:fldCharType="begin"/>
      </w:r>
      <w:r w:rsidRPr="000A18CF">
        <w:instrText xml:space="preserve"> ADDIN EN.CITE &lt;EndNote&gt;&lt;Cite&gt;&lt;Author&gt;Bouzid&lt;/Author&gt;&lt;Year&gt;2018&lt;/Year&gt;&lt;RecNum&gt;29090&lt;/RecNum&gt;&lt;DisplayText&gt;[7]&lt;/DisplayText&gt;&lt;record&gt;&lt;rec-number&gt;29090&lt;/rec-number&gt;&lt;foreign-keys&gt;&lt;key app="EN" db-id="09220x02kxvddhe0xz2x505xe5fzwpfpzpvd"&gt;29090&lt;/key&gt;&lt;/foreign-keys&gt;&lt;ref-type name="Journal Article"&gt;17&lt;/ref-type&gt;&lt;contributors&gt;&lt;authors&gt;&lt;author&gt;Bouzid, M.&lt;/author&gt;&lt;author&gt;Cumming, O.&lt;/author&gt;&lt;author&gt;Hunter, P. R.&lt;/author&gt;&lt;/authors&gt;&lt;/contributors&gt;&lt;auth-address&gt;Norwich School of Medicine, University of East Anglia, Norwich, UK.&amp;#xD;Department of Disease Control, Faculty of Infectious and Tropical Diseases, London School of Hygiene and Tropical Medicine, London, UK.&lt;/auth-address&gt;&lt;titles&gt;&lt;title&gt;What is the impact of water sanitation and hygiene in healthcare facilities on care seeking behaviour and patient satisfaction? A systematic review of the evidence from low-income and middle-income countries&lt;/title&gt;&lt;secondary-title&gt;BMJ Glob Health&lt;/secondary-title&gt;&lt;alt-title&gt;BMJ global health&lt;/alt-title&gt;&lt;/titles&gt;&lt;periodical&gt;&lt;full-title&gt;BMJ Glob Health&lt;/full-title&gt;&lt;abbr-1&gt;BMJ global health&lt;/abbr-1&gt;&lt;/periodical&gt;&lt;alt-periodical&gt;&lt;full-title&gt;BMJ Glob Health&lt;/full-title&gt;&lt;abbr-1&gt;BMJ global health&lt;/abbr-1&gt;&lt;/alt-periodical&gt;&lt;pages&gt;e000648&lt;/pages&gt;&lt;volume&gt;3&lt;/volume&gt;&lt;number&gt;3&lt;/number&gt;&lt;edition&gt;2018/05/17&lt;/edition&gt;&lt;keywords&gt;&lt;keyword&gt;WASH&lt;/keyword&gt;&lt;keyword&gt;water&lt;/keyword&gt;&lt;keyword&gt;sanitation&lt;/keyword&gt;&lt;keyword&gt;hygiene&lt;/keyword&gt;&lt;keyword&gt;handwashing&lt;/keyword&gt;&lt;keyword&gt;health care facilities&lt;/keyword&gt;&lt;keyword&gt;HCF&lt;/keyword&gt;&lt;keyword&gt;HCAI&lt;/keyword&gt;&lt;keyword&gt;healthcare acquired infections&lt;/keyword&gt;&lt;/keywords&gt;&lt;dates&gt;&lt;year&gt;2018&lt;/year&gt;&lt;/dates&gt;&lt;isbn&gt;2059-7908 (Print)&amp;#xD;2059-7908&lt;/isbn&gt;&lt;accession-num&gt;29765776&lt;/accession-num&gt;&lt;urls&gt;&lt;/urls&gt;&lt;custom2&gt;Pmc5950627&lt;/custom2&gt;&lt;electronic-resource-num&gt;10.1136/bmjgh-2017-000648&lt;/electronic-resource-num&gt;&lt;remote-database-provider&gt;Nlm&lt;/remote-database-provider&gt;&lt;language&gt;eng&lt;/language&gt;&lt;/record&gt;&lt;/Cite&gt;&lt;/EndNote&gt;</w:instrText>
      </w:r>
      <w:r w:rsidRPr="000A18CF">
        <w:fldChar w:fldCharType="separate"/>
      </w:r>
      <w:r w:rsidRPr="000A18CF">
        <w:rPr>
          <w:noProof/>
        </w:rPr>
        <w:t>[7]</w:t>
      </w:r>
      <w:r w:rsidRPr="000A18CF">
        <w:fldChar w:fldCharType="end"/>
      </w:r>
      <w:r w:rsidRPr="000A18CF">
        <w:t>.</w:t>
      </w:r>
      <w:r w:rsidRPr="000A18CF" w:rsidDel="001561F5">
        <w:t xml:space="preserve"> </w:t>
      </w:r>
    </w:p>
    <w:p w14:paraId="3FFFA62A" w14:textId="5DD815E8" w:rsidR="00AD2C7E" w:rsidRPr="000A18CF" w:rsidRDefault="00AD2C7E" w:rsidP="00AD2C7E">
      <w:r w:rsidRPr="000A18CF">
        <w:t>Under the Sustainable Development Goals, Goal 6 calls for universal access to water, sanitation, and hygiene (WASH), where ‘universal’ is defined as all settings including HCFs, as interpreted by the World Health Organization (WHO) and United Nations Children's Fund Joint Monitoring Program for Water Supply, Sanitation and Hygiene (JMP)</w:t>
      </w:r>
      <w:r w:rsidR="008E05DB" w:rsidRPr="000A18CF">
        <w:t>, which</w:t>
      </w:r>
      <w:r w:rsidRPr="000A18CF">
        <w:t xml:space="preserve"> has the mandate for monitoring Goal 6 </w:t>
      </w:r>
      <w:r w:rsidRPr="000A18CF">
        <w:fldChar w:fldCharType="begin"/>
      </w:r>
      <w:r w:rsidRPr="000A18CF">
        <w:instrText xml:space="preserve"> ADDIN EN.CITE &lt;EndNote&gt;&lt;Cite&gt;&lt;Author&gt;United Nations General Assembly&lt;/Author&gt;&lt;Year&gt;2015&lt;/Year&gt;&lt;RecNum&gt;233&lt;/RecNum&gt;&lt;DisplayText&gt;[8]&lt;/DisplayText&gt;&lt;record&gt;&lt;rec-number&gt;233&lt;/rec-number&gt;&lt;foreign-keys&gt;&lt;key app="EN" db-id="09220x02kxvddhe0xz2x505xe5fzwpfpzpvd"&gt;233&lt;/key&gt;&lt;/foreign-keys&gt;&lt;ref-type name="Book"&gt;6&lt;/ref-type&gt;&lt;contributors&gt;&lt;authors&gt;&lt;author&gt;United Nations General Assembly,&lt;/author&gt;&lt;/authors&gt;&lt;tertiary-authors&gt;&lt;author&gt;United Nations&lt;/author&gt;&lt;/tertiary-authors&gt;&lt;/contributors&gt;&lt;titles&gt;&lt;title&gt;Transforming our World: the 2030 Agenda for Sutstainable Development.&lt;/title&gt;&lt;/titles&gt;&lt;number&gt;January 20&lt;/number&gt;&lt;dates&gt;&lt;year&gt;2015&lt;/year&gt;&lt;/dates&gt;&lt;pub-location&gt;New York, New York&lt;/pub-location&gt;&lt;publisher&gt;United Nations&lt;/publisher&gt;&lt;isbn&gt;A/RES/70/1&lt;/isbn&gt;&lt;urls&gt;&lt;related-urls&gt;&lt;url&gt;http://www.un.org/sustainabledevelopment/water-and-sanitation/&lt;/url&gt;&lt;/related-urls&gt;&lt;/urls&gt;&lt;/record&gt;&lt;/Cite&gt;&lt;/EndNote&gt;</w:instrText>
      </w:r>
      <w:r w:rsidRPr="000A18CF">
        <w:fldChar w:fldCharType="separate"/>
      </w:r>
      <w:r w:rsidRPr="000A18CF">
        <w:rPr>
          <w:noProof/>
        </w:rPr>
        <w:t>[8]</w:t>
      </w:r>
      <w:r w:rsidRPr="000A18CF">
        <w:fldChar w:fldCharType="end"/>
      </w:r>
      <w:r w:rsidRPr="000A18CF">
        <w:t xml:space="preserve">. Furthermore, HCFs bear additional EHS requirements beyond WASH for functional service delivery and prevention of HCAIs </w:t>
      </w:r>
      <w:r w:rsidRPr="000A18CF">
        <w:fldChar w:fldCharType="begin"/>
      </w:r>
      <w:r w:rsidRPr="000A18CF">
        <w:instrText xml:space="preserve"> ADDIN EN.CITE &lt;EndNote&gt;&lt;Cite&gt;&lt;Author&gt;D&amp;apos;Mello-Guyett&lt;/Author&gt;&lt;Year&gt;2016&lt;/Year&gt;&lt;RecNum&gt;28989&lt;/RecNum&gt;&lt;DisplayText&gt;[9]&lt;/DisplayText&gt;&lt;record&gt;&lt;rec-number&gt;28989&lt;/rec-number&gt;&lt;foreign-keys&gt;&lt;key app="EN" db-id="09220x02kxvddhe0xz2x505xe5fzwpfpzpvd"&gt;28989&lt;/key&gt;&lt;/foreign-keys&gt;&lt;ref-type name="Report"&gt;27&lt;/ref-type&gt;&lt;contributors&gt;&lt;authors&gt;&lt;author&gt;D&amp;apos;Mello-Guyett, L.&lt;/author&gt;&lt;author&gt;Cumming, O.&lt;/author&gt;&lt;/authors&gt;&lt;tertiary-authors&gt;&lt;author&gt;WHO&lt;/author&gt;&lt;/tertiary-authors&gt;&lt;/contributors&gt;&lt;titles&gt;&lt;title&gt;Water, sanitation and hygiene in health care facilities: global strategy, burden of disease, and evidence and action priorities&lt;/title&gt;&lt;/titles&gt;&lt;keywords&gt;&lt;keyword&gt;WASH&amp;#xD;water&lt;/keyword&gt;&lt;keyword&gt;sanitation&lt;/keyword&gt;&lt;keyword&gt;hygiene&lt;/keyword&gt;&lt;keyword&gt;health care waste&lt;/keyword&gt;&lt;keyword&gt;waste disposal&lt;/keyword&gt;&lt;keyword&gt;health care facilities&lt;/keyword&gt;&lt;keyword&gt;hospitals&lt;/keyword&gt;&lt;keyword&gt;IPC&lt;/keyword&gt;&lt;keyword&gt;infections prevention and control&lt;/keyword&gt;&lt;/keywords&gt;&lt;dates&gt;&lt;year&gt;2016&lt;/year&gt;&lt;/dates&gt;&lt;pub-location&gt;London&lt;/pub-location&gt;&lt;urls&gt;&lt;related-urls&gt;&lt;url&gt;http://www.who.int/water_sanitation_health/facilities/wash-in-hcf-london.pdf&lt;/url&gt;&lt;/related-urls&gt;&lt;/urls&gt;&lt;/record&gt;&lt;/Cite&gt;&lt;/EndNote&gt;</w:instrText>
      </w:r>
      <w:r w:rsidRPr="000A18CF">
        <w:fldChar w:fldCharType="separate"/>
      </w:r>
      <w:r w:rsidRPr="000A18CF">
        <w:rPr>
          <w:noProof/>
        </w:rPr>
        <w:t>[9]</w:t>
      </w:r>
      <w:r w:rsidRPr="000A18CF">
        <w:fldChar w:fldCharType="end"/>
      </w:r>
      <w:r w:rsidRPr="000A18CF">
        <w:t>. In response, the JMP has under development indicators for monitoring healthcare settings that include hygiene availability to healthcare providers at point</w:t>
      </w:r>
      <w:r w:rsidR="003419BF">
        <w:t>s</w:t>
      </w:r>
      <w:r w:rsidRPr="000A18CF">
        <w:t xml:space="preserve"> of care and medical waste disposal </w:t>
      </w:r>
      <w:r w:rsidRPr="000A18CF">
        <w:fldChar w:fldCharType="begin"/>
      </w:r>
      <w:r w:rsidRPr="000A18CF">
        <w:instrText xml:space="preserve"> ADDIN EN.CITE &lt;EndNote&gt;&lt;Cite&gt;&lt;Author&gt;WHO/UNICEF&lt;/Author&gt;&lt;Year&gt;2016&lt;/Year&gt;&lt;RecNum&gt;29055&lt;/RecNum&gt;&lt;DisplayText&gt;[10]&lt;/DisplayText&gt;&lt;record&gt;&lt;rec-number&gt;29055&lt;/rec-number&gt;&lt;foreign-keys&gt;&lt;key app="EN" db-id="09220x02kxvddhe0xz2x505xe5fzwpfpzpvd"&gt;29055&lt;/key&gt;&lt;/foreign-keys&gt;&lt;ref-type name="Report"&gt;27&lt;/ref-type&gt;&lt;contributors&gt;&lt;authors&gt;&lt;author&gt;WHO/UNICEF&lt;/author&gt;&lt;/authors&gt;&lt;tertiary-authors&gt;&lt;author&gt;WHO&lt;/author&gt;&lt;/tertiary-authors&gt;&lt;/contributors&gt;&lt;titles&gt;&lt;title&gt;Expert Group Meeting on Monitoring WASH in Health Care Facilities in the Sustainable Development Goals&lt;/title&gt;&lt;/titles&gt;&lt;dates&gt;&lt;year&gt;2016&lt;/year&gt;&lt;/dates&gt;&lt;pub-location&gt;Geneva&lt;/pub-location&gt;&lt;urls&gt;&lt;related-urls&gt;&lt;url&gt;https://washdata.org/report/jmp-2016-expert-group-meeting-winhcf&lt;/url&gt;&lt;/related-urls&gt;&lt;/urls&gt;&lt;/record&gt;&lt;/Cite&gt;&lt;/EndNote&gt;</w:instrText>
      </w:r>
      <w:r w:rsidRPr="000A18CF">
        <w:fldChar w:fldCharType="separate"/>
      </w:r>
      <w:r w:rsidRPr="000A18CF">
        <w:rPr>
          <w:noProof/>
        </w:rPr>
        <w:t>[10]</w:t>
      </w:r>
      <w:r w:rsidRPr="000A18CF">
        <w:fldChar w:fldCharType="end"/>
      </w:r>
      <w:r w:rsidRPr="000A18CF">
        <w:t xml:space="preserve">. While not included under the JMP monitoring mandate, the WHO standards for essential </w:t>
      </w:r>
      <w:r w:rsidR="00D153AD" w:rsidRPr="000A18CF">
        <w:t>EHS</w:t>
      </w:r>
      <w:r w:rsidRPr="000A18CF">
        <w:t xml:space="preserve"> in HCF</w:t>
      </w:r>
      <w:r w:rsidR="00D153AD" w:rsidRPr="000A18CF">
        <w:t>s</w:t>
      </w:r>
      <w:r w:rsidRPr="000A18CF">
        <w:t xml:space="preserve"> also include food hygiene; laundry; energy and lighting; ventilation, heating and cooling; and vector control </w:t>
      </w:r>
      <w:r w:rsidRPr="000A18CF">
        <w:fldChar w:fldCharType="begin"/>
      </w:r>
      <w:r w:rsidRPr="000A18CF">
        <w:instrText xml:space="preserve"> ADDIN EN.CITE &lt;EndNote&gt;&lt;Cite&gt;&lt;Author&gt;Adams&lt;/Author&gt;&lt;Year&gt;2008&lt;/Year&gt;&lt;RecNum&gt;28980&lt;/RecNum&gt;&lt;DisplayText&gt;[11]&lt;/DisplayText&gt;&lt;record&gt;&lt;rec-number&gt;28980&lt;/rec-number&gt;&lt;foreign-keys&gt;&lt;key app="EN" db-id="09220x02kxvddhe0xz2x505xe5fzwpfpzpvd"&gt;28980&lt;/key&gt;&lt;/foreign-keys&gt;&lt;ref-type name="Book"&gt;6&lt;/ref-type&gt;&lt;contributors&gt;&lt;authors&gt;&lt;author&gt;Adams, John&lt;/author&gt;&lt;author&gt;Bartram, Jamie&lt;/author&gt;&lt;author&gt;Chartier, Yves&lt;/author&gt;&lt;/authors&gt;&lt;/contributors&gt;&lt;titles&gt;&lt;title&gt;Essential environmental health standards in health care &lt;/title&gt;&lt;/titles&gt;&lt;dates&gt;&lt;year&gt;2008&lt;/year&gt;&lt;/dates&gt;&lt;pub-location&gt;Geneva&lt;/pub-location&gt;&lt;publisher&gt;World Health Organization&lt;/publisher&gt;&lt;urls&gt;&lt;/urls&gt;&lt;/record&gt;&lt;/Cite&gt;&lt;/EndNote&gt;</w:instrText>
      </w:r>
      <w:r w:rsidRPr="000A18CF">
        <w:fldChar w:fldCharType="separate"/>
      </w:r>
      <w:r w:rsidRPr="000A18CF">
        <w:rPr>
          <w:noProof/>
        </w:rPr>
        <w:t>[11]</w:t>
      </w:r>
      <w:r w:rsidRPr="000A18CF">
        <w:fldChar w:fldCharType="end"/>
      </w:r>
      <w:r w:rsidRPr="000A18CF">
        <w:t>.</w:t>
      </w:r>
    </w:p>
    <w:p w14:paraId="4D966F0D" w14:textId="564D0E3B" w:rsidR="00AD2C7E" w:rsidRPr="000A18CF" w:rsidRDefault="00AD2C7E" w:rsidP="00AD2C7E">
      <w:r w:rsidRPr="000A18CF">
        <w:t xml:space="preserve">HCFs </w:t>
      </w:r>
      <w:r w:rsidR="00D153AD" w:rsidRPr="000A18CF">
        <w:t>have been identified as</w:t>
      </w:r>
      <w:r w:rsidRPr="000A18CF">
        <w:t xml:space="preserve"> an area of urgent need in WASH </w:t>
      </w:r>
      <w:r w:rsidRPr="000A18CF">
        <w:fldChar w:fldCharType="begin"/>
      </w:r>
      <w:r w:rsidRPr="000A18CF">
        <w:instrText xml:space="preserve"> ADDIN EN.CITE &lt;EndNote&gt;&lt;Cite&gt;&lt;Author&gt;WHO&lt;/Author&gt;&lt;Year&gt;2013&lt;/Year&gt;&lt;RecNum&gt;28988&lt;/RecNum&gt;&lt;DisplayText&gt;[12]&lt;/DisplayText&gt;&lt;record&gt;&lt;rec-number&gt;28988&lt;/rec-number&gt;&lt;foreign-keys&gt;&lt;key app="EN" db-id="09220x02kxvddhe0xz2x505xe5fzwpfpzpvd"&gt;28988&lt;/key&gt;&lt;/foreign-keys&gt;&lt;ref-type name="Press Release"&gt;63&lt;/ref-type&gt;&lt;contributors&gt;&lt;authors&gt;&lt;author&gt;WHO&lt;/author&gt;&lt;/authors&gt;&lt;/contributors&gt;&lt;titles&gt;&lt;title&gt;Opening remarks: Budapest Water Summit&lt;/title&gt;&lt;/titles&gt;&lt;dates&gt;&lt;year&gt;2013&lt;/year&gt;&lt;/dates&gt;&lt;pub-location&gt;Budapest&lt;/pub-location&gt;&lt;urls&gt;&lt;related-urls&gt;&lt;url&gt;http://www.who.int/dg/speeches/2013/water_sanitation_opening/en/&lt;/url&gt;&lt;/related-urls&gt;&lt;/urls&gt;&lt;/record&gt;&lt;/Cite&gt;&lt;/EndNote&gt;</w:instrText>
      </w:r>
      <w:r w:rsidRPr="000A18CF">
        <w:fldChar w:fldCharType="separate"/>
      </w:r>
      <w:r w:rsidRPr="000A18CF">
        <w:rPr>
          <w:noProof/>
        </w:rPr>
        <w:t>[12]</w:t>
      </w:r>
      <w:r w:rsidRPr="000A18CF">
        <w:fldChar w:fldCharType="end"/>
      </w:r>
      <w:r w:rsidRPr="000A18CF">
        <w:t>. An estimated 50% of HCFs in low- and middle-income countries lack piped water</w:t>
      </w:r>
      <w:r w:rsidR="00D153AD" w:rsidRPr="000A18CF">
        <w:t>;</w:t>
      </w:r>
      <w:r w:rsidRPr="000A18CF">
        <w:t xml:space="preserve"> 33% lack improved sanitation</w:t>
      </w:r>
      <w:r w:rsidR="00D153AD" w:rsidRPr="000A18CF">
        <w:t>;</w:t>
      </w:r>
      <w:r w:rsidRPr="000A18CF">
        <w:t xml:space="preserve"> 39% lack handwashing soap</w:t>
      </w:r>
      <w:r w:rsidR="00D153AD" w:rsidRPr="000A18CF">
        <w:t>;</w:t>
      </w:r>
      <w:r w:rsidRPr="000A18CF">
        <w:t xml:space="preserve"> 39% lack adequate infectious waste disposal</w:t>
      </w:r>
      <w:r w:rsidR="002873BC" w:rsidRPr="000A18CF">
        <w:t>;</w:t>
      </w:r>
      <w:r w:rsidRPr="000A18CF">
        <w:t xml:space="preserve"> and 73% lack sterilization equipment </w:t>
      </w:r>
      <w:r w:rsidRPr="000A18CF">
        <w:fldChar w:fldCharType="begin"/>
      </w:r>
      <w:r w:rsidRPr="000A18CF">
        <w:instrText xml:space="preserve"> ADDIN EN.CITE &lt;EndNote&gt;&lt;Cite&gt;&lt;Author&gt;Cronk&lt;/Author&gt;&lt;Year&gt;2018&lt;/Year&gt;&lt;RecNum&gt;29056&lt;/RecNum&gt;&lt;DisplayText&gt;[13]&lt;/DisplayText&gt;&lt;record&gt;&lt;rec-number&gt;29056&lt;/rec-number&gt;&lt;foreign-keys&gt;&lt;key app="EN" db-id="09220x02kxvddhe0xz2x505xe5fzwpfpzpvd"&gt;29056&lt;/key&gt;&lt;/foreign-keys&gt;&lt;ref-type name="Journal Article"&gt;17&lt;/ref-type&gt;&lt;contributors&gt;&lt;authors&gt;&lt;author&gt;Cronk, Ryan&lt;/author&gt;&lt;author&gt;Bartram, Jamie&lt;/author&gt;&lt;/authors&gt;&lt;/contributors&gt;&lt;titles&gt;&lt;title&gt;Environmental conditions in health care facilities in low- and middle-income countries: Coverage and inequalities&lt;/title&gt;&lt;secondary-title&gt;International Journal of Hygiene and Environmental Health&lt;/secondary-title&gt;&lt;/titles&gt;&lt;periodical&gt;&lt;full-title&gt;International Journal of Hygiene and Environmental Health&lt;/full-title&gt;&lt;abbr-1&gt;Int. J. Hyg. Environ. Health&lt;/abbr-1&gt;&lt;abbr-2&gt;Int J Hyg Environ Health&lt;/abbr-2&gt;&lt;abbr-3&gt;International Journal of Hygiene &amp;amp; Environmental Health&lt;/abbr-3&gt;&lt;/periodical&gt;&lt;keywords&gt;&lt;keyword&gt;Clinics&lt;/keyword&gt;&lt;keyword&gt;Environmental health&lt;/keyword&gt;&lt;keyword&gt;Hospitals&lt;/keyword&gt;&lt;keyword&gt;Hygiene&lt;/keyword&gt;&lt;keyword&gt;Infection prevention&lt;/keyword&gt;&lt;keyword&gt;Monitoring and evaluation&lt;/keyword&gt;&lt;keyword&gt;Sanitation&lt;/keyword&gt;&lt;keyword&gt;Standard precautions&lt;/keyword&gt;&lt;keyword&gt;Surveys&lt;/keyword&gt;&lt;keyword&gt;Sustainable Development Goals (SDGs)&lt;/keyword&gt;&lt;keyword&gt;Water&lt;/keyword&gt;&lt;/keywords&gt;&lt;dates&gt;&lt;year&gt;2018&lt;/year&gt;&lt;pub-dates&gt;&lt;date&gt;2018/01/11/&lt;/date&gt;&lt;/pub-dates&gt;&lt;/dates&gt;&lt;isbn&gt;1438-4639&lt;/isbn&gt;&lt;urls&gt;&lt;related-urls&gt;&lt;url&gt;http://www.sciencedirect.com/science/article/pii/S1438463917303760&lt;/url&gt;&lt;/related-urls&gt;&lt;/urls&gt;&lt;electronic-resource-num&gt;https://doi.org/10.1016/j.ijheh.2018.01.004&lt;/electronic-resource-num&gt;&lt;/record&gt;&lt;/Cite&gt;&lt;/EndNote&gt;</w:instrText>
      </w:r>
      <w:r w:rsidRPr="000A18CF">
        <w:fldChar w:fldCharType="separate"/>
      </w:r>
      <w:r w:rsidRPr="000A18CF">
        <w:rPr>
          <w:noProof/>
        </w:rPr>
        <w:t>[13]</w:t>
      </w:r>
      <w:r w:rsidRPr="000A18CF">
        <w:fldChar w:fldCharType="end"/>
      </w:r>
      <w:r w:rsidRPr="000A18CF">
        <w:t xml:space="preserve">. Progress towards provision of other EHS not monitored under the JMP mandate is similarly lacking. Approximately 26% of HCFs in sub-Saharan Africa lack access to a reliable electricity supply </w:t>
      </w:r>
      <w:r w:rsidRPr="000A18CF">
        <w:fldChar w:fldCharType="begin"/>
      </w:r>
      <w:r w:rsidRPr="000A18CF">
        <w:instrText xml:space="preserve"> ADDIN EN.CITE &lt;EndNote&gt;&lt;Cite&gt;&lt;Author&gt;Adair-Rohani&lt;/Author&gt;&lt;Year&gt;2013&lt;/Year&gt;&lt;RecNum&gt;29211&lt;/RecNum&gt;&lt;DisplayText&gt;[14]&lt;/DisplayText&gt;&lt;record&gt;&lt;rec-number&gt;29211&lt;/rec-number&gt;&lt;foreign-keys&gt;&lt;key app="EN" db-id="09220x02kxvddhe0xz2x505xe5fzwpfpzpvd"&gt;29211&lt;/key&gt;&lt;/foreign-keys&gt;&lt;ref-type name="Journal Article"&gt;17&lt;/ref-type&gt;&lt;contributors&gt;&lt;authors&gt;&lt;author&gt;Adair-Rohani, H.&lt;/author&gt;&lt;author&gt;Zukor, K.&lt;/author&gt;&lt;author&gt;Bonjour, S.&lt;/author&gt;&lt;author&gt;Wilburn, S.&lt;/author&gt;&lt;author&gt;Kuesel, A. C.&lt;/author&gt;&lt;author&gt;Hebert, R.&lt;/author&gt;&lt;author&gt;Fletcher, E. R.&lt;/author&gt;&lt;/authors&gt;&lt;/contributors&gt;&lt;auth-address&gt;World Health Organization, Department of Public Health and Environment , Geneva , Switzerland.&amp;#xD;WE CARE Solar , Berkeley, CA , USA.&lt;/auth-address&gt;&lt;titles&gt;&lt;title&gt;Limited electricity access in health facilities of sub-Saharan Africa: a systematic review of data on electricity access, sources, and reliability&lt;/title&gt;&lt;secondary-title&gt;Glob Health Sci Pract&lt;/secondary-title&gt;&lt;alt-title&gt;Global health, science and practice&lt;/alt-title&gt;&lt;/titles&gt;&lt;periodical&gt;&lt;full-title&gt;Glob Health Sci Pract&lt;/full-title&gt;&lt;abbr-1&gt;Global health, science and practice&lt;/abbr-1&gt;&lt;/periodical&gt;&lt;alt-periodical&gt;&lt;full-title&gt;Glob Health Sci Pract&lt;/full-title&gt;&lt;abbr-1&gt;Global health, science and practice&lt;/abbr-1&gt;&lt;/alt-periodical&gt;&lt;pages&gt;249-61&lt;/pages&gt;&lt;volume&gt;1&lt;/volume&gt;&lt;number&gt;2&lt;/number&gt;&lt;edition&gt;2013/08/01&lt;/edition&gt;&lt;dates&gt;&lt;year&gt;2013&lt;/year&gt;&lt;pub-dates&gt;&lt;date&gt;Aug&lt;/date&gt;&lt;/pub-dates&gt;&lt;/dates&gt;&lt;isbn&gt;2169-575X (Print)&amp;#xD;2169-575x&lt;/isbn&gt;&lt;accession-num&gt;25276537&lt;/accession-num&gt;&lt;urls&gt;&lt;/urls&gt;&lt;custom2&gt;Pmc4168575&lt;/custom2&gt;&lt;electronic-resource-num&gt;10.9745/ghsp-d-13-00037&lt;/electronic-resource-num&gt;&lt;remote-database-provider&gt;Nlm&lt;/remote-database-provider&gt;&lt;language&gt;eng&lt;/language&gt;&lt;/record&gt;&lt;/Cite&gt;&lt;/EndNote&gt;</w:instrText>
      </w:r>
      <w:r w:rsidRPr="000A18CF">
        <w:fldChar w:fldCharType="separate"/>
      </w:r>
      <w:r w:rsidRPr="000A18CF">
        <w:rPr>
          <w:noProof/>
        </w:rPr>
        <w:t>[14]</w:t>
      </w:r>
      <w:r w:rsidRPr="000A18CF">
        <w:fldChar w:fldCharType="end"/>
      </w:r>
      <w:r w:rsidRPr="000A18CF">
        <w:t>.</w:t>
      </w:r>
    </w:p>
    <w:p w14:paraId="1F2F35BE" w14:textId="1BF31BDE" w:rsidR="00AD2C7E" w:rsidRPr="000A18CF" w:rsidRDefault="00AD2C7E" w:rsidP="00AD2C7E">
      <w:pPr>
        <w:spacing w:after="0" w:line="259" w:lineRule="auto"/>
      </w:pPr>
      <w:r w:rsidRPr="000A18CF">
        <w:t xml:space="preserve">Lack of understanding of costs required for EHS provision have been identified as a barrier to informed budgeting and progress towards achieving universal access </w:t>
      </w:r>
      <w:r w:rsidRPr="000A18CF">
        <w:fldChar w:fldCharType="begin"/>
      </w:r>
      <w:r w:rsidRPr="000A18CF">
        <w:instrText xml:space="preserve"> ADDIN EN.CITE &lt;EndNote&gt;&lt;Cite&gt;&lt;Author&gt;D&amp;apos;Mello-Guyett&lt;/Author&gt;&lt;Year&gt;2016&lt;/Year&gt;&lt;RecNum&gt;28989&lt;/RecNum&gt;&lt;DisplayText&gt;[9]&lt;/DisplayText&gt;&lt;record&gt;&lt;rec-number&gt;28989&lt;/rec-number&gt;&lt;foreign-keys&gt;&lt;key app="EN" db-id="09220x02kxvddhe0xz2x505xe5fzwpfpzpvd"&gt;28989&lt;/key&gt;&lt;/foreign-keys&gt;&lt;ref-type name="Report"&gt;27&lt;/ref-type&gt;&lt;contributors&gt;&lt;authors&gt;&lt;author&gt;D&amp;apos;Mello-Guyett, L.&lt;/author&gt;&lt;author&gt;Cumming, O.&lt;/author&gt;&lt;/authors&gt;&lt;tertiary-authors&gt;&lt;author&gt;WHO&lt;/author&gt;&lt;/tertiary-authors&gt;&lt;/contributors&gt;&lt;titles&gt;&lt;title&gt;Water, sanitation and hygiene in health care facilities: global strategy, burden of disease, and evidence and action priorities&lt;/title&gt;&lt;/titles&gt;&lt;keywords&gt;&lt;keyword&gt;WASH&amp;#xD;water&lt;/keyword&gt;&lt;keyword&gt;sanitation&lt;/keyword&gt;&lt;keyword&gt;hygiene&lt;/keyword&gt;&lt;keyword&gt;health care waste&lt;/keyword&gt;&lt;keyword&gt;waste disposal&lt;/keyword&gt;&lt;keyword&gt;health care facilities&lt;/keyword&gt;&lt;keyword&gt;hospitals&lt;/keyword&gt;&lt;keyword&gt;IPC&lt;/keyword&gt;&lt;keyword&gt;infections prevention and control&lt;/keyword&gt;&lt;/keywords&gt;&lt;dates&gt;&lt;year&gt;2016&lt;/year&gt;&lt;/dates&gt;&lt;pub-location&gt;London&lt;/pub-location&gt;&lt;urls&gt;&lt;related-urls&gt;&lt;url&gt;http://www.who.int/water_sanitation_health/facilities/wash-in-hcf-london.pdf&lt;/url&gt;&lt;/related-urls&gt;&lt;/urls&gt;&lt;/record&gt;&lt;/Cite&gt;&lt;/EndNote&gt;</w:instrText>
      </w:r>
      <w:r w:rsidRPr="000A18CF">
        <w:fldChar w:fldCharType="separate"/>
      </w:r>
      <w:r w:rsidRPr="000A18CF">
        <w:rPr>
          <w:noProof/>
        </w:rPr>
        <w:t>[9]</w:t>
      </w:r>
      <w:r w:rsidRPr="000A18CF">
        <w:fldChar w:fldCharType="end"/>
      </w:r>
      <w:r w:rsidRPr="000A18CF">
        <w:t xml:space="preserve">. Of the countries included in the WHO’s Global Analysis and Assessment of Sanitation and Drinking-Water, approximately half have developed and costed a national implementation policy for hygiene promotion (52%), sanitation and drinking water (58%), and infection prevention and control (57%). Only 22% have a financing plan in place for WASH in HCF that is consistently implemented </w:t>
      </w:r>
      <w:r w:rsidRPr="000A18CF">
        <w:fldChar w:fldCharType="begin"/>
      </w:r>
      <w:r w:rsidRPr="000A18CF">
        <w:instrText xml:space="preserve"> ADDIN EN.CITE &lt;EndNote&gt;&lt;Cite&gt;&lt;Author&gt;WHO&lt;/Author&gt;&lt;Year&gt;2017&lt;/Year&gt;&lt;RecNum&gt;29493&lt;/RecNum&gt;&lt;DisplayText&gt;[15]&lt;/DisplayText&gt;&lt;record&gt;&lt;rec-number&gt;29493&lt;/rec-number&gt;&lt;foreign-keys&gt;&lt;key app="EN" db-id="09220x02kxvddhe0xz2x505xe5fzwpfpzpvd"&gt;29493&lt;/key&gt;&lt;/foreign-keys&gt;&lt;ref-type name="Book"&gt;6&lt;/ref-type&gt;&lt;contributors&gt;&lt;authors&gt;&lt;author&gt;WHO&lt;/author&gt;&lt;/authors&gt;&lt;/contributors&gt;&lt;titles&gt;&lt;title&gt;UN-Water global analysis and assessment of sanitation and drinking-water (GLAAS) 2017 report: financing universal water, sanitation and hygiene under the sustainable development goals&lt;/title&gt;&lt;/titles&gt;&lt;dates&gt;&lt;year&gt;2017&lt;/year&gt;&lt;/dates&gt;&lt;pub-location&gt;Geneva&lt;/pub-location&gt;&lt;publisher&gt;WHO&lt;/publisher&gt;&lt;urls&gt;&lt;/urls&gt;&lt;/record&gt;&lt;/Cite&gt;&lt;/EndNote&gt;</w:instrText>
      </w:r>
      <w:r w:rsidRPr="000A18CF">
        <w:fldChar w:fldCharType="separate"/>
      </w:r>
      <w:r w:rsidRPr="000A18CF">
        <w:rPr>
          <w:noProof/>
        </w:rPr>
        <w:t>[15]</w:t>
      </w:r>
      <w:r w:rsidRPr="000A18CF">
        <w:fldChar w:fldCharType="end"/>
      </w:r>
      <w:r w:rsidRPr="000A18CF">
        <w:t>.</w:t>
      </w:r>
    </w:p>
    <w:p w14:paraId="226A1345" w14:textId="77777777" w:rsidR="002873BC" w:rsidRPr="000A18CF" w:rsidRDefault="002873BC" w:rsidP="00AD2C7E">
      <w:pPr>
        <w:spacing w:after="0" w:line="259" w:lineRule="auto"/>
      </w:pPr>
    </w:p>
    <w:p w14:paraId="712D82B4" w14:textId="053355B2" w:rsidR="00AD2C7E" w:rsidRPr="000A18CF" w:rsidRDefault="002873BC" w:rsidP="00AD2C7E">
      <w:pPr>
        <w:spacing w:after="0" w:line="259" w:lineRule="auto"/>
      </w:pPr>
      <w:r w:rsidRPr="000A18CF">
        <w:t xml:space="preserve">Paucity of costs data has led to calls for greater collection and application of evidence to inform investment in EHS in HCF </w:t>
      </w:r>
      <w:r w:rsidRPr="000A18CF">
        <w:fldChar w:fldCharType="begin"/>
      </w:r>
      <w:r w:rsidRPr="000A18CF">
        <w:instrText xml:space="preserve"> ADDIN EN.CITE &lt;EndNote&gt;&lt;Cite&gt;&lt;Author&gt;D&amp;apos;Mello-Guyett&lt;/Author&gt;&lt;Year&gt;2016&lt;/Year&gt;&lt;RecNum&gt;28989&lt;/RecNum&gt;&lt;DisplayText&gt;[9,16]&lt;/DisplayText&gt;&lt;record&gt;&lt;rec-number&gt;28989&lt;/rec-number&gt;&lt;foreign-keys&gt;&lt;key app="EN" db-id="09220x02kxvddhe0xz2x505xe5fzwpfpzpvd"&gt;28989&lt;/key&gt;&lt;/foreign-keys&gt;&lt;ref-type name="Report"&gt;27&lt;/ref-type&gt;&lt;contributors&gt;&lt;authors&gt;&lt;author&gt;D&amp;apos;Mello-Guyett, L.&lt;/author&gt;&lt;author&gt;Cumming, O.&lt;/author&gt;&lt;/authors&gt;&lt;tertiary-authors&gt;&lt;author&gt;WHO&lt;/author&gt;&lt;/tertiary-authors&gt;&lt;/contributors&gt;&lt;titles&gt;&lt;title&gt;Water, sanitation and hygiene in health care facilities: global strategy, burden of disease, and evidence and action priorities&lt;/title&gt;&lt;/titles&gt;&lt;keywords&gt;&lt;keyword&gt;WASH&amp;#xD;water&lt;/keyword&gt;&lt;keyword&gt;sanitation&lt;/keyword&gt;&lt;keyword&gt;hygiene&lt;/keyword&gt;&lt;keyword&gt;health care waste&lt;/keyword&gt;&lt;keyword&gt;waste disposal&lt;/keyword&gt;&lt;keyword&gt;health care facilities&lt;/keyword&gt;&lt;keyword&gt;hospitals&lt;/keyword&gt;&lt;keyword&gt;IPC&lt;/keyword&gt;&lt;keyword&gt;infections prevention and control&lt;/keyword&gt;&lt;/keywords&gt;&lt;dates&gt;&lt;year&gt;2016&lt;/year&gt;&lt;/dates&gt;&lt;pub-location&gt;London&lt;/pub-location&gt;&lt;urls&gt;&lt;related-urls&gt;&lt;url&gt;http://www.who.int/water_sanitation_health/facilities/wash-in-hcf-london.pdf&lt;/url&gt;&lt;/related-urls&gt;&lt;/urls&gt;&lt;/record&gt;&lt;/Cite&gt;&lt;Cite&gt;&lt;Author&gt;WHO and UNICEF&lt;/Author&gt;&lt;Year&gt;2019&lt;/Year&gt;&lt;RecNum&gt;30078&lt;/RecNum&gt;&lt;record&gt;&lt;rec-number&gt;30078&lt;/rec-number&gt;&lt;foreign-keys&gt;&lt;key app="EN" db-id="09220x02kxvddhe0xz2x505xe5fzwpfpzpvd"&gt;30078&lt;/key&gt;&lt;/foreign-keys&gt;&lt;ref-type name="Report"&gt;27&lt;/ref-type&gt;&lt;contributors&gt;&lt;authors&gt;&lt;author&gt;WHO and UNICEF,&lt;/author&gt;&lt;/authors&gt;&lt;/contributors&gt;&lt;titles&gt;&lt;title&gt;Water, sanitation and hygiene in health care facilities: practical steps to achieve universal access to quality care&lt;/title&gt;&lt;/titles&gt;&lt;dates&gt;&lt;year&gt;2019&lt;/year&gt;&lt;/dates&gt;&lt;pub-location&gt;Geneva&lt;/pub-location&gt;&lt;publisher&gt;WHO&lt;/publisher&gt;&lt;isbn&gt;9241515511&lt;/isbn&gt;&lt;urls&gt;&lt;related-urls&gt;&lt;url&gt;https://apps.who.int/iris/bitstream/handle/10665/311618/9789241515511-eng.pdf&lt;/url&gt;&lt;/related-urls&gt;&lt;/urls&gt;&lt;/record&gt;&lt;/Cite&gt;&lt;/EndNote&gt;</w:instrText>
      </w:r>
      <w:r w:rsidRPr="000A18CF">
        <w:fldChar w:fldCharType="separate"/>
      </w:r>
      <w:r w:rsidRPr="000A18CF">
        <w:rPr>
          <w:noProof/>
        </w:rPr>
        <w:t>[9,16]</w:t>
      </w:r>
      <w:r w:rsidRPr="000A18CF">
        <w:fldChar w:fldCharType="end"/>
      </w:r>
      <w:r w:rsidRPr="000A18CF">
        <w:t>, yet</w:t>
      </w:r>
      <w:r w:rsidR="008E05DB" w:rsidRPr="000A18CF">
        <w:t xml:space="preserve"> a</w:t>
      </w:r>
      <w:r w:rsidRPr="000A18CF">
        <w:t xml:space="preserve"> corresponding response from the research and allied communities has been lacking. </w:t>
      </w:r>
      <w:r w:rsidR="00AD2C7E" w:rsidRPr="000A18CF">
        <w:t xml:space="preserve">The goal of this systematic review is to determine the costs of providing </w:t>
      </w:r>
      <w:r w:rsidRPr="000A18CF">
        <w:t>EHS in HCFs</w:t>
      </w:r>
      <w:r w:rsidR="00AD2C7E" w:rsidRPr="000A18CF">
        <w:t xml:space="preserve">. We will evaluate the costs of service provision in </w:t>
      </w:r>
      <w:r w:rsidRPr="000A18CF">
        <w:t>eight</w:t>
      </w:r>
      <w:r w:rsidR="00AD2C7E" w:rsidRPr="000A18CF">
        <w:t xml:space="preserve"> focus areas identified in the </w:t>
      </w:r>
      <w:r w:rsidR="008E05DB" w:rsidRPr="000A18CF">
        <w:t>WHO</w:t>
      </w:r>
      <w:r w:rsidR="00AD2C7E" w:rsidRPr="000A18CF">
        <w:t xml:space="preserve">’s </w:t>
      </w:r>
      <w:r w:rsidR="00AD2C7E" w:rsidRPr="000A18CF">
        <w:rPr>
          <w:i/>
        </w:rPr>
        <w:t xml:space="preserve">Essential environmental health standards in health care </w:t>
      </w:r>
      <w:r w:rsidR="00AD2C7E" w:rsidRPr="000A18CF">
        <w:fldChar w:fldCharType="begin"/>
      </w:r>
      <w:r w:rsidR="00AD2C7E" w:rsidRPr="000A18CF">
        <w:instrText xml:space="preserve"> ADDIN EN.CITE &lt;EndNote&gt;&lt;Cite&gt;&lt;Author&gt;Adams&lt;/Author&gt;&lt;Year&gt;2008&lt;/Year&gt;&lt;RecNum&gt;28980&lt;/RecNum&gt;&lt;DisplayText&gt;[11]&lt;/DisplayText&gt;&lt;record&gt;&lt;rec-number&gt;28980&lt;/rec-number&gt;&lt;foreign-keys&gt;&lt;key app="EN" db-id="09220x02kxvddhe0xz2x505xe5fzwpfpzpvd"&gt;28980&lt;/key&gt;&lt;/foreign-keys&gt;&lt;ref-type name="Book"&gt;6&lt;/ref-type&gt;&lt;contributors&gt;&lt;authors&gt;&lt;author&gt;Adams, John&lt;/author&gt;&lt;author&gt;Bartram, Jamie&lt;/author&gt;&lt;author&gt;Chartier, Yves&lt;/author&gt;&lt;/authors&gt;&lt;/contributors&gt;&lt;titles&gt;&lt;title&gt;Essential environmental health standards in health care &lt;/title&gt;&lt;/titles&gt;&lt;dates&gt;&lt;year&gt;2008&lt;/year&gt;&lt;/dates&gt;&lt;pub-location&gt;Geneva&lt;/pub-location&gt;&lt;publisher&gt;World Health Organization&lt;/publisher&gt;&lt;urls&gt;&lt;/urls&gt;&lt;/record&gt;&lt;/Cite&gt;&lt;/EndNote&gt;</w:instrText>
      </w:r>
      <w:r w:rsidR="00AD2C7E" w:rsidRPr="000A18CF">
        <w:fldChar w:fldCharType="separate"/>
      </w:r>
      <w:r w:rsidR="00AD2C7E" w:rsidRPr="000A18CF">
        <w:rPr>
          <w:noProof/>
        </w:rPr>
        <w:t>[11]</w:t>
      </w:r>
      <w:r w:rsidR="00AD2C7E" w:rsidRPr="000A18CF">
        <w:fldChar w:fldCharType="end"/>
      </w:r>
      <w:r w:rsidR="00AD2C7E" w:rsidRPr="000A18CF">
        <w:t>:</w:t>
      </w:r>
      <w:r w:rsidR="00AD2C7E" w:rsidRPr="000A18CF">
        <w:rPr>
          <w:i/>
        </w:rPr>
        <w:t xml:space="preserve"> </w:t>
      </w:r>
      <w:r w:rsidR="00F16703" w:rsidRPr="00FE0AD7">
        <w:t xml:space="preserve">water, sanitation, hygiene, </w:t>
      </w:r>
      <w:r w:rsidR="00F16703">
        <w:t xml:space="preserve">waste management, </w:t>
      </w:r>
      <w:r w:rsidR="00F16703" w:rsidRPr="00FE0AD7">
        <w:t xml:space="preserve">surface and medical device cleaning and sterilization (hereafter referred to as “cleaning”), </w:t>
      </w:r>
      <w:r w:rsidR="00F16703">
        <w:t>personal protective equipment (PPE), laundry lighting, and</w:t>
      </w:r>
      <w:r w:rsidR="00F16703" w:rsidRPr="00FE0AD7">
        <w:t xml:space="preserve"> vector control</w:t>
      </w:r>
      <w:r w:rsidR="00F16703">
        <w:t>.</w:t>
      </w:r>
    </w:p>
    <w:p w14:paraId="79FC1492" w14:textId="7BA90FE8" w:rsidR="00AD2C7E" w:rsidRPr="000A18CF" w:rsidRDefault="00AD2C7E" w:rsidP="00AD2C7E">
      <w:pPr>
        <w:spacing w:after="0"/>
      </w:pPr>
    </w:p>
    <w:p w14:paraId="56AE1581" w14:textId="47D16E83" w:rsidR="00AD2C7E" w:rsidRPr="000A18CF" w:rsidRDefault="00AD2C7E" w:rsidP="00AD2C7E">
      <w:pPr>
        <w:pStyle w:val="Heading1"/>
      </w:pPr>
      <w:r w:rsidRPr="000A18CF">
        <w:t>Objectives</w:t>
      </w:r>
    </w:p>
    <w:p w14:paraId="6F7BE86D" w14:textId="0DA00DF8" w:rsidR="00AD2C7E" w:rsidRPr="000A18CF" w:rsidRDefault="00AD2C7E" w:rsidP="00AD2C7E">
      <w:pPr>
        <w:spacing w:after="0" w:line="259" w:lineRule="auto"/>
      </w:pPr>
      <w:r w:rsidRPr="000A18CF">
        <w:t>The specific objectives of this review are:</w:t>
      </w:r>
    </w:p>
    <w:p w14:paraId="7F909362" w14:textId="428B1416" w:rsidR="00AD2C7E" w:rsidRPr="000A18CF" w:rsidRDefault="00AD2C7E" w:rsidP="00AD2C7E">
      <w:pPr>
        <w:spacing w:after="0" w:line="259" w:lineRule="auto"/>
        <w:rPr>
          <w:i/>
        </w:rPr>
      </w:pPr>
    </w:p>
    <w:p w14:paraId="6873051E" w14:textId="5AA16C15" w:rsidR="00AD2C7E" w:rsidRPr="000A18CF" w:rsidRDefault="00AD2C7E" w:rsidP="00AD2C7E">
      <w:pPr>
        <w:pStyle w:val="ListParagraph"/>
        <w:numPr>
          <w:ilvl w:val="0"/>
          <w:numId w:val="27"/>
        </w:numPr>
        <w:spacing w:after="0" w:line="259" w:lineRule="auto"/>
        <w:rPr>
          <w:i/>
        </w:rPr>
      </w:pPr>
      <w:r w:rsidRPr="000A18CF">
        <w:t xml:space="preserve">To </w:t>
      </w:r>
      <w:r w:rsidR="002873BC" w:rsidRPr="000A18CF">
        <w:t>document</w:t>
      </w:r>
      <w:r w:rsidRPr="000A18CF">
        <w:t xml:space="preserve"> the expenditures associated with establishing and maintaining EHS in HCFs</w:t>
      </w:r>
    </w:p>
    <w:p w14:paraId="1F984D1B" w14:textId="59FEDB5C" w:rsidR="00AD2C7E" w:rsidRPr="000A18CF" w:rsidRDefault="00AD2C7E" w:rsidP="00AD2C7E">
      <w:pPr>
        <w:pStyle w:val="ListParagraph"/>
        <w:numPr>
          <w:ilvl w:val="0"/>
          <w:numId w:val="27"/>
        </w:numPr>
        <w:spacing w:after="0" w:line="259" w:lineRule="auto"/>
        <w:rPr>
          <w:i/>
        </w:rPr>
      </w:pPr>
      <w:r w:rsidRPr="000A18CF">
        <w:t>To estimate the costs of establishing and maintaining EHS in HCFs</w:t>
      </w:r>
    </w:p>
    <w:p w14:paraId="30D2CC4B" w14:textId="3B11E58C" w:rsidR="00AD2C7E" w:rsidRPr="000A18CF" w:rsidRDefault="00AD2C7E" w:rsidP="002873BC">
      <w:pPr>
        <w:pStyle w:val="ListParagraph"/>
        <w:numPr>
          <w:ilvl w:val="0"/>
          <w:numId w:val="27"/>
        </w:numPr>
        <w:spacing w:line="259" w:lineRule="auto"/>
        <w:rPr>
          <w:i/>
        </w:rPr>
      </w:pPr>
      <w:r w:rsidRPr="000A18CF">
        <w:t>To assess gaps in available evidence and outline recommendations for improving future costing</w:t>
      </w:r>
    </w:p>
    <w:p w14:paraId="27B813F0" w14:textId="63CBA2F3" w:rsidR="00492FB8" w:rsidRPr="000A18CF" w:rsidRDefault="00492FB8" w:rsidP="002873BC">
      <w:r w:rsidRPr="000A18CF">
        <w:lastRenderedPageBreak/>
        <w:t>This review will be restricted to studies conducted in low- and middle-income countr</w:t>
      </w:r>
      <w:r w:rsidR="008E05DB" w:rsidRPr="000A18CF">
        <w:t>ies</w:t>
      </w:r>
      <w:r w:rsidRPr="000A18CF">
        <w:t>.</w:t>
      </w:r>
    </w:p>
    <w:p w14:paraId="697B274C" w14:textId="7CD7B1E6" w:rsidR="00AD2C7E" w:rsidRPr="000A18CF" w:rsidRDefault="00AD2C7E" w:rsidP="00AD2C7E">
      <w:pPr>
        <w:pStyle w:val="Heading1"/>
      </w:pPr>
      <w:r w:rsidRPr="000A18CF">
        <w:t>Methods</w:t>
      </w:r>
    </w:p>
    <w:p w14:paraId="2C3C9400" w14:textId="220A56AE" w:rsidR="00AD2C7E" w:rsidRPr="000A18CF" w:rsidRDefault="00AD2C7E" w:rsidP="000649D5">
      <w:pPr>
        <w:pStyle w:val="Heading2"/>
        <w:spacing w:before="0"/>
      </w:pPr>
      <w:r w:rsidRPr="000A18CF">
        <w:t>Reporting</w:t>
      </w:r>
    </w:p>
    <w:p w14:paraId="33E2C0D2" w14:textId="2AE47EC4" w:rsidR="00AD2C7E" w:rsidRPr="000A18CF" w:rsidRDefault="00AD2C7E" w:rsidP="00AD2C7E">
      <w:pPr>
        <w:spacing w:after="0"/>
      </w:pPr>
      <w:r w:rsidRPr="000A18CF">
        <w:t xml:space="preserve">We will adhere to the Preferred Reporting Items for Systematic Reviews (PRISMA) statement </w:t>
      </w:r>
      <w:r w:rsidRPr="000A18CF">
        <w:fldChar w:fldCharType="begin"/>
      </w:r>
      <w:r w:rsidR="008E05DB" w:rsidRPr="000A18CF">
        <w:instrText xml:space="preserve"> ADDIN EN.CITE &lt;EndNote&gt;&lt;Cite&gt;&lt;Author&gt;Moher&lt;/Author&gt;&lt;Year&gt;2009&lt;/Year&gt;&lt;RecNum&gt;28976&lt;/RecNum&gt;&lt;DisplayText&gt;[17]&lt;/DisplayText&gt;&lt;record&gt;&lt;rec-number&gt;28976&lt;/rec-number&gt;&lt;foreign-keys&gt;&lt;key app="EN" db-id="09220x02kxvddhe0xz2x505xe5fzwpfpzpvd"&gt;28976&lt;/key&gt;&lt;/foreign-keys&gt;&lt;ref-type name="Journal Article"&gt;17&lt;/ref-type&gt;&lt;contributors&gt;&lt;authors&gt;&lt;author&gt;Moher, D.&lt;/author&gt;&lt;author&gt;Liberati, A.&lt;/author&gt;&lt;author&gt;Tetzlaff, J.&lt;/author&gt;&lt;author&gt;Altman, D. G.&lt;/author&gt;&lt;/authors&gt;&lt;/contributors&gt;&lt;auth-address&gt;Ottawa Methods Centre, Ottawa Hospital Research Institute, Ottawa, Ontario, Canada. dmoher@ohri.ca&lt;/auth-address&gt;&lt;titles&gt;&lt;title&gt;Preferred reporting items for systematic reviews and meta-analyses: the PRISMA statement&lt;/title&gt;&lt;secondary-title&gt;PLoS Med&lt;/secondary-title&gt;&lt;alt-title&gt;PLoS medicine&lt;/alt-title&gt;&lt;/titles&gt;&lt;periodical&gt;&lt;full-title&gt;PLoS Medicine&lt;/full-title&gt;&lt;abbr-1&gt;PLoS Med.&lt;/abbr-1&gt;&lt;abbr-2&gt;PLoS Med&lt;/abbr-2&gt;&lt;/periodical&gt;&lt;alt-periodical&gt;&lt;full-title&gt;PLoS Medicine&lt;/full-title&gt;&lt;abbr-1&gt;PLoS Med.&lt;/abbr-1&gt;&lt;abbr-2&gt;PLoS Med&lt;/abbr-2&gt;&lt;/alt-periodical&gt;&lt;pages&gt;e1000097&lt;/pages&gt;&lt;volume&gt;6&lt;/volume&gt;&lt;number&gt;7&lt;/number&gt;&lt;edition&gt;2009/07/22&lt;/edition&gt;&lt;keywords&gt;&lt;keyword&gt;Evidence-Based Practice/standards&lt;/keyword&gt;&lt;keyword&gt;Humans&lt;/keyword&gt;&lt;keyword&gt;*Meta-Analysis as Topic&lt;/keyword&gt;&lt;keyword&gt;Periodicals as Topic/standards&lt;/keyword&gt;&lt;keyword&gt;Publication Bias&lt;/keyword&gt;&lt;keyword&gt;Publishing/*standards&lt;/keyword&gt;&lt;keyword&gt;Quality Control&lt;/keyword&gt;&lt;keyword&gt;*Review Literature as Topic&lt;/keyword&gt;&lt;keyword&gt;*Terminology as Topic&lt;/keyword&gt;&lt;/keywords&gt;&lt;dates&gt;&lt;year&gt;2009&lt;/year&gt;&lt;pub-dates&gt;&lt;date&gt;Jul 21&lt;/date&gt;&lt;/pub-dates&gt;&lt;/dates&gt;&lt;isbn&gt;1549-1277&lt;/isbn&gt;&lt;accession-num&gt;19621072&lt;/accession-num&gt;&lt;urls&gt;&lt;/urls&gt;&lt;custom2&gt;PMC2707599&lt;/custom2&gt;&lt;electronic-resource-num&gt;10.1371/journal.pmed.1000097&lt;/electronic-resource-num&gt;&lt;remote-database-provider&gt;NLM&lt;/remote-database-provider&gt;&lt;language&gt;eng&lt;/language&gt;&lt;/record&gt;&lt;/Cite&gt;&lt;/EndNote&gt;</w:instrText>
      </w:r>
      <w:r w:rsidRPr="000A18CF">
        <w:fldChar w:fldCharType="separate"/>
      </w:r>
      <w:r w:rsidR="008E05DB" w:rsidRPr="000A18CF">
        <w:rPr>
          <w:noProof/>
        </w:rPr>
        <w:t>[17]</w:t>
      </w:r>
      <w:r w:rsidRPr="000A18CF">
        <w:fldChar w:fldCharType="end"/>
      </w:r>
      <w:r w:rsidRPr="000A18CF">
        <w:t>.</w:t>
      </w:r>
    </w:p>
    <w:p w14:paraId="7DD62102" w14:textId="1B4D33EC" w:rsidR="00AD2C7E" w:rsidRPr="000A18CF" w:rsidRDefault="00AD2C7E" w:rsidP="00AD2C7E">
      <w:pPr>
        <w:pStyle w:val="Heading2"/>
      </w:pPr>
      <w:r w:rsidRPr="000A18CF">
        <w:t>Search strategy</w:t>
      </w:r>
    </w:p>
    <w:p w14:paraId="00F12CDE" w14:textId="21711227" w:rsidR="00AD2C7E" w:rsidRPr="000A18CF" w:rsidRDefault="00AD2C7E" w:rsidP="00031E87">
      <w:r w:rsidRPr="000A18CF">
        <w:t xml:space="preserve">We will systematically search PubMed, Scopus, </w:t>
      </w:r>
      <w:proofErr w:type="spellStart"/>
      <w:r w:rsidRPr="000A18CF">
        <w:t>Ebsco</w:t>
      </w:r>
      <w:proofErr w:type="spellEnd"/>
      <w:r w:rsidRPr="000A18CF">
        <w:t xml:space="preserve"> (Global Health and Business Source Premier), Web of Science</w:t>
      </w:r>
      <w:r w:rsidR="00312BD6">
        <w:t xml:space="preserve">, and </w:t>
      </w:r>
      <w:proofErr w:type="spellStart"/>
      <w:r w:rsidR="00312BD6">
        <w:t>Proquest</w:t>
      </w:r>
      <w:proofErr w:type="spellEnd"/>
      <w:r w:rsidR="00312BD6">
        <w:t xml:space="preserve"> Theses and Dissertations Global </w:t>
      </w:r>
      <w:r w:rsidR="0081027C" w:rsidRPr="000A18CF">
        <w:t xml:space="preserve">databases </w:t>
      </w:r>
      <w:r w:rsidRPr="000A18CF">
        <w:t xml:space="preserve">for relevant journal articles. Databases will be searched using Boolean operators for at least one term from four clusters of terms related to 1) EHS, 2) HCFs, 3) costing and financial analysis, and 4) low- and middle-income countries. EHS terms will be designed to capture services related to the </w:t>
      </w:r>
      <w:r w:rsidR="006D5423">
        <w:t>nine</w:t>
      </w:r>
      <w:r w:rsidRPr="000A18CF">
        <w:t xml:space="preserve"> focus areas identified in the WHO guidelines (water, sanitation, hygiene, waste management, cleaning, PPE, laundry, lighting, and vector control)</w:t>
      </w:r>
      <w:r w:rsidR="002873BC" w:rsidRPr="000A18CF">
        <w:t xml:space="preserve"> </w:t>
      </w:r>
      <w:r w:rsidR="002873BC" w:rsidRPr="000A18CF">
        <w:fldChar w:fldCharType="begin"/>
      </w:r>
      <w:r w:rsidR="002873BC" w:rsidRPr="000A18CF">
        <w:instrText xml:space="preserve"> ADDIN EN.CITE &lt;EndNote&gt;&lt;Cite&gt;&lt;Author&gt;Adams&lt;/Author&gt;&lt;Year&gt;2008&lt;/Year&gt;&lt;RecNum&gt;28980&lt;/RecNum&gt;&lt;DisplayText&gt;[11]&lt;/DisplayText&gt;&lt;record&gt;&lt;rec-number&gt;28980&lt;/rec-number&gt;&lt;foreign-keys&gt;&lt;key app="EN" db-id="09220x02kxvddhe0xz2x505xe5fzwpfpzpvd"&gt;28980&lt;/key&gt;&lt;/foreign-keys&gt;&lt;ref-type name="Book"&gt;6&lt;/ref-type&gt;&lt;contributors&gt;&lt;authors&gt;&lt;author&gt;Adams, John&lt;/author&gt;&lt;author&gt;Bartram, Jamie&lt;/author&gt;&lt;author&gt;Chartier, Yves&lt;/author&gt;&lt;/authors&gt;&lt;/contributors&gt;&lt;titles&gt;&lt;title&gt;Essential environmental health standards in health care &lt;/title&gt;&lt;/titles&gt;&lt;dates&gt;&lt;year&gt;2008&lt;/year&gt;&lt;/dates&gt;&lt;pub-location&gt;Geneva&lt;/pub-location&gt;&lt;publisher&gt;World Health Organization&lt;/publisher&gt;&lt;urls&gt;&lt;/urls&gt;&lt;/record&gt;&lt;/Cite&gt;&lt;/EndNote&gt;</w:instrText>
      </w:r>
      <w:r w:rsidR="002873BC" w:rsidRPr="000A18CF">
        <w:fldChar w:fldCharType="separate"/>
      </w:r>
      <w:r w:rsidR="002873BC" w:rsidRPr="000A18CF">
        <w:rPr>
          <w:noProof/>
        </w:rPr>
        <w:t>[11]</w:t>
      </w:r>
      <w:r w:rsidR="002873BC" w:rsidRPr="000A18CF">
        <w:fldChar w:fldCharType="end"/>
      </w:r>
      <w:r w:rsidRPr="000A18CF">
        <w:t>. Healthcare facility terms will include a variety of facility settings and sizes, ranging from large hospitals to rural posts and dispensaries, as well as facilities specializing in dental and maternal health services.</w:t>
      </w:r>
      <w:r w:rsidR="00384762" w:rsidRPr="000A18CF">
        <w:t xml:space="preserve"> Search terms are </w:t>
      </w:r>
      <w:r w:rsidR="002873BC" w:rsidRPr="000A18CF">
        <w:t>provided</w:t>
      </w:r>
      <w:r w:rsidR="00384762" w:rsidRPr="000A18CF">
        <w:t xml:space="preserve"> in Box 1.</w:t>
      </w:r>
    </w:p>
    <w:p w14:paraId="326A4E09" w14:textId="7669B8FF" w:rsidR="000A18CF" w:rsidRPr="000A18CF" w:rsidRDefault="00AD2C7E" w:rsidP="00031E87">
      <w:r w:rsidRPr="000A18CF">
        <w:t xml:space="preserve">We will conduct all searches in English. </w:t>
      </w:r>
      <w:proofErr w:type="spellStart"/>
      <w:r w:rsidRPr="000A18CF">
        <w:t>Ebsc</w:t>
      </w:r>
      <w:r w:rsidR="00492FB8" w:rsidRPr="000A18CF">
        <w:t>o</w:t>
      </w:r>
      <w:proofErr w:type="spellEnd"/>
      <w:r w:rsidR="00492FB8" w:rsidRPr="000A18CF">
        <w:t>, Scopus</w:t>
      </w:r>
      <w:r w:rsidRPr="000A18CF">
        <w:t xml:space="preserve">, and Web of Science will be searched using a restriction for terms included in titles, abstracts, and keywords only. </w:t>
      </w:r>
      <w:proofErr w:type="spellStart"/>
      <w:r w:rsidR="00312BD6">
        <w:t>Proquest</w:t>
      </w:r>
      <w:proofErr w:type="spellEnd"/>
      <w:r w:rsidR="00312BD6">
        <w:t xml:space="preserve"> Theses and Dissertations Global will be searched for all fields except full-text. </w:t>
      </w:r>
      <w:r w:rsidRPr="000A18CF">
        <w:t>PubMed will be searched using the native search function</w:t>
      </w:r>
      <w:r w:rsidR="000A18CF" w:rsidRPr="000A18CF">
        <w:t xml:space="preserve">. All databases will be searched from inception. References will be managed using </w:t>
      </w:r>
      <w:proofErr w:type="spellStart"/>
      <w:r w:rsidR="000A18CF" w:rsidRPr="000A18CF">
        <w:t>Covidence</w:t>
      </w:r>
      <w:proofErr w:type="spellEnd"/>
      <w:r w:rsidR="000A18CF" w:rsidRPr="000A18CF">
        <w:t xml:space="preserve"> software for systematic reviews (Veritas Health Innovation, Melbourne, Australia).</w:t>
      </w:r>
    </w:p>
    <w:p w14:paraId="532A75C6" w14:textId="77777777" w:rsidR="00AD2C7E" w:rsidRPr="000A18CF" w:rsidRDefault="00AD2C7E" w:rsidP="00031E87">
      <w:pPr>
        <w:pStyle w:val="Heading2"/>
      </w:pPr>
      <w:r w:rsidRPr="000A18CF">
        <w:t>Eligibility</w:t>
      </w:r>
    </w:p>
    <w:p w14:paraId="6383C70E" w14:textId="434AD15E" w:rsidR="00492FB8" w:rsidRPr="000A18CF" w:rsidRDefault="00492FB8" w:rsidP="00492FB8">
      <w:bookmarkStart w:id="0" w:name="_Hlk515007225"/>
      <w:r w:rsidRPr="000A18CF">
        <w:t>We will include English, French, and Spanish language studies</w:t>
      </w:r>
      <w:r w:rsidR="00435CAD">
        <w:t>, regardless of publication status</w:t>
      </w:r>
      <w:r w:rsidRPr="000A18CF">
        <w:t>. Studies will eligible for inclusion if they:</w:t>
      </w:r>
    </w:p>
    <w:p w14:paraId="5178499D" w14:textId="69818CA1" w:rsidR="00492FB8" w:rsidRPr="000A18CF" w:rsidRDefault="00492FB8" w:rsidP="00492FB8">
      <w:pPr>
        <w:pStyle w:val="ListParagraph"/>
        <w:numPr>
          <w:ilvl w:val="0"/>
          <w:numId w:val="40"/>
        </w:numPr>
      </w:pPr>
      <w:r w:rsidRPr="000A18CF">
        <w:t xml:space="preserve">Evaluate the expenditures or overall costs associated with providing an EHS in an HCF </w:t>
      </w:r>
      <w:r w:rsidR="0081027C" w:rsidRPr="000A18CF">
        <w:t xml:space="preserve">in </w:t>
      </w:r>
      <w:r w:rsidRPr="000A18CF">
        <w:t xml:space="preserve">a low- or middle-income country, and </w:t>
      </w:r>
    </w:p>
    <w:p w14:paraId="0EACEA99" w14:textId="2BC62440" w:rsidR="00492FB8" w:rsidRPr="000A18CF" w:rsidRDefault="00492FB8" w:rsidP="00492FB8">
      <w:pPr>
        <w:pStyle w:val="ListParagraph"/>
        <w:numPr>
          <w:ilvl w:val="0"/>
          <w:numId w:val="40"/>
        </w:numPr>
      </w:pPr>
      <w:r w:rsidRPr="000A18CF">
        <w:t>Attempt to holistically evaluate all expenditures and/or costs associated with providing a particular service</w:t>
      </w:r>
      <w:r w:rsidR="0081027C" w:rsidRPr="000A18CF">
        <w:t xml:space="preserve"> at a facility or sub-facility level, such as within a department or unit</w:t>
      </w:r>
    </w:p>
    <w:p w14:paraId="5DF10212" w14:textId="037F7163" w:rsidR="00492FB8" w:rsidRPr="000A18CF" w:rsidRDefault="00492FB8" w:rsidP="00492FB8">
      <w:r w:rsidRPr="000A18CF">
        <w:t>We will consider both studies that evaluate “hardware” (e.g. physical infrastructure, consumable products</w:t>
      </w:r>
      <w:r w:rsidR="00AF1533">
        <w:t>,</w:t>
      </w:r>
      <w:r w:rsidRPr="000A18CF">
        <w:t xml:space="preserve"> and supplies) and “software” (e.g. hygiene promotion, IPC training).</w:t>
      </w:r>
      <w:r w:rsidR="00031E87" w:rsidRPr="000A18CF">
        <w:t xml:space="preserve"> Both intervention studies reporting data on delivering new or upgraded </w:t>
      </w:r>
      <w:r w:rsidR="0081027C" w:rsidRPr="000A18CF">
        <w:t>EHS</w:t>
      </w:r>
      <w:r w:rsidR="00031E87" w:rsidRPr="000A18CF">
        <w:t xml:space="preserve"> and observational studies reporting on existing facilities will be eligible.</w:t>
      </w:r>
    </w:p>
    <w:p w14:paraId="3D39ADB7" w14:textId="3D926BED" w:rsidR="00AD2C7E" w:rsidRPr="000A18CF" w:rsidRDefault="00492FB8" w:rsidP="00492FB8">
      <w:r w:rsidRPr="000A18CF">
        <w:t xml:space="preserve">We define a healthcare facility as </w:t>
      </w:r>
      <w:bookmarkStart w:id="1" w:name="_Hlk523321858"/>
      <w:r w:rsidRPr="000A18CF">
        <w:t xml:space="preserve">any permanent institution with the primary purpose of delivering medical services. We will include studies conducted within specialized units, so long as environmental costs were evaluated for all care provided within the unit. Studies of healthcare delivered in institutions whose primary purpose is non-medical, such as schools or residential group homes, will be excluded. We will also exclude non-permanent facilities, such as temporary facilities established for vaccination campaigns or mobile clinics. </w:t>
      </w:r>
      <w:bookmarkEnd w:id="1"/>
      <w:r w:rsidRPr="000A18CF">
        <w:t>We will also exclude studies that evaluate procedure-specific costs for only a subset of care provided</w:t>
      </w:r>
      <w:bookmarkStart w:id="2" w:name="_Hlk515007151"/>
      <w:bookmarkEnd w:id="0"/>
      <w:r w:rsidRPr="000A18CF">
        <w:t>.</w:t>
      </w:r>
    </w:p>
    <w:p w14:paraId="68CA1068" w14:textId="2FE48690" w:rsidR="00AD2C7E" w:rsidRPr="000A18CF" w:rsidRDefault="000649D5" w:rsidP="00AD2C7E">
      <w:pPr>
        <w:spacing w:after="0" w:line="259" w:lineRule="auto"/>
      </w:pPr>
      <w:r w:rsidRPr="000A18CF">
        <w:rPr>
          <w:noProof/>
        </w:rPr>
        <w:lastRenderedPageBreak/>
        <mc:AlternateContent>
          <mc:Choice Requires="wpg">
            <w:drawing>
              <wp:inline distT="0" distB="0" distL="0" distR="0" wp14:anchorId="7B0C4387" wp14:editId="1CB14A3F">
                <wp:extent cx="5943600" cy="7378809"/>
                <wp:effectExtent l="0" t="0" r="19050" b="12700"/>
                <wp:docPr id="198" name="Group 198"/>
                <wp:cNvGraphicFramePr/>
                <a:graphic xmlns:a="http://schemas.openxmlformats.org/drawingml/2006/main">
                  <a:graphicData uri="http://schemas.microsoft.com/office/word/2010/wordprocessingGroup">
                    <wpg:wgp>
                      <wpg:cNvGrpSpPr/>
                      <wpg:grpSpPr>
                        <a:xfrm>
                          <a:off x="0" y="0"/>
                          <a:ext cx="5943600" cy="7378809"/>
                          <a:chOff x="0" y="0"/>
                          <a:chExt cx="3567448" cy="3010575"/>
                        </a:xfrm>
                      </wpg:grpSpPr>
                      <wps:wsp>
                        <wps:cNvPr id="199" name="Rectangle 199"/>
                        <wps:cNvSpPr/>
                        <wps:spPr>
                          <a:xfrm>
                            <a:off x="0" y="0"/>
                            <a:ext cx="3567448" cy="207626"/>
                          </a:xfrm>
                          <a:prstGeom prst="rect">
                            <a:avLst/>
                          </a:prstGeom>
                          <a:solidFill>
                            <a:schemeClr val="bg1">
                              <a:lumMod val="95000"/>
                            </a:schemeClr>
                          </a:solidFill>
                          <a:ln>
                            <a:solidFill>
                              <a:schemeClr val="bg1">
                                <a:lumMod val="50000"/>
                              </a:schemeClr>
                            </a:solidFill>
                          </a:ln>
                        </wps:spPr>
                        <wps:style>
                          <a:lnRef idx="0">
                            <a:scrgbClr r="0" g="0" b="0"/>
                          </a:lnRef>
                          <a:fillRef idx="0">
                            <a:scrgbClr r="0" g="0" b="0"/>
                          </a:fillRef>
                          <a:effectRef idx="0">
                            <a:scrgbClr r="0" g="0" b="0"/>
                          </a:effectRef>
                          <a:fontRef idx="minor">
                            <a:schemeClr val="dk1"/>
                          </a:fontRef>
                        </wps:style>
                        <wps:txbx>
                          <w:txbxContent>
                            <w:p w14:paraId="10DF4367" w14:textId="1F7FDB57" w:rsidR="00D153AD" w:rsidRDefault="00D153AD" w:rsidP="000649D5">
                              <w:pPr>
                                <w:spacing w:after="0"/>
                                <w:rPr>
                                  <w:rFonts w:eastAsiaTheme="majorEastAsia"/>
                                </w:rPr>
                              </w:pPr>
                              <w:r w:rsidRPr="000649D5">
                                <w:rPr>
                                  <w:rFonts w:eastAsiaTheme="majorEastAsia"/>
                                </w:rPr>
                                <w:t>Box 1: Search terms</w:t>
                              </w:r>
                            </w:p>
                            <w:p w14:paraId="070E615D" w14:textId="55467955" w:rsidR="00D153AD" w:rsidRPr="00E91000" w:rsidRDefault="00D153AD" w:rsidP="000649D5">
                              <w:pPr>
                                <w:spacing w:after="0"/>
                                <w:rPr>
                                  <w:rFonts w:eastAsiaTheme="majorEastAsia"/>
                                  <w:sz w:val="18"/>
                                  <w:szCs w:val="18"/>
                                </w:rPr>
                              </w:pPr>
                              <w:r w:rsidRPr="00E91000">
                                <w:rPr>
                                  <w:rFonts w:eastAsiaTheme="majorEastAsia"/>
                                  <w:sz w:val="18"/>
                                  <w:szCs w:val="18"/>
                                </w:rPr>
                                <w:t>$ indicates</w:t>
                              </w:r>
                              <w:r>
                                <w:rPr>
                                  <w:rFonts w:eastAsiaTheme="majorEastAsia"/>
                                  <w:sz w:val="18"/>
                                  <w:szCs w:val="18"/>
                                </w:rPr>
                                <w:t xml:space="preserve"> </w:t>
                              </w:r>
                              <w:r w:rsidRPr="00E91000">
                                <w:rPr>
                                  <w:rFonts w:eastAsiaTheme="majorEastAsia"/>
                                  <w:sz w:val="18"/>
                                  <w:szCs w:val="18"/>
                                </w:rPr>
                                <w:t>“wild</w:t>
                              </w:r>
                              <w:r>
                                <w:rPr>
                                  <w:rFonts w:eastAsiaTheme="majorEastAsia"/>
                                  <w:sz w:val="18"/>
                                  <w:szCs w:val="18"/>
                                </w:rPr>
                                <w:t xml:space="preserve"> </w:t>
                              </w:r>
                              <w:r w:rsidRPr="00E91000">
                                <w:rPr>
                                  <w:rFonts w:eastAsiaTheme="majorEastAsia"/>
                                  <w:sz w:val="18"/>
                                  <w:szCs w:val="18"/>
                                </w:rPr>
                                <w:t>card” characters</w:t>
                              </w:r>
                              <w:r>
                                <w:rPr>
                                  <w:rFonts w:eastAsiaTheme="majorEastAsia"/>
                                  <w:sz w:val="18"/>
                                  <w:szCs w:val="18"/>
                                </w:rPr>
                                <w:t>,</w:t>
                              </w:r>
                              <w:r w:rsidRPr="00E91000">
                                <w:rPr>
                                  <w:rFonts w:eastAsiaTheme="majorEastAsia"/>
                                  <w:sz w:val="18"/>
                                  <w:szCs w:val="18"/>
                                </w:rPr>
                                <w:t xml:space="preserve"> which can be represented by any letter or no letter</w:t>
                              </w:r>
                            </w:p>
                            <w:p w14:paraId="62C2F112" w14:textId="545B2511" w:rsidR="00D153AD" w:rsidRPr="00E91000" w:rsidRDefault="00D153AD" w:rsidP="00E91000">
                              <w:pPr>
                                <w:spacing w:after="0"/>
                                <w:rPr>
                                  <w:rFonts w:eastAsiaTheme="majorEastAsia"/>
                                  <w:sz w:val="18"/>
                                  <w:szCs w:val="18"/>
                                </w:rPr>
                              </w:pPr>
                              <w:r w:rsidRPr="00E91000">
                                <w:rPr>
                                  <w:rFonts w:eastAsiaTheme="majorEastAsia"/>
                                  <w:sz w:val="18"/>
                                  <w:szCs w:val="18"/>
                                </w:rPr>
                                <w:t xml:space="preserve">* indicates </w:t>
                              </w:r>
                              <w:r>
                                <w:rPr>
                                  <w:rFonts w:eastAsiaTheme="majorEastAsia"/>
                                  <w:sz w:val="18"/>
                                  <w:szCs w:val="18"/>
                                </w:rPr>
                                <w:t>truncations</w:t>
                              </w:r>
                              <w:r w:rsidRPr="00E91000">
                                <w:rPr>
                                  <w:rFonts w:eastAsiaTheme="majorEastAsia"/>
                                  <w:sz w:val="18"/>
                                  <w:szCs w:val="18"/>
                                </w:rPr>
                                <w:t xml:space="preserve">, for </w:t>
                              </w:r>
                              <w:r>
                                <w:rPr>
                                  <w:rFonts w:eastAsiaTheme="majorEastAsia"/>
                                  <w:sz w:val="18"/>
                                  <w:szCs w:val="18"/>
                                </w:rPr>
                                <w:t>w</w:t>
                              </w:r>
                              <w:r w:rsidRPr="00E91000">
                                <w:rPr>
                                  <w:rFonts w:eastAsiaTheme="majorEastAsia"/>
                                  <w:sz w:val="18"/>
                                  <w:szCs w:val="18"/>
                                </w:rPr>
                                <w:t>hich any characters may follow the asterisk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207624"/>
                            <a:ext cx="3567448" cy="2802951"/>
                          </a:xfrm>
                          <a:prstGeom prst="rect">
                            <a:avLst/>
                          </a:prstGeom>
                          <a:noFill/>
                          <a:ln w="6350">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6029855B" w14:textId="77777777" w:rsidR="00D153AD" w:rsidRPr="000649D5" w:rsidRDefault="00D153AD" w:rsidP="000649D5">
                              <w:pPr>
                                <w:spacing w:after="0"/>
                                <w:rPr>
                                  <w:b/>
                                </w:rPr>
                              </w:pPr>
                              <w:r w:rsidRPr="000649D5">
                                <w:rPr>
                                  <w:b/>
                                </w:rPr>
                                <w:t>Environmental health services</w:t>
                              </w:r>
                            </w:p>
                            <w:p w14:paraId="33EDE414" w14:textId="5B13C992" w:rsidR="00D153AD" w:rsidRPr="000649D5" w:rsidRDefault="00D153AD" w:rsidP="000649D5">
                              <w:pPr>
                                <w:rPr>
                                  <w:sz w:val="18"/>
                                  <w:szCs w:val="18"/>
                                </w:rPr>
                              </w:pPr>
                              <w:r w:rsidRPr="000649D5">
                                <w:rPr>
                                  <w:sz w:val="18"/>
                                  <w:szCs w:val="18"/>
                                </w:rPr>
                                <w:t xml:space="preserve">standard precautions OR infection control OR infection prevention OR IPC OR asepsis OR aseptic OR sterile OR sterility OR sterilization OR </w:t>
                              </w:r>
                              <w:proofErr w:type="spellStart"/>
                              <w:r w:rsidRPr="000649D5">
                                <w:rPr>
                                  <w:sz w:val="18"/>
                                  <w:szCs w:val="18"/>
                                </w:rPr>
                                <w:t>sterilisation</w:t>
                              </w:r>
                              <w:proofErr w:type="spellEnd"/>
                              <w:r w:rsidRPr="000649D5">
                                <w:rPr>
                                  <w:sz w:val="18"/>
                                  <w:szCs w:val="18"/>
                                </w:rPr>
                                <w:t xml:space="preserve"> OR personal protective equipment OR PPE OR splash protection OR respiratory protection OR mask$ OR glove$ OR gown$ OR scrubs OR goggles OR eye protection OR face shield$ OR respirator$ OR Sharps OR needle$ OR syringe$ OR Water OR Sanitation OR Sanitary OR Plumbing OR Sewage OR Sewer* OR </w:t>
                              </w:r>
                              <w:r>
                                <w:rPr>
                                  <w:sz w:val="18"/>
                                  <w:szCs w:val="18"/>
                                </w:rPr>
                                <w:t>l</w:t>
                              </w:r>
                              <w:r w:rsidRPr="000649D5">
                                <w:rPr>
                                  <w:sz w:val="18"/>
                                  <w:szCs w:val="18"/>
                                </w:rPr>
                                <w:t xml:space="preserve">atrine$ OR </w:t>
                              </w:r>
                              <w:r>
                                <w:rPr>
                                  <w:sz w:val="18"/>
                                  <w:szCs w:val="18"/>
                                </w:rPr>
                                <w:t>t</w:t>
                              </w:r>
                              <w:r w:rsidRPr="000649D5">
                                <w:rPr>
                                  <w:sz w:val="18"/>
                                  <w:szCs w:val="18"/>
                                </w:rPr>
                                <w:t xml:space="preserve">oilet$ OR </w:t>
                              </w:r>
                              <w:r>
                                <w:rPr>
                                  <w:sz w:val="18"/>
                                  <w:szCs w:val="18"/>
                                </w:rPr>
                                <w:t>h</w:t>
                              </w:r>
                              <w:r w:rsidRPr="000649D5">
                                <w:rPr>
                                  <w:sz w:val="18"/>
                                  <w:szCs w:val="18"/>
                                </w:rPr>
                                <w:t>ygiene OR Hygienic OR Shower$ OR Soap$ OR detergent$ OR Handwashing OR hand washing OR hand hygiene OR Laundry OR bedsheet$ OR bedding OR linen$ OR Waste$ OR Landfill$ OR Dump$ OR Drainage OR Wastewater OR waste water OR disposal OR lighting OR light$ OR vector control OR Vectors OR pest$ OR rodent$ OR rat$ OR insect$ OR vermin OR infest* OR fly OR flies OR mosquito OR mosquitoes OR Surface$ OR fomite$ OR Chlorine OR Disinfect* OR Cleaners OR cleaning OR cleanliness OR janitor* OR housekeep*</w:t>
                              </w:r>
                            </w:p>
                            <w:p w14:paraId="48539BF2" w14:textId="77777777" w:rsidR="00D153AD" w:rsidRPr="000649D5" w:rsidRDefault="00D153AD" w:rsidP="000649D5">
                              <w:pPr>
                                <w:tabs>
                                  <w:tab w:val="center" w:pos="4680"/>
                                </w:tabs>
                                <w:spacing w:after="0"/>
                                <w:rPr>
                                  <w:b/>
                                </w:rPr>
                              </w:pPr>
                              <w:r w:rsidRPr="000649D5">
                                <w:rPr>
                                  <w:b/>
                                </w:rPr>
                                <w:t>Healthcare facilities</w:t>
                              </w:r>
                            </w:p>
                            <w:p w14:paraId="4A927419" w14:textId="77777777" w:rsidR="00D153AD" w:rsidRPr="000649D5" w:rsidRDefault="00D153AD" w:rsidP="000649D5">
                              <w:pPr>
                                <w:spacing w:after="0"/>
                                <w:rPr>
                                  <w:sz w:val="18"/>
                                  <w:szCs w:val="18"/>
                                </w:rPr>
                              </w:pPr>
                              <w:r w:rsidRPr="000649D5">
                                <w:rPr>
                                  <w:sz w:val="18"/>
                                  <w:szCs w:val="18"/>
                                </w:rPr>
                                <w:t xml:space="preserve">healthcare OR “health care” OR hospital$ OR clinic$ OR “health </w:t>
                              </w:r>
                              <w:proofErr w:type="spellStart"/>
                              <w:r w:rsidRPr="000649D5">
                                <w:rPr>
                                  <w:sz w:val="18"/>
                                  <w:szCs w:val="18"/>
                                </w:rPr>
                                <w:t>facilit</w:t>
                              </w:r>
                              <w:proofErr w:type="spellEnd"/>
                              <w:r w:rsidRPr="000649D5">
                                <w:rPr>
                                  <w:sz w:val="18"/>
                                  <w:szCs w:val="18"/>
                                </w:rPr>
                                <w:t xml:space="preserve">*” OR “health center$” OR </w:t>
                              </w:r>
                              <w:proofErr w:type="spellStart"/>
                              <w:r w:rsidRPr="000649D5">
                                <w:rPr>
                                  <w:sz w:val="18"/>
                                  <w:szCs w:val="18"/>
                                </w:rPr>
                                <w:t>healthcenter</w:t>
                              </w:r>
                              <w:proofErr w:type="spellEnd"/>
                              <w:r w:rsidRPr="000649D5">
                                <w:rPr>
                                  <w:sz w:val="18"/>
                                  <w:szCs w:val="18"/>
                                </w:rPr>
                                <w:t xml:space="preserve">$ OR </w:t>
                              </w:r>
                              <w:proofErr w:type="spellStart"/>
                              <w:r w:rsidRPr="000649D5">
                                <w:rPr>
                                  <w:sz w:val="18"/>
                                  <w:szCs w:val="18"/>
                                </w:rPr>
                                <w:t>healthcentre</w:t>
                              </w:r>
                              <w:proofErr w:type="spellEnd"/>
                              <w:r w:rsidRPr="000649D5">
                                <w:rPr>
                                  <w:sz w:val="18"/>
                                  <w:szCs w:val="18"/>
                                </w:rPr>
                                <w:t xml:space="preserve">$ OR “health </w:t>
                              </w:r>
                              <w:proofErr w:type="spellStart"/>
                              <w:r w:rsidRPr="000649D5">
                                <w:rPr>
                                  <w:sz w:val="18"/>
                                  <w:szCs w:val="18"/>
                                </w:rPr>
                                <w:t>centre</w:t>
                              </w:r>
                              <w:proofErr w:type="spellEnd"/>
                              <w:r w:rsidRPr="000649D5">
                                <w:rPr>
                                  <w:sz w:val="18"/>
                                  <w:szCs w:val="18"/>
                                </w:rPr>
                                <w:t xml:space="preserve">$” OR “health post$” OR </w:t>
                              </w:r>
                              <w:proofErr w:type="spellStart"/>
                              <w:r w:rsidRPr="000649D5">
                                <w:rPr>
                                  <w:sz w:val="18"/>
                                  <w:szCs w:val="18"/>
                                </w:rPr>
                                <w:t>healthpost</w:t>
                              </w:r>
                              <w:proofErr w:type="spellEnd"/>
                              <w:r w:rsidRPr="000649D5">
                                <w:rPr>
                                  <w:sz w:val="18"/>
                                  <w:szCs w:val="18"/>
                                </w:rPr>
                                <w:t xml:space="preserve">$ OR “health setting*” OR “medical </w:t>
                              </w:r>
                              <w:proofErr w:type="spellStart"/>
                              <w:r w:rsidRPr="000649D5">
                                <w:rPr>
                                  <w:sz w:val="18"/>
                                  <w:szCs w:val="18"/>
                                </w:rPr>
                                <w:t>facilit</w:t>
                              </w:r>
                              <w:proofErr w:type="spellEnd"/>
                              <w:r w:rsidRPr="000649D5">
                                <w:rPr>
                                  <w:sz w:val="18"/>
                                  <w:szCs w:val="18"/>
                                </w:rPr>
                                <w:t xml:space="preserve">*” OR “medical center$” OR “medical </w:t>
                              </w:r>
                              <w:proofErr w:type="spellStart"/>
                              <w:r w:rsidRPr="000649D5">
                                <w:rPr>
                                  <w:sz w:val="18"/>
                                  <w:szCs w:val="18"/>
                                </w:rPr>
                                <w:t>centre</w:t>
                              </w:r>
                              <w:proofErr w:type="spellEnd"/>
                              <w:r w:rsidRPr="000649D5">
                                <w:rPr>
                                  <w:sz w:val="18"/>
                                  <w:szCs w:val="18"/>
                                </w:rPr>
                                <w:t xml:space="preserve">$” OR “medical post$” OR “medical setting*” OR “delivery </w:t>
                              </w:r>
                              <w:proofErr w:type="spellStart"/>
                              <w:r w:rsidRPr="000649D5">
                                <w:rPr>
                                  <w:sz w:val="18"/>
                                  <w:szCs w:val="18"/>
                                </w:rPr>
                                <w:t>facilit</w:t>
                              </w:r>
                              <w:proofErr w:type="spellEnd"/>
                              <w:r w:rsidRPr="000649D5">
                                <w:rPr>
                                  <w:sz w:val="18"/>
                                  <w:szCs w:val="18"/>
                                </w:rPr>
                                <w:t xml:space="preserve">*” OR “delivery center$” OR “delivery </w:t>
                              </w:r>
                              <w:proofErr w:type="spellStart"/>
                              <w:r w:rsidRPr="000649D5">
                                <w:rPr>
                                  <w:sz w:val="18"/>
                                  <w:szCs w:val="18"/>
                                </w:rPr>
                                <w:t>centre</w:t>
                              </w:r>
                              <w:proofErr w:type="spellEnd"/>
                              <w:r w:rsidRPr="000649D5">
                                <w:rPr>
                                  <w:sz w:val="18"/>
                                  <w:szCs w:val="18"/>
                                </w:rPr>
                                <w:t xml:space="preserve">$” OR “delivery clinic$” OR “birth </w:t>
                              </w:r>
                              <w:proofErr w:type="spellStart"/>
                              <w:r w:rsidRPr="000649D5">
                                <w:rPr>
                                  <w:sz w:val="18"/>
                                  <w:szCs w:val="18"/>
                                </w:rPr>
                                <w:t>facilit</w:t>
                              </w:r>
                              <w:proofErr w:type="spellEnd"/>
                              <w:r w:rsidRPr="000649D5">
                                <w:rPr>
                                  <w:sz w:val="18"/>
                                  <w:szCs w:val="18"/>
                                </w:rPr>
                                <w:t xml:space="preserve">*” OR “birth center$” OR “birth </w:t>
                              </w:r>
                              <w:proofErr w:type="spellStart"/>
                              <w:r w:rsidRPr="000649D5">
                                <w:rPr>
                                  <w:sz w:val="18"/>
                                  <w:szCs w:val="18"/>
                                </w:rPr>
                                <w:t>centre</w:t>
                              </w:r>
                              <w:proofErr w:type="spellEnd"/>
                              <w:r w:rsidRPr="000649D5">
                                <w:rPr>
                                  <w:sz w:val="18"/>
                                  <w:szCs w:val="18"/>
                                </w:rPr>
                                <w:t>$” OR “birth clinic$” OR “</w:t>
                              </w:r>
                              <w:proofErr w:type="spellStart"/>
                              <w:r w:rsidRPr="000649D5">
                                <w:rPr>
                                  <w:sz w:val="18"/>
                                  <w:szCs w:val="18"/>
                                </w:rPr>
                                <w:t>matern</w:t>
                              </w:r>
                              <w:proofErr w:type="spellEnd"/>
                              <w:r w:rsidRPr="000649D5">
                                <w:rPr>
                                  <w:sz w:val="18"/>
                                  <w:szCs w:val="18"/>
                                </w:rPr>
                                <w:t xml:space="preserve">* </w:t>
                              </w:r>
                              <w:proofErr w:type="spellStart"/>
                              <w:r w:rsidRPr="000649D5">
                                <w:rPr>
                                  <w:sz w:val="18"/>
                                  <w:szCs w:val="18"/>
                                </w:rPr>
                                <w:t>facilit</w:t>
                              </w:r>
                              <w:proofErr w:type="spellEnd"/>
                              <w:r w:rsidRPr="000649D5">
                                <w:rPr>
                                  <w:sz w:val="18"/>
                                  <w:szCs w:val="18"/>
                                </w:rPr>
                                <w:t>*” OR “</w:t>
                              </w:r>
                              <w:proofErr w:type="spellStart"/>
                              <w:r w:rsidRPr="000649D5">
                                <w:rPr>
                                  <w:sz w:val="18"/>
                                  <w:szCs w:val="18"/>
                                </w:rPr>
                                <w:t>matern</w:t>
                              </w:r>
                              <w:proofErr w:type="spellEnd"/>
                              <w:r w:rsidRPr="000649D5">
                                <w:rPr>
                                  <w:sz w:val="18"/>
                                  <w:szCs w:val="18"/>
                                </w:rPr>
                                <w:t>* center$” OR “</w:t>
                              </w:r>
                              <w:proofErr w:type="spellStart"/>
                              <w:r w:rsidRPr="000649D5">
                                <w:rPr>
                                  <w:sz w:val="18"/>
                                  <w:szCs w:val="18"/>
                                </w:rPr>
                                <w:t>matern</w:t>
                              </w:r>
                              <w:proofErr w:type="spellEnd"/>
                              <w:r w:rsidRPr="000649D5">
                                <w:rPr>
                                  <w:sz w:val="18"/>
                                  <w:szCs w:val="18"/>
                                </w:rPr>
                                <w:t xml:space="preserve">* </w:t>
                              </w:r>
                              <w:proofErr w:type="spellStart"/>
                              <w:r w:rsidRPr="000649D5">
                                <w:rPr>
                                  <w:sz w:val="18"/>
                                  <w:szCs w:val="18"/>
                                </w:rPr>
                                <w:t>centre</w:t>
                              </w:r>
                              <w:proofErr w:type="spellEnd"/>
                              <w:r w:rsidRPr="000649D5">
                                <w:rPr>
                                  <w:sz w:val="18"/>
                                  <w:szCs w:val="18"/>
                                </w:rPr>
                                <w:t>$” OR “</w:t>
                              </w:r>
                              <w:proofErr w:type="spellStart"/>
                              <w:r w:rsidRPr="000649D5">
                                <w:rPr>
                                  <w:sz w:val="18"/>
                                  <w:szCs w:val="18"/>
                                </w:rPr>
                                <w:t>matern</w:t>
                              </w:r>
                              <w:proofErr w:type="spellEnd"/>
                              <w:r w:rsidRPr="000649D5">
                                <w:rPr>
                                  <w:sz w:val="18"/>
                                  <w:szCs w:val="18"/>
                                </w:rPr>
                                <w:t xml:space="preserve">* clinic$” OR “dental </w:t>
                              </w:r>
                              <w:proofErr w:type="spellStart"/>
                              <w:r w:rsidRPr="000649D5">
                                <w:rPr>
                                  <w:sz w:val="18"/>
                                  <w:szCs w:val="18"/>
                                </w:rPr>
                                <w:t>facilit</w:t>
                              </w:r>
                              <w:proofErr w:type="spellEnd"/>
                              <w:r w:rsidRPr="000649D5">
                                <w:rPr>
                                  <w:sz w:val="18"/>
                                  <w:szCs w:val="18"/>
                                </w:rPr>
                                <w:t xml:space="preserve">*” OR “dental center$” OR “dental </w:t>
                              </w:r>
                              <w:proofErr w:type="spellStart"/>
                              <w:r w:rsidRPr="000649D5">
                                <w:rPr>
                                  <w:sz w:val="18"/>
                                  <w:szCs w:val="18"/>
                                </w:rPr>
                                <w:t>centre</w:t>
                              </w:r>
                              <w:proofErr w:type="spellEnd"/>
                              <w:r w:rsidRPr="000649D5">
                                <w:rPr>
                                  <w:sz w:val="18"/>
                                  <w:szCs w:val="18"/>
                                </w:rPr>
                                <w:t>$” OR “dental clinic$” OR dispensary OR dispensaries</w:t>
                              </w:r>
                            </w:p>
                            <w:p w14:paraId="6F7CAD1C" w14:textId="77777777" w:rsidR="00D153AD" w:rsidRPr="000649D5" w:rsidRDefault="00D153AD" w:rsidP="000649D5">
                              <w:pPr>
                                <w:spacing w:after="0"/>
                                <w:rPr>
                                  <w:sz w:val="18"/>
                                  <w:szCs w:val="18"/>
                                </w:rPr>
                              </w:pPr>
                            </w:p>
                            <w:p w14:paraId="1D09F6B2" w14:textId="77777777" w:rsidR="00D153AD" w:rsidRPr="000649D5" w:rsidRDefault="00D153AD" w:rsidP="000649D5">
                              <w:pPr>
                                <w:spacing w:after="0"/>
                                <w:rPr>
                                  <w:b/>
                                </w:rPr>
                              </w:pPr>
                              <w:r w:rsidRPr="000649D5">
                                <w:rPr>
                                  <w:b/>
                                </w:rPr>
                                <w:t>Costing</w:t>
                              </w:r>
                            </w:p>
                            <w:p w14:paraId="2249D751" w14:textId="5BB3AEA3" w:rsidR="00D153AD" w:rsidRPr="000649D5" w:rsidRDefault="00D153AD" w:rsidP="000649D5">
                              <w:pPr>
                                <w:spacing w:after="0"/>
                                <w:rPr>
                                  <w:sz w:val="18"/>
                                  <w:szCs w:val="18"/>
                                </w:rPr>
                              </w:pPr>
                              <w:r w:rsidRPr="000649D5">
                                <w:rPr>
                                  <w:sz w:val="18"/>
                                  <w:szCs w:val="18"/>
                                </w:rPr>
                                <w:t>Cost$ OR costing OR economic OR budget* OR Price$ OR pricing OR fee$ OR tariff$ OR loan$ OR subsidy OR subsidies OR finance$ OR financial OR financing OR fund$ OR funding OR pay OR payment$ OR investment$ OR investing OR capital OR money OR monies OR expense$</w:t>
                              </w:r>
                              <w:r w:rsidR="00312BD6">
                                <w:rPr>
                                  <w:sz w:val="18"/>
                                  <w:szCs w:val="18"/>
                                </w:rPr>
                                <w:t xml:space="preserve"> OR accounting</w:t>
                              </w:r>
                            </w:p>
                            <w:p w14:paraId="05D6114D" w14:textId="77777777" w:rsidR="00D153AD" w:rsidRPr="000649D5" w:rsidRDefault="00D153AD" w:rsidP="000649D5">
                              <w:pPr>
                                <w:spacing w:after="0"/>
                                <w:rPr>
                                  <w:b/>
                                  <w:sz w:val="18"/>
                                  <w:szCs w:val="18"/>
                                </w:rPr>
                              </w:pPr>
                            </w:p>
                            <w:p w14:paraId="00626668" w14:textId="77777777" w:rsidR="00D153AD" w:rsidRPr="000649D5" w:rsidRDefault="00D153AD" w:rsidP="000649D5">
                              <w:pPr>
                                <w:spacing w:after="0"/>
                                <w:rPr>
                                  <w:b/>
                                </w:rPr>
                              </w:pPr>
                              <w:r w:rsidRPr="000649D5">
                                <w:rPr>
                                  <w:b/>
                                </w:rPr>
                                <w:t>Low- and middle-income countries</w:t>
                              </w:r>
                            </w:p>
                            <w:p w14:paraId="29F34B49" w14:textId="7497C845" w:rsidR="00D153AD" w:rsidRPr="000649D5" w:rsidRDefault="00D153AD" w:rsidP="000649D5">
                              <w:pPr>
                                <w:spacing w:after="0"/>
                                <w:rPr>
                                  <w:sz w:val="18"/>
                                  <w:szCs w:val="18"/>
                                </w:rPr>
                              </w:pPr>
                              <w:r w:rsidRPr="000649D5">
                                <w:rPr>
                                  <w:sz w:val="18"/>
                                  <w:szCs w:val="18"/>
                                </w:rPr>
                                <w:t xml:space="preserve">Afghanistan OR Algeria OR Angola OR Anguilla OR Antigua OR Barbuda OR Argentina OR Armenia OR Armenian OR Aruba OR Azerbaijan OR Bahamas OR Bahrain OR Bangladesh OR Barbados OR Benin OR </w:t>
                              </w:r>
                              <w:proofErr w:type="spellStart"/>
                              <w:r w:rsidRPr="000649D5">
                                <w:rPr>
                                  <w:sz w:val="18"/>
                                  <w:szCs w:val="18"/>
                                </w:rPr>
                                <w:t>Byelarus</w:t>
                              </w:r>
                              <w:proofErr w:type="spellEnd"/>
                              <w:r w:rsidRPr="000649D5">
                                <w:rPr>
                                  <w:sz w:val="18"/>
                                  <w:szCs w:val="18"/>
                                </w:rPr>
                                <w:t xml:space="preserve"> OR Byelorussian OR Belarus OR Belorussian OR Belorussia OR Belize OR Bhutan OR Bolivia OR Botswana OR Brazil OR Brunei OR “Burkina Faso” OR “Burkina </w:t>
                              </w:r>
                              <w:proofErr w:type="spellStart"/>
                              <w:r w:rsidRPr="000649D5">
                                <w:rPr>
                                  <w:sz w:val="18"/>
                                  <w:szCs w:val="18"/>
                                </w:rPr>
                                <w:t>Fasso</w:t>
                              </w:r>
                              <w:proofErr w:type="spellEnd"/>
                              <w:r w:rsidRPr="000649D5">
                                <w:rPr>
                                  <w:sz w:val="18"/>
                                  <w:szCs w:val="18"/>
                                </w:rPr>
                                <w:t xml:space="preserve">” OR “Upper Volta” OR Burundi OR </w:t>
                              </w:r>
                              <w:proofErr w:type="spellStart"/>
                              <w:r w:rsidRPr="000649D5">
                                <w:rPr>
                                  <w:sz w:val="18"/>
                                  <w:szCs w:val="18"/>
                                </w:rPr>
                                <w:t>Urundi</w:t>
                              </w:r>
                              <w:proofErr w:type="spellEnd"/>
                              <w:r w:rsidRPr="000649D5">
                                <w:rPr>
                                  <w:sz w:val="18"/>
                                  <w:szCs w:val="18"/>
                                </w:rPr>
                                <w:t xml:space="preserve"> OR Cambodia OR “Khmer Republic” OR Kampuchea OR Cameroon OR Cameroons OR Cameron OR </w:t>
                              </w:r>
                              <w:proofErr w:type="spellStart"/>
                              <w:r w:rsidRPr="000649D5">
                                <w:rPr>
                                  <w:sz w:val="18"/>
                                  <w:szCs w:val="18"/>
                                </w:rPr>
                                <w:t>Camerons</w:t>
                              </w:r>
                              <w:proofErr w:type="spellEnd"/>
                              <w:r w:rsidRPr="000649D5">
                                <w:rPr>
                                  <w:sz w:val="18"/>
                                  <w:szCs w:val="18"/>
                                </w:rPr>
                                <w:t xml:space="preserve"> OR “Cape Verde” OR “Cayman Islands” OR “Central African Republic” OR Chad OR Chile OR China OR Colombia OR Comoros OR “Comoro Islands” OR </w:t>
                              </w:r>
                              <w:proofErr w:type="spellStart"/>
                              <w:r w:rsidRPr="000649D5">
                                <w:rPr>
                                  <w:sz w:val="18"/>
                                  <w:szCs w:val="18"/>
                                </w:rPr>
                                <w:t>Comores</w:t>
                              </w:r>
                              <w:proofErr w:type="spellEnd"/>
                              <w:r w:rsidRPr="000649D5">
                                <w:rPr>
                                  <w:sz w:val="18"/>
                                  <w:szCs w:val="18"/>
                                </w:rPr>
                                <w:t xml:space="preserve"> OR Mayotte OR Congo OR Zaire OR “Cook Islands” OR “Costa Rica” OR “Cote d'Ivoire” OR “Ivory Coast” OR Croatia OR Cuba OR Cyprus OR Djibouti OR “French Somaliland” OR Dominica OR “Dominican Republic” OR “East Timor” OR “East Timur” OR “Timor </w:t>
                              </w:r>
                              <w:proofErr w:type="spellStart"/>
                              <w:r w:rsidRPr="000649D5">
                                <w:rPr>
                                  <w:sz w:val="18"/>
                                  <w:szCs w:val="18"/>
                                </w:rPr>
                                <w:t>Leste</w:t>
                              </w:r>
                              <w:proofErr w:type="spellEnd"/>
                              <w:r w:rsidRPr="000649D5">
                                <w:rPr>
                                  <w:sz w:val="18"/>
                                  <w:szCs w:val="18"/>
                                </w:rPr>
                                <w:t>” OR Ecuador OR Egypt OR “United Arab Republic” OR “El Salvador” OR Eritrea OR Ethiopia OR “Falkland Islands” OR “Las Malvinas” OR Fiji OR Gabon OR “Gabonese Republic” OR Gambia OR Gaza OR “Georgia Republic” OR “Georgian Republic” OR Ghana OR “Gold Coast” OR Greece OR Grenada OR Guatemala OR Guinea OR Guam OR Guadeloupe OR Guiana OR Guyana OR Haiti OR Honduras OR “Hong Kong” OR India OR Maldives OR Indonesia OR Iran OR Iraq OR Jamaica OR Jordan OR Kazakhstan OR Kazakh OR Kenya OR Kiribati OR Korea OR Kosovo OR Kuwait OR Kyrgyzstan OR Kirghizia OR “Kyrgyz Republic” OR Kirghiz OR Kirgizstan OR “Lao PDR” OR Laos OR Lebanon OR Lesotho OR Basutoland OR Liberia OR Libya OR Macau OR Madagascar OR “Malagasy Republic” OR Maldives OR Malaysia OR Malaya OR Malay OR Sabah OR Sarawak OR Malawi OR Nyasaland OR Mali OR Malta OR “Marshall Islands” OR Martinique OR Mauritania OR Mauritius OR “</w:t>
                              </w:r>
                              <w:proofErr w:type="spellStart"/>
                              <w:r w:rsidRPr="000649D5">
                                <w:rPr>
                                  <w:sz w:val="18"/>
                                  <w:szCs w:val="18"/>
                                </w:rPr>
                                <w:t>Agalega</w:t>
                              </w:r>
                              <w:proofErr w:type="spellEnd"/>
                              <w:r w:rsidRPr="000649D5">
                                <w:rPr>
                                  <w:sz w:val="18"/>
                                  <w:szCs w:val="18"/>
                                </w:rPr>
                                <w:t xml:space="preserve"> Islands” OR Mexico OR Micronesia OR “Middle East” OR Mongolia OR Montserrat OR Morocco OR Ifni OR Mozambique OR Myanmar OR </w:t>
                              </w:r>
                              <w:proofErr w:type="spellStart"/>
                              <w:r w:rsidRPr="000649D5">
                                <w:rPr>
                                  <w:sz w:val="18"/>
                                  <w:szCs w:val="18"/>
                                </w:rPr>
                                <w:t>Myanma</w:t>
                              </w:r>
                              <w:proofErr w:type="spellEnd"/>
                              <w:r w:rsidRPr="000649D5">
                                <w:rPr>
                                  <w:sz w:val="18"/>
                                  <w:szCs w:val="18"/>
                                </w:rPr>
                                <w:t xml:space="preserve"> OR Burma OR Namibia OR Nauru OR Nepal OR </w:t>
                              </w:r>
                              <w:proofErr w:type="spellStart"/>
                              <w:r w:rsidRPr="000649D5">
                                <w:rPr>
                                  <w:sz w:val="18"/>
                                  <w:szCs w:val="18"/>
                                </w:rPr>
                                <w:t>Niui</w:t>
                              </w:r>
                              <w:proofErr w:type="spellEnd"/>
                              <w:r w:rsidRPr="000649D5">
                                <w:rPr>
                                  <w:sz w:val="18"/>
                                  <w:szCs w:val="18"/>
                                </w:rPr>
                                <w:t xml:space="preserve"> OR “Netherlands Antilles” OR “New Caledonia” OR Nicaragua OR Niger OR Nigeria OR “Northern Mariana Islands” OR Oman OR Mayotte OR Muscat OR Pakistan OR Palau OR Palestine OR Panama OR Paraguay OR Peru OR Philippines OR </w:t>
                              </w:r>
                              <w:proofErr w:type="spellStart"/>
                              <w:r w:rsidRPr="000649D5">
                                <w:rPr>
                                  <w:sz w:val="18"/>
                                  <w:szCs w:val="18"/>
                                </w:rPr>
                                <w:t>Philipines</w:t>
                              </w:r>
                              <w:proofErr w:type="spellEnd"/>
                              <w:r w:rsidRPr="000649D5">
                                <w:rPr>
                                  <w:sz w:val="18"/>
                                  <w:szCs w:val="18"/>
                                </w:rPr>
                                <w:t xml:space="preserve"> OR </w:t>
                              </w:r>
                              <w:proofErr w:type="spellStart"/>
                              <w:r w:rsidRPr="000649D5">
                                <w:rPr>
                                  <w:sz w:val="18"/>
                                  <w:szCs w:val="18"/>
                                </w:rPr>
                                <w:t>Phillipines</w:t>
                              </w:r>
                              <w:proofErr w:type="spellEnd"/>
                              <w:r w:rsidRPr="000649D5">
                                <w:rPr>
                                  <w:sz w:val="18"/>
                                  <w:szCs w:val="18"/>
                                </w:rPr>
                                <w:t xml:space="preserve"> OR </w:t>
                              </w:r>
                              <w:proofErr w:type="spellStart"/>
                              <w:r w:rsidRPr="000649D5">
                                <w:rPr>
                                  <w:sz w:val="18"/>
                                  <w:szCs w:val="18"/>
                                </w:rPr>
                                <w:t>Phillippines</w:t>
                              </w:r>
                              <w:proofErr w:type="spellEnd"/>
                              <w:r w:rsidRPr="000649D5">
                                <w:rPr>
                                  <w:sz w:val="18"/>
                                  <w:szCs w:val="18"/>
                                </w:rPr>
                                <w:t xml:space="preserve"> OR Polynesia OR  “Puerto Rico” OR Qatar OR Reunion OR Rwanda OR Ruanda OR “Saint Kitts” OR “St Kitts” OR Nevis OR “Saint Lucia” OR “St Lucia” OR “Saint Vincent” OR “St Vincent” OR Grenadines OR Samoa OR “Samoan Islands” OR “Navigator Island” OR “Navigator Islands” OR “Sao Tome” OR “Saudi Arabia” OR Senegal OR Serbia OR Montenegro OR Seychelles OR “Sierra Leone” OR Singapore OR “Sri Lanka” OR Ceylon OR “Solomon Islands” OR Somalia OR “South Africa” OR Sudan OR Suriname OR Surinam OR Swaziland OR Syria OR Tajikistan OR Tadzhikistan OR </w:t>
                              </w:r>
                              <w:proofErr w:type="spellStart"/>
                              <w:r w:rsidRPr="000649D5">
                                <w:rPr>
                                  <w:sz w:val="18"/>
                                  <w:szCs w:val="18"/>
                                </w:rPr>
                                <w:t>Tadjikistan</w:t>
                              </w:r>
                              <w:proofErr w:type="spellEnd"/>
                              <w:r w:rsidRPr="000649D5">
                                <w:rPr>
                                  <w:sz w:val="18"/>
                                  <w:szCs w:val="18"/>
                                </w:rPr>
                                <w:t xml:space="preserve"> OR Tadzhik OR Tanzania OR Thailand OR Togo OR “Togolese Republic” OR Tokelau OR Tonga OR Trinidad OR Tobago OR Tunisia OR Turkey OR Turkmenistan OR Turkmen OR “Turks Caicos” OR “Turks and Caicos” OR Tuvalu OR Uganda OR “United Arab Emirates” OR Uruguay OR Uzbekistan OR Uzbek OR Vanuatu OR “New Hebrides” OR Venezuela OR Vietnam OR “Viet Nam” OR “Virgin Islands” OR “West Bank” OR Yemen OR Yugoslavia OR Zambia OR Zimbabwe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inline>
            </w:drawing>
          </mc:Choice>
          <mc:Fallback>
            <w:pict>
              <v:group w14:anchorId="7B0C4387" id="Group 198" o:spid="_x0000_s1026" style="width:468pt;height:581pt;mso-position-horizontal-relative:char;mso-position-vertical-relative:line" coordsize="35674,30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">
                <v:rect id="Rectangle 199" o:spid="_x0000_s1027" style="position:absolute;width:35674;height:20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" fillcolor="#f2f2f2 [3052]" strokecolor="#7f7f7f [1612]">
                  <v:textbox>
                    <w:txbxContent>
                      <w:p w14:paraId="10DF4367" w14:textId="1F7FDB57" w:rsidR="00D153AD" w:rsidRDefault="00D153AD" w:rsidP="000649D5">
                        <w:pPr>
                          <w:spacing w:after="0"/>
                          <w:rPr>
                            <w:rFonts w:eastAsiaTheme="majorEastAsia"/>
                          </w:rPr>
                        </w:pPr>
                        <w:r w:rsidRPr="000649D5">
                          <w:rPr>
                            <w:rFonts w:eastAsiaTheme="majorEastAsia"/>
                          </w:rPr>
                          <w:t>Box 1: Search terms</w:t>
                        </w:r>
                      </w:p>
                      <w:p w14:paraId="070E615D" w14:textId="55467955" w:rsidR="00D153AD" w:rsidRPr="00E91000" w:rsidRDefault="00D153AD" w:rsidP="000649D5">
                        <w:pPr>
                          <w:spacing w:after="0"/>
                          <w:rPr>
                            <w:rFonts w:eastAsiaTheme="majorEastAsia"/>
                            <w:sz w:val="18"/>
                            <w:szCs w:val="18"/>
                          </w:rPr>
                        </w:pPr>
                        <w:r w:rsidRPr="00E91000">
                          <w:rPr>
                            <w:rFonts w:eastAsiaTheme="majorEastAsia"/>
                            <w:sz w:val="18"/>
                            <w:szCs w:val="18"/>
                          </w:rPr>
                          <w:t>$ indicates</w:t>
                        </w:r>
                        <w:r>
                          <w:rPr>
                            <w:rFonts w:eastAsiaTheme="majorEastAsia"/>
                            <w:sz w:val="18"/>
                            <w:szCs w:val="18"/>
                          </w:rPr>
                          <w:t xml:space="preserve"> </w:t>
                        </w:r>
                        <w:r w:rsidRPr="00E91000">
                          <w:rPr>
                            <w:rFonts w:eastAsiaTheme="majorEastAsia"/>
                            <w:sz w:val="18"/>
                            <w:szCs w:val="18"/>
                          </w:rPr>
                          <w:t>“wild</w:t>
                        </w:r>
                        <w:r>
                          <w:rPr>
                            <w:rFonts w:eastAsiaTheme="majorEastAsia"/>
                            <w:sz w:val="18"/>
                            <w:szCs w:val="18"/>
                          </w:rPr>
                          <w:t xml:space="preserve"> </w:t>
                        </w:r>
                        <w:r w:rsidRPr="00E91000">
                          <w:rPr>
                            <w:rFonts w:eastAsiaTheme="majorEastAsia"/>
                            <w:sz w:val="18"/>
                            <w:szCs w:val="18"/>
                          </w:rPr>
                          <w:t>card” characters</w:t>
                        </w:r>
                        <w:r>
                          <w:rPr>
                            <w:rFonts w:eastAsiaTheme="majorEastAsia"/>
                            <w:sz w:val="18"/>
                            <w:szCs w:val="18"/>
                          </w:rPr>
                          <w:t>,</w:t>
                        </w:r>
                        <w:r w:rsidRPr="00E91000">
                          <w:rPr>
                            <w:rFonts w:eastAsiaTheme="majorEastAsia"/>
                            <w:sz w:val="18"/>
                            <w:szCs w:val="18"/>
                          </w:rPr>
                          <w:t xml:space="preserve"> which can be represented by any letter or no letter</w:t>
                        </w:r>
                      </w:p>
                      <w:p w14:paraId="62C2F112" w14:textId="545B2511" w:rsidR="00D153AD" w:rsidRPr="00E91000" w:rsidRDefault="00D153AD" w:rsidP="00E91000">
                        <w:pPr>
                          <w:spacing w:after="0"/>
                          <w:rPr>
                            <w:rFonts w:eastAsiaTheme="majorEastAsia"/>
                            <w:sz w:val="18"/>
                            <w:szCs w:val="18"/>
                          </w:rPr>
                        </w:pPr>
                        <w:r w:rsidRPr="00E91000">
                          <w:rPr>
                            <w:rFonts w:eastAsiaTheme="majorEastAsia"/>
                            <w:sz w:val="18"/>
                            <w:szCs w:val="18"/>
                          </w:rPr>
                          <w:t xml:space="preserve">* indicates </w:t>
                        </w:r>
                        <w:r>
                          <w:rPr>
                            <w:rFonts w:eastAsiaTheme="majorEastAsia"/>
                            <w:sz w:val="18"/>
                            <w:szCs w:val="18"/>
                          </w:rPr>
                          <w:t>truncations</w:t>
                        </w:r>
                        <w:r w:rsidRPr="00E91000">
                          <w:rPr>
                            <w:rFonts w:eastAsiaTheme="majorEastAsia"/>
                            <w:sz w:val="18"/>
                            <w:szCs w:val="18"/>
                          </w:rPr>
                          <w:t xml:space="preserve">, for </w:t>
                        </w:r>
                        <w:r>
                          <w:rPr>
                            <w:rFonts w:eastAsiaTheme="majorEastAsia"/>
                            <w:sz w:val="18"/>
                            <w:szCs w:val="18"/>
                          </w:rPr>
                          <w:t>w</w:t>
                        </w:r>
                        <w:r w:rsidRPr="00E91000">
                          <w:rPr>
                            <w:rFonts w:eastAsiaTheme="majorEastAsia"/>
                            <w:sz w:val="18"/>
                            <w:szCs w:val="18"/>
                          </w:rPr>
                          <w:t>hich any characters may follow the asterisk</w:t>
                        </w:r>
                      </w:p>
                    </w:txbxContent>
                  </v:textbox>
                </v:rect>
                <v:shapetype id="_x0000_t202" coordsize="21600,21600" o:spt="202" path="m,l,21600r21600,l21600,xe">
                  <v:stroke joinstyle="miter"/>
                  <v:path gradientshapeok="t" o:connecttype="rect"/>
                </v:shapetype>
                <v:shape id="Text Box 200" o:spid="_x0000_s1028" type="#_x0000_t202" style="position:absolute;top:2076;width:35674;height:28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" filled="f" strokecolor="#7f7f7f [1612]" strokeweight=".5pt">
                  <v:textbox inset=",7.2pt,,0">
                    <w:txbxContent>
                      <w:p w14:paraId="6029855B" w14:textId="77777777" w:rsidR="00D153AD" w:rsidRPr="000649D5" w:rsidRDefault="00D153AD" w:rsidP="000649D5">
                        <w:pPr>
                          <w:spacing w:after="0"/>
                          <w:rPr>
                            <w:b/>
                          </w:rPr>
                        </w:pPr>
                        <w:r w:rsidRPr="000649D5">
                          <w:rPr>
                            <w:b/>
                          </w:rPr>
                          <w:t>Environmental health services</w:t>
                        </w:r>
                      </w:p>
                      <w:p w14:paraId="33EDE414" w14:textId="5B13C992" w:rsidR="00D153AD" w:rsidRPr="000649D5" w:rsidRDefault="00D153AD" w:rsidP="000649D5">
                        <w:pPr>
                          <w:rPr>
                            <w:sz w:val="18"/>
                            <w:szCs w:val="18"/>
                          </w:rPr>
                        </w:pPr>
                        <w:r w:rsidRPr="000649D5">
                          <w:rPr>
                            <w:sz w:val="18"/>
                            <w:szCs w:val="18"/>
                          </w:rPr>
                          <w:t xml:space="preserve">standard precautions OR infection control OR infection prevention OR IPC OR asepsis OR aseptic OR sterile OR sterility OR sterilization OR </w:t>
                        </w:r>
                        <w:proofErr w:type="spellStart"/>
                        <w:r w:rsidRPr="000649D5">
                          <w:rPr>
                            <w:sz w:val="18"/>
                            <w:szCs w:val="18"/>
                          </w:rPr>
                          <w:t>sterilisation</w:t>
                        </w:r>
                        <w:proofErr w:type="spellEnd"/>
                        <w:r w:rsidRPr="000649D5">
                          <w:rPr>
                            <w:sz w:val="18"/>
                            <w:szCs w:val="18"/>
                          </w:rPr>
                          <w:t xml:space="preserve"> OR personal protective equipment OR PPE OR splash protection OR respiratory protection OR mask$ OR glove$ OR gown$ OR scrubs OR goggles OR eye protection OR face shield$ OR respirator$ OR Sharps OR needle$ OR syringe$ OR Water OR Sanitation OR Sanitary OR Plumbing OR Sewage OR Sewer* OR </w:t>
                        </w:r>
                        <w:r>
                          <w:rPr>
                            <w:sz w:val="18"/>
                            <w:szCs w:val="18"/>
                          </w:rPr>
                          <w:t>l</w:t>
                        </w:r>
                        <w:r w:rsidRPr="000649D5">
                          <w:rPr>
                            <w:sz w:val="18"/>
                            <w:szCs w:val="18"/>
                          </w:rPr>
                          <w:t xml:space="preserve">atrine$ OR </w:t>
                        </w:r>
                        <w:r>
                          <w:rPr>
                            <w:sz w:val="18"/>
                            <w:szCs w:val="18"/>
                          </w:rPr>
                          <w:t>t</w:t>
                        </w:r>
                        <w:r w:rsidRPr="000649D5">
                          <w:rPr>
                            <w:sz w:val="18"/>
                            <w:szCs w:val="18"/>
                          </w:rPr>
                          <w:t xml:space="preserve">oilet$ OR </w:t>
                        </w:r>
                        <w:r>
                          <w:rPr>
                            <w:sz w:val="18"/>
                            <w:szCs w:val="18"/>
                          </w:rPr>
                          <w:t>h</w:t>
                        </w:r>
                        <w:r w:rsidRPr="000649D5">
                          <w:rPr>
                            <w:sz w:val="18"/>
                            <w:szCs w:val="18"/>
                          </w:rPr>
                          <w:t>ygiene OR Hygienic OR Shower$ OR Soap$ OR detergent$ OR Handwashing OR hand washing OR hand hygiene OR Laundry OR bedsheet$ OR bedding OR linen$ OR Waste$ OR Landfill$ OR Dump$ OR Drainage OR Wastewater OR waste water OR disposal OR lighting OR light$ OR vector control OR Vectors OR pest$ OR rodent$ OR rat$ OR insect$ OR vermin OR infest* OR fly OR flies OR mosquito OR mosquitoes OR Surface$ OR fomite$ OR Chlorine OR Disinfect* OR Cleaners OR cleaning OR cleanliness OR janitor* OR housekeep*</w:t>
                        </w:r>
                      </w:p>
                      <w:p w14:paraId="48539BF2" w14:textId="77777777" w:rsidR="00D153AD" w:rsidRPr="000649D5" w:rsidRDefault="00D153AD" w:rsidP="000649D5">
                        <w:pPr>
                          <w:tabs>
                            <w:tab w:val="center" w:pos="4680"/>
                          </w:tabs>
                          <w:spacing w:after="0"/>
                          <w:rPr>
                            <w:b/>
                          </w:rPr>
                        </w:pPr>
                        <w:r w:rsidRPr="000649D5">
                          <w:rPr>
                            <w:b/>
                          </w:rPr>
                          <w:t>Healthcare facilities</w:t>
                        </w:r>
                      </w:p>
                      <w:p w14:paraId="4A927419" w14:textId="77777777" w:rsidR="00D153AD" w:rsidRPr="000649D5" w:rsidRDefault="00D153AD" w:rsidP="000649D5">
                        <w:pPr>
                          <w:spacing w:after="0"/>
                          <w:rPr>
                            <w:sz w:val="18"/>
                            <w:szCs w:val="18"/>
                          </w:rPr>
                        </w:pPr>
                        <w:r w:rsidRPr="000649D5">
                          <w:rPr>
                            <w:sz w:val="18"/>
                            <w:szCs w:val="18"/>
                          </w:rPr>
                          <w:t xml:space="preserve">healthcare OR “health care” OR hospital$ OR clinic$ OR “health </w:t>
                        </w:r>
                        <w:proofErr w:type="spellStart"/>
                        <w:r w:rsidRPr="000649D5">
                          <w:rPr>
                            <w:sz w:val="18"/>
                            <w:szCs w:val="18"/>
                          </w:rPr>
                          <w:t>facilit</w:t>
                        </w:r>
                        <w:proofErr w:type="spellEnd"/>
                        <w:r w:rsidRPr="000649D5">
                          <w:rPr>
                            <w:sz w:val="18"/>
                            <w:szCs w:val="18"/>
                          </w:rPr>
                          <w:t xml:space="preserve">*” OR “health center$” OR </w:t>
                        </w:r>
                        <w:proofErr w:type="spellStart"/>
                        <w:r w:rsidRPr="000649D5">
                          <w:rPr>
                            <w:sz w:val="18"/>
                            <w:szCs w:val="18"/>
                          </w:rPr>
                          <w:t>healthcenter</w:t>
                        </w:r>
                        <w:proofErr w:type="spellEnd"/>
                        <w:r w:rsidRPr="000649D5">
                          <w:rPr>
                            <w:sz w:val="18"/>
                            <w:szCs w:val="18"/>
                          </w:rPr>
                          <w:t xml:space="preserve">$ OR </w:t>
                        </w:r>
                        <w:proofErr w:type="spellStart"/>
                        <w:r w:rsidRPr="000649D5">
                          <w:rPr>
                            <w:sz w:val="18"/>
                            <w:szCs w:val="18"/>
                          </w:rPr>
                          <w:t>healthcentre</w:t>
                        </w:r>
                        <w:proofErr w:type="spellEnd"/>
                        <w:r w:rsidRPr="000649D5">
                          <w:rPr>
                            <w:sz w:val="18"/>
                            <w:szCs w:val="18"/>
                          </w:rPr>
                          <w:t xml:space="preserve">$ OR “health </w:t>
                        </w:r>
                        <w:proofErr w:type="spellStart"/>
                        <w:r w:rsidRPr="000649D5">
                          <w:rPr>
                            <w:sz w:val="18"/>
                            <w:szCs w:val="18"/>
                          </w:rPr>
                          <w:t>centre</w:t>
                        </w:r>
                        <w:proofErr w:type="spellEnd"/>
                        <w:r w:rsidRPr="000649D5">
                          <w:rPr>
                            <w:sz w:val="18"/>
                            <w:szCs w:val="18"/>
                          </w:rPr>
                          <w:t xml:space="preserve">$” OR “health post$” OR </w:t>
                        </w:r>
                        <w:proofErr w:type="spellStart"/>
                        <w:r w:rsidRPr="000649D5">
                          <w:rPr>
                            <w:sz w:val="18"/>
                            <w:szCs w:val="18"/>
                          </w:rPr>
                          <w:t>healthpost</w:t>
                        </w:r>
                        <w:proofErr w:type="spellEnd"/>
                        <w:r w:rsidRPr="000649D5">
                          <w:rPr>
                            <w:sz w:val="18"/>
                            <w:szCs w:val="18"/>
                          </w:rPr>
                          <w:t xml:space="preserve">$ OR “health setting*” OR “medical </w:t>
                        </w:r>
                        <w:proofErr w:type="spellStart"/>
                        <w:r w:rsidRPr="000649D5">
                          <w:rPr>
                            <w:sz w:val="18"/>
                            <w:szCs w:val="18"/>
                          </w:rPr>
                          <w:t>facilit</w:t>
                        </w:r>
                        <w:proofErr w:type="spellEnd"/>
                        <w:r w:rsidRPr="000649D5">
                          <w:rPr>
                            <w:sz w:val="18"/>
                            <w:szCs w:val="18"/>
                          </w:rPr>
                          <w:t xml:space="preserve">*” OR “medical center$” OR “medical </w:t>
                        </w:r>
                        <w:proofErr w:type="spellStart"/>
                        <w:r w:rsidRPr="000649D5">
                          <w:rPr>
                            <w:sz w:val="18"/>
                            <w:szCs w:val="18"/>
                          </w:rPr>
                          <w:t>centre</w:t>
                        </w:r>
                        <w:proofErr w:type="spellEnd"/>
                        <w:r w:rsidRPr="000649D5">
                          <w:rPr>
                            <w:sz w:val="18"/>
                            <w:szCs w:val="18"/>
                          </w:rPr>
                          <w:t xml:space="preserve">$” OR “medical post$” OR “medical setting*” OR “delivery </w:t>
                        </w:r>
                        <w:proofErr w:type="spellStart"/>
                        <w:r w:rsidRPr="000649D5">
                          <w:rPr>
                            <w:sz w:val="18"/>
                            <w:szCs w:val="18"/>
                          </w:rPr>
                          <w:t>facilit</w:t>
                        </w:r>
                        <w:proofErr w:type="spellEnd"/>
                        <w:r w:rsidRPr="000649D5">
                          <w:rPr>
                            <w:sz w:val="18"/>
                            <w:szCs w:val="18"/>
                          </w:rPr>
                          <w:t xml:space="preserve">*” OR “delivery center$” OR “delivery </w:t>
                        </w:r>
                        <w:proofErr w:type="spellStart"/>
                        <w:r w:rsidRPr="000649D5">
                          <w:rPr>
                            <w:sz w:val="18"/>
                            <w:szCs w:val="18"/>
                          </w:rPr>
                          <w:t>centre</w:t>
                        </w:r>
                        <w:proofErr w:type="spellEnd"/>
                        <w:r w:rsidRPr="000649D5">
                          <w:rPr>
                            <w:sz w:val="18"/>
                            <w:szCs w:val="18"/>
                          </w:rPr>
                          <w:t xml:space="preserve">$” OR “delivery clinic$” OR “birth </w:t>
                        </w:r>
                        <w:proofErr w:type="spellStart"/>
                        <w:r w:rsidRPr="000649D5">
                          <w:rPr>
                            <w:sz w:val="18"/>
                            <w:szCs w:val="18"/>
                          </w:rPr>
                          <w:t>facilit</w:t>
                        </w:r>
                        <w:proofErr w:type="spellEnd"/>
                        <w:r w:rsidRPr="000649D5">
                          <w:rPr>
                            <w:sz w:val="18"/>
                            <w:szCs w:val="18"/>
                          </w:rPr>
                          <w:t xml:space="preserve">*” OR “birth center$” OR “birth </w:t>
                        </w:r>
                        <w:proofErr w:type="spellStart"/>
                        <w:r w:rsidRPr="000649D5">
                          <w:rPr>
                            <w:sz w:val="18"/>
                            <w:szCs w:val="18"/>
                          </w:rPr>
                          <w:t>centre</w:t>
                        </w:r>
                        <w:proofErr w:type="spellEnd"/>
                        <w:r w:rsidRPr="000649D5">
                          <w:rPr>
                            <w:sz w:val="18"/>
                            <w:szCs w:val="18"/>
                          </w:rPr>
                          <w:t>$” OR “birth clinic$” OR “</w:t>
                        </w:r>
                        <w:proofErr w:type="spellStart"/>
                        <w:r w:rsidRPr="000649D5">
                          <w:rPr>
                            <w:sz w:val="18"/>
                            <w:szCs w:val="18"/>
                          </w:rPr>
                          <w:t>matern</w:t>
                        </w:r>
                        <w:proofErr w:type="spellEnd"/>
                        <w:r w:rsidRPr="000649D5">
                          <w:rPr>
                            <w:sz w:val="18"/>
                            <w:szCs w:val="18"/>
                          </w:rPr>
                          <w:t xml:space="preserve">* </w:t>
                        </w:r>
                        <w:proofErr w:type="spellStart"/>
                        <w:r w:rsidRPr="000649D5">
                          <w:rPr>
                            <w:sz w:val="18"/>
                            <w:szCs w:val="18"/>
                          </w:rPr>
                          <w:t>facilit</w:t>
                        </w:r>
                        <w:proofErr w:type="spellEnd"/>
                        <w:r w:rsidRPr="000649D5">
                          <w:rPr>
                            <w:sz w:val="18"/>
                            <w:szCs w:val="18"/>
                          </w:rPr>
                          <w:t>*” OR “</w:t>
                        </w:r>
                        <w:proofErr w:type="spellStart"/>
                        <w:r w:rsidRPr="000649D5">
                          <w:rPr>
                            <w:sz w:val="18"/>
                            <w:szCs w:val="18"/>
                          </w:rPr>
                          <w:t>matern</w:t>
                        </w:r>
                        <w:proofErr w:type="spellEnd"/>
                        <w:r w:rsidRPr="000649D5">
                          <w:rPr>
                            <w:sz w:val="18"/>
                            <w:szCs w:val="18"/>
                          </w:rPr>
                          <w:t>* center$” OR “</w:t>
                        </w:r>
                        <w:proofErr w:type="spellStart"/>
                        <w:r w:rsidRPr="000649D5">
                          <w:rPr>
                            <w:sz w:val="18"/>
                            <w:szCs w:val="18"/>
                          </w:rPr>
                          <w:t>matern</w:t>
                        </w:r>
                        <w:proofErr w:type="spellEnd"/>
                        <w:r w:rsidRPr="000649D5">
                          <w:rPr>
                            <w:sz w:val="18"/>
                            <w:szCs w:val="18"/>
                          </w:rPr>
                          <w:t xml:space="preserve">* </w:t>
                        </w:r>
                        <w:proofErr w:type="spellStart"/>
                        <w:r w:rsidRPr="000649D5">
                          <w:rPr>
                            <w:sz w:val="18"/>
                            <w:szCs w:val="18"/>
                          </w:rPr>
                          <w:t>centre</w:t>
                        </w:r>
                        <w:proofErr w:type="spellEnd"/>
                        <w:r w:rsidRPr="000649D5">
                          <w:rPr>
                            <w:sz w:val="18"/>
                            <w:szCs w:val="18"/>
                          </w:rPr>
                          <w:t>$” OR “</w:t>
                        </w:r>
                        <w:proofErr w:type="spellStart"/>
                        <w:r w:rsidRPr="000649D5">
                          <w:rPr>
                            <w:sz w:val="18"/>
                            <w:szCs w:val="18"/>
                          </w:rPr>
                          <w:t>matern</w:t>
                        </w:r>
                        <w:proofErr w:type="spellEnd"/>
                        <w:r w:rsidRPr="000649D5">
                          <w:rPr>
                            <w:sz w:val="18"/>
                            <w:szCs w:val="18"/>
                          </w:rPr>
                          <w:t xml:space="preserve">* clinic$” OR “dental </w:t>
                        </w:r>
                        <w:proofErr w:type="spellStart"/>
                        <w:r w:rsidRPr="000649D5">
                          <w:rPr>
                            <w:sz w:val="18"/>
                            <w:szCs w:val="18"/>
                          </w:rPr>
                          <w:t>facilit</w:t>
                        </w:r>
                        <w:proofErr w:type="spellEnd"/>
                        <w:r w:rsidRPr="000649D5">
                          <w:rPr>
                            <w:sz w:val="18"/>
                            <w:szCs w:val="18"/>
                          </w:rPr>
                          <w:t xml:space="preserve">*” OR “dental center$” OR “dental </w:t>
                        </w:r>
                        <w:proofErr w:type="spellStart"/>
                        <w:r w:rsidRPr="000649D5">
                          <w:rPr>
                            <w:sz w:val="18"/>
                            <w:szCs w:val="18"/>
                          </w:rPr>
                          <w:t>centre</w:t>
                        </w:r>
                        <w:proofErr w:type="spellEnd"/>
                        <w:r w:rsidRPr="000649D5">
                          <w:rPr>
                            <w:sz w:val="18"/>
                            <w:szCs w:val="18"/>
                          </w:rPr>
                          <w:t>$” OR “dental clinic$” OR dispensary OR dispensaries</w:t>
                        </w:r>
                      </w:p>
                      <w:p w14:paraId="6F7CAD1C" w14:textId="77777777" w:rsidR="00D153AD" w:rsidRPr="000649D5" w:rsidRDefault="00D153AD" w:rsidP="000649D5">
                        <w:pPr>
                          <w:spacing w:after="0"/>
                          <w:rPr>
                            <w:sz w:val="18"/>
                            <w:szCs w:val="18"/>
                          </w:rPr>
                        </w:pPr>
                      </w:p>
                      <w:p w14:paraId="1D09F6B2" w14:textId="77777777" w:rsidR="00D153AD" w:rsidRPr="000649D5" w:rsidRDefault="00D153AD" w:rsidP="000649D5">
                        <w:pPr>
                          <w:spacing w:after="0"/>
                          <w:rPr>
                            <w:b/>
                          </w:rPr>
                        </w:pPr>
                        <w:r w:rsidRPr="000649D5">
                          <w:rPr>
                            <w:b/>
                          </w:rPr>
                          <w:t>Costing</w:t>
                        </w:r>
                      </w:p>
                      <w:p w14:paraId="2249D751" w14:textId="5BB3AEA3" w:rsidR="00D153AD" w:rsidRPr="000649D5" w:rsidRDefault="00D153AD" w:rsidP="000649D5">
                        <w:pPr>
                          <w:spacing w:after="0"/>
                          <w:rPr>
                            <w:sz w:val="18"/>
                            <w:szCs w:val="18"/>
                          </w:rPr>
                        </w:pPr>
                        <w:r w:rsidRPr="000649D5">
                          <w:rPr>
                            <w:sz w:val="18"/>
                            <w:szCs w:val="18"/>
                          </w:rPr>
                          <w:t>Cost$ OR costing OR economic OR budget* OR Price$ OR pricing OR fee$ OR tariff$ OR loan$ OR subsidy OR subsidies OR finance$ OR financial OR financing OR fund$ OR funding OR pay OR payment$ OR investment$ OR investing OR capital OR money OR monies OR expense$</w:t>
                        </w:r>
                        <w:r w:rsidR="00312BD6">
                          <w:rPr>
                            <w:sz w:val="18"/>
                            <w:szCs w:val="18"/>
                          </w:rPr>
                          <w:t xml:space="preserve"> OR accounting</w:t>
                        </w:r>
                      </w:p>
                      <w:p w14:paraId="05D6114D" w14:textId="77777777" w:rsidR="00D153AD" w:rsidRPr="000649D5" w:rsidRDefault="00D153AD" w:rsidP="000649D5">
                        <w:pPr>
                          <w:spacing w:after="0"/>
                          <w:rPr>
                            <w:b/>
                            <w:sz w:val="18"/>
                            <w:szCs w:val="18"/>
                          </w:rPr>
                        </w:pPr>
                      </w:p>
                      <w:p w14:paraId="00626668" w14:textId="77777777" w:rsidR="00D153AD" w:rsidRPr="000649D5" w:rsidRDefault="00D153AD" w:rsidP="000649D5">
                        <w:pPr>
                          <w:spacing w:after="0"/>
                          <w:rPr>
                            <w:b/>
                          </w:rPr>
                        </w:pPr>
                        <w:r w:rsidRPr="000649D5">
                          <w:rPr>
                            <w:b/>
                          </w:rPr>
                          <w:t>Low- and middle-income countries</w:t>
                        </w:r>
                      </w:p>
                      <w:p w14:paraId="29F34B49" w14:textId="7497C845" w:rsidR="00D153AD" w:rsidRPr="000649D5" w:rsidRDefault="00D153AD" w:rsidP="000649D5">
                        <w:pPr>
                          <w:spacing w:after="0"/>
                          <w:rPr>
                            <w:sz w:val="18"/>
                            <w:szCs w:val="18"/>
                          </w:rPr>
                        </w:pPr>
                        <w:r w:rsidRPr="000649D5">
                          <w:rPr>
                            <w:sz w:val="18"/>
                            <w:szCs w:val="18"/>
                          </w:rPr>
                          <w:t xml:space="preserve">Afghanistan OR Algeria OR Angola OR Anguilla OR Antigua OR Barbuda OR Argentina OR Armenia OR Armenian OR Aruba OR Azerbaijan OR Bahamas OR Bahrain OR Bangladesh OR Barbados OR Benin OR </w:t>
                        </w:r>
                        <w:proofErr w:type="spellStart"/>
                        <w:r w:rsidRPr="000649D5">
                          <w:rPr>
                            <w:sz w:val="18"/>
                            <w:szCs w:val="18"/>
                          </w:rPr>
                          <w:t>Byelarus</w:t>
                        </w:r>
                        <w:proofErr w:type="spellEnd"/>
                        <w:r w:rsidRPr="000649D5">
                          <w:rPr>
                            <w:sz w:val="18"/>
                            <w:szCs w:val="18"/>
                          </w:rPr>
                          <w:t xml:space="preserve"> OR Byelorussian OR Belarus OR Belorussian OR Belorussia OR Belize OR Bhutan OR Bolivia OR Botswana OR Brazil OR Brunei OR “Burkina Faso” OR “Burkina </w:t>
                        </w:r>
                        <w:proofErr w:type="spellStart"/>
                        <w:r w:rsidRPr="000649D5">
                          <w:rPr>
                            <w:sz w:val="18"/>
                            <w:szCs w:val="18"/>
                          </w:rPr>
                          <w:t>Fasso</w:t>
                        </w:r>
                        <w:proofErr w:type="spellEnd"/>
                        <w:r w:rsidRPr="000649D5">
                          <w:rPr>
                            <w:sz w:val="18"/>
                            <w:szCs w:val="18"/>
                          </w:rPr>
                          <w:t xml:space="preserve">” OR “Upper Volta” OR Burundi OR </w:t>
                        </w:r>
                        <w:proofErr w:type="spellStart"/>
                        <w:r w:rsidRPr="000649D5">
                          <w:rPr>
                            <w:sz w:val="18"/>
                            <w:szCs w:val="18"/>
                          </w:rPr>
                          <w:t>Urundi</w:t>
                        </w:r>
                        <w:proofErr w:type="spellEnd"/>
                        <w:r w:rsidRPr="000649D5">
                          <w:rPr>
                            <w:sz w:val="18"/>
                            <w:szCs w:val="18"/>
                          </w:rPr>
                          <w:t xml:space="preserve"> OR Cambodia OR “Khmer Republic” OR Kampuchea OR Cameroon OR Cameroons OR Cameron OR </w:t>
                        </w:r>
                        <w:proofErr w:type="spellStart"/>
                        <w:r w:rsidRPr="000649D5">
                          <w:rPr>
                            <w:sz w:val="18"/>
                            <w:szCs w:val="18"/>
                          </w:rPr>
                          <w:t>Camerons</w:t>
                        </w:r>
                        <w:proofErr w:type="spellEnd"/>
                        <w:r w:rsidRPr="000649D5">
                          <w:rPr>
                            <w:sz w:val="18"/>
                            <w:szCs w:val="18"/>
                          </w:rPr>
                          <w:t xml:space="preserve"> OR “Cape Verde” OR “Cayman Islands” OR “Central African Republic” OR Chad OR Chile OR China OR Colombia OR Comoros OR “Comoro Islands” OR </w:t>
                        </w:r>
                        <w:proofErr w:type="spellStart"/>
                        <w:r w:rsidRPr="000649D5">
                          <w:rPr>
                            <w:sz w:val="18"/>
                            <w:szCs w:val="18"/>
                          </w:rPr>
                          <w:t>Comores</w:t>
                        </w:r>
                        <w:proofErr w:type="spellEnd"/>
                        <w:r w:rsidRPr="000649D5">
                          <w:rPr>
                            <w:sz w:val="18"/>
                            <w:szCs w:val="18"/>
                          </w:rPr>
                          <w:t xml:space="preserve"> OR Mayotte OR Congo OR Zaire OR “Cook Islands” OR “Costa Rica” OR “Cote d'Ivoire” OR “Ivory Coast” OR Croatia OR Cuba OR Cyprus OR Djibouti OR “French Somaliland” OR Dominica OR “Dominican Republic” OR “East Timor” OR “East Timur” OR “Timor </w:t>
                        </w:r>
                        <w:proofErr w:type="spellStart"/>
                        <w:r w:rsidRPr="000649D5">
                          <w:rPr>
                            <w:sz w:val="18"/>
                            <w:szCs w:val="18"/>
                          </w:rPr>
                          <w:t>Leste</w:t>
                        </w:r>
                        <w:proofErr w:type="spellEnd"/>
                        <w:r w:rsidRPr="000649D5">
                          <w:rPr>
                            <w:sz w:val="18"/>
                            <w:szCs w:val="18"/>
                          </w:rPr>
                          <w:t>” OR Ecuador OR Egypt OR “United Arab Republic” OR “El Salvador” OR Eritrea OR Ethiopia OR “Falkland Islands” OR “Las Malvinas” OR Fiji OR Gabon OR “Gabonese Republic” OR Gambia OR Gaza OR “Georgia Republic” OR “Georgian Republic” OR Ghana OR “Gold Coast” OR Greece OR Grenada OR Guatemala OR Guinea OR Guam OR Guadeloupe OR Guiana OR Guyana OR Haiti OR Honduras OR “Hong Kong” OR India OR Maldives OR Indonesia OR Iran OR Iraq OR Jamaica OR Jordan OR Kazakhstan OR Kazakh OR Kenya OR Kiribati OR Korea OR Kosovo OR Kuwait OR Kyrgyzstan OR Kirghizia OR “Kyrgyz Republic” OR Kirghiz OR Kirgizstan OR “Lao PDR” OR Laos OR Lebanon OR Lesotho OR Basutoland OR Liberia OR Libya OR Macau OR Madagascar OR “Malagasy Republic” OR Maldives OR Malaysia OR Malaya OR Malay OR Sabah OR Sarawak OR Malawi OR Nyasaland OR Mali OR Malta OR “Marshall Islands” OR Martinique OR Mauritania OR Mauritius OR “</w:t>
                        </w:r>
                        <w:proofErr w:type="spellStart"/>
                        <w:r w:rsidRPr="000649D5">
                          <w:rPr>
                            <w:sz w:val="18"/>
                            <w:szCs w:val="18"/>
                          </w:rPr>
                          <w:t>Agalega</w:t>
                        </w:r>
                        <w:proofErr w:type="spellEnd"/>
                        <w:r w:rsidRPr="000649D5">
                          <w:rPr>
                            <w:sz w:val="18"/>
                            <w:szCs w:val="18"/>
                          </w:rPr>
                          <w:t xml:space="preserve"> Islands” OR Mexico OR Micronesia OR “Middle East” OR Mongolia OR Montserrat OR Morocco OR Ifni OR Mozambique OR Myanmar OR </w:t>
                        </w:r>
                        <w:proofErr w:type="spellStart"/>
                        <w:r w:rsidRPr="000649D5">
                          <w:rPr>
                            <w:sz w:val="18"/>
                            <w:szCs w:val="18"/>
                          </w:rPr>
                          <w:t>Myanma</w:t>
                        </w:r>
                        <w:proofErr w:type="spellEnd"/>
                        <w:r w:rsidRPr="000649D5">
                          <w:rPr>
                            <w:sz w:val="18"/>
                            <w:szCs w:val="18"/>
                          </w:rPr>
                          <w:t xml:space="preserve"> OR Burma OR Namibia OR Nauru OR Nepal OR </w:t>
                        </w:r>
                        <w:proofErr w:type="spellStart"/>
                        <w:r w:rsidRPr="000649D5">
                          <w:rPr>
                            <w:sz w:val="18"/>
                            <w:szCs w:val="18"/>
                          </w:rPr>
                          <w:t>Niui</w:t>
                        </w:r>
                        <w:proofErr w:type="spellEnd"/>
                        <w:r w:rsidRPr="000649D5">
                          <w:rPr>
                            <w:sz w:val="18"/>
                            <w:szCs w:val="18"/>
                          </w:rPr>
                          <w:t xml:space="preserve"> OR “Netherlands Antilles” OR “New Caledonia” OR Nicaragua OR Niger OR Nigeria OR “Northern Mariana Islands” OR Oman OR Mayotte OR Muscat OR Pakistan OR Palau OR Palestine OR Panama OR Paraguay OR Peru OR Philippines OR </w:t>
                        </w:r>
                        <w:proofErr w:type="spellStart"/>
                        <w:r w:rsidRPr="000649D5">
                          <w:rPr>
                            <w:sz w:val="18"/>
                            <w:szCs w:val="18"/>
                          </w:rPr>
                          <w:t>Philipines</w:t>
                        </w:r>
                        <w:proofErr w:type="spellEnd"/>
                        <w:r w:rsidRPr="000649D5">
                          <w:rPr>
                            <w:sz w:val="18"/>
                            <w:szCs w:val="18"/>
                          </w:rPr>
                          <w:t xml:space="preserve"> OR </w:t>
                        </w:r>
                        <w:proofErr w:type="spellStart"/>
                        <w:r w:rsidRPr="000649D5">
                          <w:rPr>
                            <w:sz w:val="18"/>
                            <w:szCs w:val="18"/>
                          </w:rPr>
                          <w:t>Phillipines</w:t>
                        </w:r>
                        <w:proofErr w:type="spellEnd"/>
                        <w:r w:rsidRPr="000649D5">
                          <w:rPr>
                            <w:sz w:val="18"/>
                            <w:szCs w:val="18"/>
                          </w:rPr>
                          <w:t xml:space="preserve"> OR </w:t>
                        </w:r>
                        <w:proofErr w:type="spellStart"/>
                        <w:r w:rsidRPr="000649D5">
                          <w:rPr>
                            <w:sz w:val="18"/>
                            <w:szCs w:val="18"/>
                          </w:rPr>
                          <w:t>Phillippines</w:t>
                        </w:r>
                        <w:proofErr w:type="spellEnd"/>
                        <w:r w:rsidRPr="000649D5">
                          <w:rPr>
                            <w:sz w:val="18"/>
                            <w:szCs w:val="18"/>
                          </w:rPr>
                          <w:t xml:space="preserve"> OR Polynesia OR  “Puerto Rico” OR Qatar OR Reunion OR Rwanda OR Ruanda OR “Saint Kitts” OR “St Kitts” OR Nevis OR “Saint Lucia” OR “St Lucia” OR “Saint Vincent” OR “St Vincent” OR Grenadines OR Samoa OR “Samoan Islands” OR “Navigator Island” OR “Navigator Islands” OR “Sao Tome” OR “Saudi Arabia” OR Senegal OR Serbia OR Montenegro OR Seychelles OR “Sierra Leone” OR Singapore OR “Sri Lanka” OR Ceylon OR “Solomon Islands” OR Somalia OR “South Africa” OR Sudan OR Suriname OR Surinam OR Swaziland OR Syria OR Tajikistan OR Tadzhikistan OR </w:t>
                        </w:r>
                        <w:proofErr w:type="spellStart"/>
                        <w:r w:rsidRPr="000649D5">
                          <w:rPr>
                            <w:sz w:val="18"/>
                            <w:szCs w:val="18"/>
                          </w:rPr>
                          <w:t>Tadjikistan</w:t>
                        </w:r>
                        <w:proofErr w:type="spellEnd"/>
                        <w:r w:rsidRPr="000649D5">
                          <w:rPr>
                            <w:sz w:val="18"/>
                            <w:szCs w:val="18"/>
                          </w:rPr>
                          <w:t xml:space="preserve"> OR Tadzhik OR Tanzania OR Thailand OR Togo OR “Togolese Republic” OR Tokelau OR Tonga OR Trinidad OR Tobago OR Tunisia OR Turkey OR Turkmenistan OR Turkmen OR “Turks Caicos” OR “Turks and Caicos” OR Tuvalu OR Uganda OR “United Arab Emirates” OR Uruguay OR Uzbekistan OR Uzbek OR Vanuatu OR “New Hebrides” OR Venezuela OR Vietnam OR “Viet Nam” OR “Virgin Islands” OR “West Bank” OR Yemen OR Yugoslavia OR Zambia OR Zimbabwe</w:t>
                        </w:r>
                      </w:p>
                    </w:txbxContent>
                  </v:textbox>
                </v:shape>
                <w10:anchorlock/>
              </v:group>
            </w:pict>
          </mc:Fallback>
        </mc:AlternateContent>
      </w:r>
      <w:bookmarkEnd w:id="2"/>
    </w:p>
    <w:p w14:paraId="1C2A7437" w14:textId="77777777" w:rsidR="00AD2C7E" w:rsidRPr="000A18CF" w:rsidRDefault="00AD2C7E" w:rsidP="00031E87">
      <w:pPr>
        <w:pStyle w:val="Heading2"/>
      </w:pPr>
      <w:r w:rsidRPr="000A18CF">
        <w:t>Data extraction</w:t>
      </w:r>
    </w:p>
    <w:p w14:paraId="30648589" w14:textId="0C730EDA" w:rsidR="00031E87" w:rsidRPr="000A18CF" w:rsidRDefault="00031E87" w:rsidP="00031E87">
      <w:r w:rsidRPr="000A18CF">
        <w:t>For each unique study captured by our search, t</w:t>
      </w:r>
      <w:r w:rsidR="00AD2C7E" w:rsidRPr="000A18CF">
        <w:t xml:space="preserve">wo reviewers will independently screen titles and abstracts for eligibility. Subsequent full-text review will also be conducted by two independent reviewers. For eligible studies, data will be extracted </w:t>
      </w:r>
      <w:r w:rsidRPr="000A18CF">
        <w:t xml:space="preserve">by two independent reviewers using </w:t>
      </w:r>
      <w:r w:rsidR="000A18CF" w:rsidRPr="000A18CF">
        <w:t xml:space="preserve">Excel-based </w:t>
      </w:r>
      <w:r w:rsidRPr="000A18CF">
        <w:t>extraction form</w:t>
      </w:r>
      <w:r w:rsidR="008E1950">
        <w:t xml:space="preserve">. Pilot testing will entail application </w:t>
      </w:r>
      <w:r w:rsidR="008E1950">
        <w:lastRenderedPageBreak/>
        <w:t>of the form to three included studies by all reviewers, followed by comparison of extraction results to identify discrepancies in application or understanding of the form across reviewers. Extracted data will include:</w:t>
      </w:r>
      <w:r w:rsidRPr="000A18CF">
        <w:t xml:space="preserve"> facility type, location, and indicators of patient volume; service description and included costs; costing methodology; and main findings of cost calculations. </w:t>
      </w:r>
      <w:r w:rsidR="00435CAD">
        <w:t xml:space="preserve">Where EHS data are aggregated with other costs, we will contact authors to request disaggregated data. </w:t>
      </w:r>
      <w:r w:rsidR="00BC3885">
        <w:t>All differences in screening and extraction results will be resolved by discussion.</w:t>
      </w:r>
    </w:p>
    <w:p w14:paraId="0769BCD7" w14:textId="77777777" w:rsidR="00031E87" w:rsidRPr="000A18CF" w:rsidRDefault="00031E87" w:rsidP="00031E87">
      <w:pPr>
        <w:pStyle w:val="Heading2"/>
      </w:pPr>
      <w:r w:rsidRPr="000A18CF">
        <w:t>Data synthesis</w:t>
      </w:r>
    </w:p>
    <w:p w14:paraId="54172A79" w14:textId="290C2500" w:rsidR="00031E87" w:rsidRPr="000A18CF" w:rsidRDefault="00300F75" w:rsidP="00031E87">
      <w:r w:rsidRPr="000A18CF">
        <w:t xml:space="preserve">For studies that include multiple </w:t>
      </w:r>
      <w:r w:rsidR="0081027C" w:rsidRPr="000A18CF">
        <w:t>EHS</w:t>
      </w:r>
      <w:r w:rsidRPr="000A18CF">
        <w:t xml:space="preserve">, we will </w:t>
      </w:r>
      <w:r w:rsidR="0081027C" w:rsidRPr="000A18CF">
        <w:t>extract each service separately</w:t>
      </w:r>
      <w:r w:rsidRPr="000A18CF">
        <w:t xml:space="preserve">. </w:t>
      </w:r>
      <w:r w:rsidR="00967609" w:rsidRPr="000A18CF">
        <w:t xml:space="preserve"> </w:t>
      </w:r>
      <w:r w:rsidR="00031E87" w:rsidRPr="000A18CF">
        <w:t xml:space="preserve">Costs will be coded as capital hardware, capital software, capital maintenance, consumables, personnel, recurrent training, direct support, financing, and contracted services, adapting categories from tools to cost WASH in community settings </w:t>
      </w:r>
      <w:r w:rsidR="00031E87" w:rsidRPr="000A18CF">
        <w:fldChar w:fldCharType="begin"/>
      </w:r>
      <w:r w:rsidR="008E05DB" w:rsidRPr="000A18CF">
        <w:instrText xml:space="preserve"> ADDIN EN.CITE &lt;EndNote&gt;&lt;Cite&gt;&lt;Author&gt;Schwelltzer&lt;/Author&gt;&lt;Year&gt;2014&lt;/Year&gt;&lt;RecNum&gt;28992&lt;/RecNum&gt;&lt;DisplayText&gt;[18]&lt;/DisplayText&gt;&lt;record&gt;&lt;rec-number&gt;28992&lt;/rec-number&gt;&lt;foreign-keys&gt;&lt;key app="EN" db-id="09220x02kxvddhe0xz2x505xe5fzwpfpzpvd"&gt;28992&lt;/key&gt;&lt;/foreign-keys&gt;&lt;ref-type name="Online Multimedia"&gt;48&lt;/ref-type&gt;&lt;contributors&gt;&lt;authors&gt;&lt;author&gt;Schwelltzer, R.W.&lt;/author&gt;&lt;author&gt;Grayson, C.&lt;/author&gt;&lt;author&gt;Lockwood, H.&lt;/author&gt;&lt;/authors&gt;&lt;/contributors&gt;&lt;titles&gt;&lt;title&gt;WASHCost Tool&lt;/title&gt;&lt;/titles&gt;&lt;dates&gt;&lt;year&gt;2014&lt;/year&gt;&lt;/dates&gt;&lt;urls&gt;&lt;related-urls&gt;&lt;url&gt;https://www.ircwash.org/resources/washcost-tool&lt;/url&gt;&lt;/related-urls&gt;&lt;/urls&gt;&lt;/record&gt;&lt;/Cite&gt;&lt;/EndNote&gt;</w:instrText>
      </w:r>
      <w:r w:rsidR="00031E87" w:rsidRPr="000A18CF">
        <w:fldChar w:fldCharType="separate"/>
      </w:r>
      <w:r w:rsidR="008E05DB" w:rsidRPr="000A18CF">
        <w:rPr>
          <w:noProof/>
        </w:rPr>
        <w:t>[18]</w:t>
      </w:r>
      <w:r w:rsidR="00031E87" w:rsidRPr="000A18CF">
        <w:fldChar w:fldCharType="end"/>
      </w:r>
      <w:r w:rsidR="00031E87" w:rsidRPr="000A18CF">
        <w:t>. Definitions for each category are provided in Table 1.</w:t>
      </w:r>
    </w:p>
    <w:p w14:paraId="61E64BD7" w14:textId="2F031718" w:rsidR="00967609" w:rsidRPr="000A18CF" w:rsidRDefault="00967609" w:rsidP="003C70D4">
      <w:r w:rsidRPr="000A18CF">
        <w:t xml:space="preserve">All costs will be </w:t>
      </w:r>
      <w:r w:rsidR="00857FFA">
        <w:t xml:space="preserve">first </w:t>
      </w:r>
      <w:r w:rsidRPr="000A18CF">
        <w:t xml:space="preserve">converted into United States dollars </w:t>
      </w:r>
      <w:r w:rsidR="003C70D4" w:rsidRPr="000A18CF">
        <w:t xml:space="preserve">using an online currency converter </w:t>
      </w:r>
      <w:r w:rsidRPr="000A18CF">
        <w:t>(</w:t>
      </w:r>
      <w:hyperlink r:id="rId9" w:history="1">
        <w:r w:rsidRPr="000A18CF">
          <w:rPr>
            <w:rStyle w:val="Hyperlink"/>
          </w:rPr>
          <w:t>https://www.oanda.com/us-en/</w:t>
        </w:r>
      </w:hyperlink>
      <w:r w:rsidRPr="000A18CF">
        <w:t xml:space="preserve">) </w:t>
      </w:r>
      <w:r w:rsidR="00857FFA">
        <w:t xml:space="preserve">based on the historical foreign exchange rate at the date of data collection, </w:t>
      </w:r>
      <w:r w:rsidRPr="000A18CF">
        <w:t xml:space="preserve">and </w:t>
      </w:r>
      <w:r w:rsidR="00857FFA">
        <w:t xml:space="preserve">then </w:t>
      </w:r>
      <w:r w:rsidRPr="000A18CF">
        <w:t>adjusted for inflation to a fixed date following completion of extraction</w:t>
      </w:r>
      <w:r w:rsidR="003C70D4" w:rsidRPr="000A18CF">
        <w:t xml:space="preserve"> using a consumer price inflation calculator (</w:t>
      </w:r>
      <w:hyperlink r:id="rId10" w:history="1">
        <w:r w:rsidR="00892FAF">
          <w:rPr>
            <w:rStyle w:val="Hyperlink"/>
          </w:rPr>
          <w:t>https://www.bls.gov/data/inflation_calculator.htm</w:t>
        </w:r>
      </w:hyperlink>
      <w:bookmarkStart w:id="3" w:name="_GoBack"/>
      <w:bookmarkEnd w:id="3"/>
      <w:r w:rsidR="003C70D4" w:rsidRPr="000A18CF">
        <w:t>)</w:t>
      </w:r>
      <w:r w:rsidRPr="000A18CF">
        <w:t xml:space="preserve">. We </w:t>
      </w:r>
      <w:r w:rsidR="003C70D4" w:rsidRPr="000A18CF">
        <w:t>will use</w:t>
      </w:r>
      <w:r w:rsidRPr="000A18CF">
        <w:t xml:space="preserve"> the conversion rate for the median date of the data coverage period. For studies reporting years only, we </w:t>
      </w:r>
      <w:r w:rsidR="003C70D4" w:rsidRPr="000A18CF">
        <w:t>will use</w:t>
      </w:r>
      <w:r w:rsidRPr="000A18CF">
        <w:t xml:space="preserve"> January 1. For studies reporting no dates of data coverage, we </w:t>
      </w:r>
      <w:r w:rsidR="003C70D4" w:rsidRPr="000A18CF">
        <w:t>will use</w:t>
      </w:r>
      <w:r w:rsidRPr="000A18CF">
        <w:t xml:space="preserve"> the publication date. Where costs data are reported in multiple currencies, we will preferentially extract data in US dollars, where available.</w:t>
      </w:r>
    </w:p>
    <w:p w14:paraId="02D86E1E" w14:textId="49D31F1E" w:rsidR="00967609" w:rsidRPr="000A18CF" w:rsidRDefault="00967609" w:rsidP="003C70D4">
      <w:r w:rsidRPr="000A18CF">
        <w:t xml:space="preserve">Due to high expected heterogeneity in technologies and approaches used for </w:t>
      </w:r>
      <w:r w:rsidR="0081027C" w:rsidRPr="000A18CF">
        <w:t xml:space="preserve">EHS </w:t>
      </w:r>
      <w:r w:rsidRPr="000A18CF">
        <w:t>provision, costing methodologies, and specific cost components included, we do not anticipate that a meta-analysis will be feasible or appropriate for reporting cost data.</w:t>
      </w:r>
    </w:p>
    <w:p w14:paraId="66CC4E2C" w14:textId="77777777" w:rsidR="00031E87" w:rsidRPr="000A18CF" w:rsidRDefault="00031E87" w:rsidP="00031E87">
      <w:pPr>
        <w:pStyle w:val="Caption"/>
        <w:keepNext/>
        <w:spacing w:after="0"/>
      </w:pPr>
      <w:r w:rsidRPr="000A18CF">
        <w:t xml:space="preserve">Table </w:t>
      </w:r>
      <w:r w:rsidRPr="000A18CF">
        <w:rPr>
          <w:noProof/>
        </w:rPr>
        <w:fldChar w:fldCharType="begin"/>
      </w:r>
      <w:r w:rsidRPr="000A18CF">
        <w:rPr>
          <w:noProof/>
        </w:rPr>
        <w:instrText xml:space="preserve"> SEQ Table \* ARABIC </w:instrText>
      </w:r>
      <w:r w:rsidRPr="000A18CF">
        <w:rPr>
          <w:noProof/>
        </w:rPr>
        <w:fldChar w:fldCharType="separate"/>
      </w:r>
      <w:r w:rsidRPr="000A18CF">
        <w:rPr>
          <w:noProof/>
        </w:rPr>
        <w:t>1</w:t>
      </w:r>
      <w:r w:rsidRPr="000A18CF">
        <w:rPr>
          <w:noProof/>
        </w:rPr>
        <w:fldChar w:fldCharType="end"/>
      </w:r>
      <w:r w:rsidRPr="000A18CF">
        <w:t>.  Definitions of expenses included under costs categories</w:t>
      </w:r>
    </w:p>
    <w:tbl>
      <w:tblPr>
        <w:tblStyle w:val="TableGrid"/>
        <w:tblW w:w="0" w:type="auto"/>
        <w:tblLook w:val="04A0" w:firstRow="1" w:lastRow="0" w:firstColumn="1" w:lastColumn="0" w:noHBand="0" w:noVBand="1"/>
      </w:tblPr>
      <w:tblGrid>
        <w:gridCol w:w="2245"/>
        <w:gridCol w:w="7105"/>
      </w:tblGrid>
      <w:tr w:rsidR="00A67ADE" w:rsidRPr="000A18CF" w14:paraId="3D6C75C4" w14:textId="77777777" w:rsidTr="00D153AD">
        <w:tc>
          <w:tcPr>
            <w:tcW w:w="2245" w:type="dxa"/>
          </w:tcPr>
          <w:p w14:paraId="46DFE469" w14:textId="750D0532" w:rsidR="00A67ADE" w:rsidRPr="000A18CF" w:rsidRDefault="00A67ADE" w:rsidP="00A67ADE">
            <w:pPr>
              <w:rPr>
                <w:b/>
              </w:rPr>
            </w:pPr>
            <w:bookmarkStart w:id="4" w:name="_Hlk1299760"/>
            <w:r w:rsidRPr="00184692">
              <w:rPr>
                <w:b/>
              </w:rPr>
              <w:t>Cost category</w:t>
            </w:r>
          </w:p>
        </w:tc>
        <w:tc>
          <w:tcPr>
            <w:tcW w:w="7105" w:type="dxa"/>
          </w:tcPr>
          <w:p w14:paraId="164A5A07" w14:textId="0F8D34EC" w:rsidR="00A67ADE" w:rsidRPr="000A18CF" w:rsidRDefault="00A67ADE" w:rsidP="00A67ADE">
            <w:pPr>
              <w:rPr>
                <w:b/>
              </w:rPr>
            </w:pPr>
            <w:r w:rsidRPr="00184692">
              <w:rPr>
                <w:b/>
              </w:rPr>
              <w:t>Definition</w:t>
            </w:r>
          </w:p>
        </w:tc>
      </w:tr>
      <w:tr w:rsidR="00A67ADE" w:rsidRPr="000A18CF" w14:paraId="1D6607D7" w14:textId="77777777" w:rsidTr="00D153AD">
        <w:tc>
          <w:tcPr>
            <w:tcW w:w="2245" w:type="dxa"/>
          </w:tcPr>
          <w:p w14:paraId="04EEB507" w14:textId="3733E89F" w:rsidR="00A67ADE" w:rsidRPr="000A18CF" w:rsidRDefault="00A67ADE" w:rsidP="00A67ADE">
            <w:r w:rsidRPr="00184692">
              <w:t>Capital hardware</w:t>
            </w:r>
          </w:p>
        </w:tc>
        <w:tc>
          <w:tcPr>
            <w:tcW w:w="7105" w:type="dxa"/>
          </w:tcPr>
          <w:p w14:paraId="54A37255" w14:textId="5D700004" w:rsidR="00A67ADE" w:rsidRPr="000A18CF" w:rsidRDefault="00A67ADE" w:rsidP="00A67ADE">
            <w:r w:rsidRPr="00184692">
              <w:t>Infrastructure or equipment purchases required to establish services or implement changes to service delivery method, which are not consumed during normal service operation</w:t>
            </w:r>
          </w:p>
        </w:tc>
      </w:tr>
      <w:tr w:rsidR="00A67ADE" w:rsidRPr="000A18CF" w14:paraId="0AB4C276" w14:textId="77777777" w:rsidTr="00D153AD">
        <w:trPr>
          <w:trHeight w:val="116"/>
        </w:trPr>
        <w:tc>
          <w:tcPr>
            <w:tcW w:w="2245" w:type="dxa"/>
          </w:tcPr>
          <w:p w14:paraId="6E47783A" w14:textId="2CBD74A4" w:rsidR="00A67ADE" w:rsidRPr="000A18CF" w:rsidRDefault="00A67ADE" w:rsidP="00A67ADE">
            <w:r w:rsidRPr="00184692">
              <w:t>Capital maintenance</w:t>
            </w:r>
          </w:p>
        </w:tc>
        <w:tc>
          <w:tcPr>
            <w:tcW w:w="7105" w:type="dxa"/>
          </w:tcPr>
          <w:p w14:paraId="46DC40F5" w14:textId="7B309396" w:rsidR="00A67ADE" w:rsidRPr="000A18CF" w:rsidRDefault="00A67ADE" w:rsidP="00A67ADE">
            <w:pPr>
              <w:spacing w:line="259" w:lineRule="auto"/>
            </w:pPr>
            <w:r w:rsidRPr="00184692">
              <w:t>Expenses required to repair, rehabilitate, or otherwise maintain functionality of capital hardware, including labor costs required for these purposes</w:t>
            </w:r>
          </w:p>
        </w:tc>
      </w:tr>
      <w:tr w:rsidR="00A67ADE" w:rsidRPr="000A18CF" w14:paraId="17A9E8E4" w14:textId="77777777" w:rsidTr="00D153AD">
        <w:trPr>
          <w:trHeight w:val="494"/>
        </w:trPr>
        <w:tc>
          <w:tcPr>
            <w:tcW w:w="2245" w:type="dxa"/>
          </w:tcPr>
          <w:p w14:paraId="5394D8F8" w14:textId="119AE3CC" w:rsidR="00A67ADE" w:rsidRPr="000A18CF" w:rsidRDefault="00A67ADE" w:rsidP="00A67ADE">
            <w:r w:rsidRPr="00184692">
              <w:t>Capital software</w:t>
            </w:r>
          </w:p>
        </w:tc>
        <w:tc>
          <w:tcPr>
            <w:tcW w:w="7105" w:type="dxa"/>
          </w:tcPr>
          <w:p w14:paraId="10549377" w14:textId="7E21B7C9" w:rsidR="00A67ADE" w:rsidRPr="000A18CF" w:rsidRDefault="00A67ADE" w:rsidP="00A67ADE">
            <w:pPr>
              <w:spacing w:line="259" w:lineRule="auto"/>
            </w:pPr>
            <w:r w:rsidRPr="00184692">
              <w:t>Planning, procurement, and initial training costs associated with establishing new services or implementing changes to service delivery method</w:t>
            </w:r>
          </w:p>
        </w:tc>
      </w:tr>
      <w:tr w:rsidR="00A67ADE" w:rsidRPr="000A18CF" w14:paraId="71D2CFD5" w14:textId="77777777" w:rsidTr="00D153AD">
        <w:tc>
          <w:tcPr>
            <w:tcW w:w="2245" w:type="dxa"/>
          </w:tcPr>
          <w:p w14:paraId="6C583031" w14:textId="6E94A070" w:rsidR="00A67ADE" w:rsidRPr="000A18CF" w:rsidRDefault="00A67ADE" w:rsidP="00A67ADE">
            <w:r w:rsidRPr="00184692">
              <w:t>Recurrent training</w:t>
            </w:r>
          </w:p>
        </w:tc>
        <w:tc>
          <w:tcPr>
            <w:tcW w:w="7105" w:type="dxa"/>
          </w:tcPr>
          <w:p w14:paraId="0E3DBEF1" w14:textId="56DBE3CB" w:rsidR="00A67ADE" w:rsidRPr="000A18CF" w:rsidRDefault="00A67ADE" w:rsidP="00A67ADE">
            <w:r w:rsidRPr="00184692">
              <w:t>Training required to ensure proper ongoing service provision regardless of changes to service delivery</w:t>
            </w:r>
          </w:p>
        </w:tc>
      </w:tr>
      <w:tr w:rsidR="00A67ADE" w:rsidRPr="000A18CF" w14:paraId="19759304" w14:textId="77777777" w:rsidTr="00D153AD">
        <w:tc>
          <w:tcPr>
            <w:tcW w:w="2245" w:type="dxa"/>
          </w:tcPr>
          <w:p w14:paraId="3F7C05A1" w14:textId="4CBECD5E" w:rsidR="00A67ADE" w:rsidRPr="000A18CF" w:rsidRDefault="00A67ADE" w:rsidP="00A67ADE">
            <w:r w:rsidRPr="00184692">
              <w:t>Consumables</w:t>
            </w:r>
          </w:p>
        </w:tc>
        <w:tc>
          <w:tcPr>
            <w:tcW w:w="7105" w:type="dxa"/>
          </w:tcPr>
          <w:p w14:paraId="13F0D705" w14:textId="4ED97B32" w:rsidR="00A67ADE" w:rsidRPr="000A18CF" w:rsidRDefault="00A67ADE" w:rsidP="00A67ADE">
            <w:r w:rsidRPr="00184692">
              <w:t>Products and supplies that are consumed during normal operation</w:t>
            </w:r>
          </w:p>
        </w:tc>
      </w:tr>
      <w:tr w:rsidR="00A67ADE" w:rsidRPr="000A18CF" w14:paraId="483C57D7" w14:textId="77777777" w:rsidTr="00D153AD">
        <w:tc>
          <w:tcPr>
            <w:tcW w:w="2245" w:type="dxa"/>
          </w:tcPr>
          <w:p w14:paraId="4E95BCC5" w14:textId="08580429" w:rsidR="00A67ADE" w:rsidRPr="000A18CF" w:rsidRDefault="00A67ADE" w:rsidP="00A67ADE">
            <w:r w:rsidRPr="00184692">
              <w:t>Personnel</w:t>
            </w:r>
          </w:p>
        </w:tc>
        <w:tc>
          <w:tcPr>
            <w:tcW w:w="7105" w:type="dxa"/>
          </w:tcPr>
          <w:p w14:paraId="6177B3DF" w14:textId="33A447F3" w:rsidR="00A67ADE" w:rsidRPr="000A18CF" w:rsidRDefault="00A67ADE" w:rsidP="00A67ADE">
            <w:r w:rsidRPr="00184692">
              <w:t>Labor costs associated with normal operation of a service, including staff benefits</w:t>
            </w:r>
          </w:p>
        </w:tc>
      </w:tr>
      <w:tr w:rsidR="00A67ADE" w:rsidRPr="000A18CF" w14:paraId="26FD274D" w14:textId="77777777" w:rsidTr="00D153AD">
        <w:tc>
          <w:tcPr>
            <w:tcW w:w="2245" w:type="dxa"/>
          </w:tcPr>
          <w:p w14:paraId="4E02A72D" w14:textId="406911D0" w:rsidR="00A67ADE" w:rsidRPr="000A18CF" w:rsidRDefault="00A67ADE" w:rsidP="00A67ADE">
            <w:r w:rsidRPr="00184692">
              <w:t>Direct support</w:t>
            </w:r>
          </w:p>
        </w:tc>
        <w:tc>
          <w:tcPr>
            <w:tcW w:w="7105" w:type="dxa"/>
          </w:tcPr>
          <w:p w14:paraId="56D43B8B" w14:textId="19DD3EEB" w:rsidR="00A67ADE" w:rsidRPr="000A18CF" w:rsidRDefault="00A67ADE" w:rsidP="00A67ADE">
            <w:r w:rsidRPr="00184692">
              <w:t>Expenses required to supervise and monitor service provision to ensure safety and sustainability that support but do not have direct service outputs, such as auditing or developing management plans</w:t>
            </w:r>
          </w:p>
        </w:tc>
      </w:tr>
      <w:tr w:rsidR="00A67ADE" w:rsidRPr="000A18CF" w14:paraId="4491A93F" w14:textId="77777777" w:rsidTr="00D153AD">
        <w:tc>
          <w:tcPr>
            <w:tcW w:w="2245" w:type="dxa"/>
          </w:tcPr>
          <w:p w14:paraId="58D98CB6" w14:textId="57C3757E" w:rsidR="00A67ADE" w:rsidRPr="000A18CF" w:rsidRDefault="00A67ADE" w:rsidP="00A67ADE">
            <w:r w:rsidRPr="00184692">
              <w:t>Financing</w:t>
            </w:r>
          </w:p>
        </w:tc>
        <w:tc>
          <w:tcPr>
            <w:tcW w:w="7105" w:type="dxa"/>
          </w:tcPr>
          <w:p w14:paraId="2CF816DB" w14:textId="007F3E7D" w:rsidR="00A67ADE" w:rsidRPr="000A18CF" w:rsidRDefault="00A67ADE" w:rsidP="00A67ADE">
            <w:r w:rsidRPr="00184692">
              <w:t>Loan interest and other fees associated with service financing</w:t>
            </w:r>
          </w:p>
        </w:tc>
      </w:tr>
      <w:tr w:rsidR="00A67ADE" w:rsidRPr="000A18CF" w14:paraId="59D69A2F" w14:textId="77777777" w:rsidTr="00D153AD">
        <w:tc>
          <w:tcPr>
            <w:tcW w:w="2245" w:type="dxa"/>
          </w:tcPr>
          <w:p w14:paraId="2316BFFD" w14:textId="2C8D017A" w:rsidR="00A67ADE" w:rsidRPr="000A18CF" w:rsidRDefault="00A67ADE" w:rsidP="00A67ADE">
            <w:r w:rsidRPr="00184692">
              <w:t>Contracted services</w:t>
            </w:r>
          </w:p>
        </w:tc>
        <w:tc>
          <w:tcPr>
            <w:tcW w:w="7105" w:type="dxa"/>
          </w:tcPr>
          <w:p w14:paraId="3AD0082E" w14:textId="387E6469" w:rsidR="00A67ADE" w:rsidRPr="000A18CF" w:rsidRDefault="00A67ADE" w:rsidP="00A67ADE">
            <w:r w:rsidRPr="00184692">
              <w:t>Fees paid to external providers to perform all or part of normal service operation, including multiple other cost categories, where expenses cannot be accurately disaggregated into categories above; where fees fall solely within another cost category described above, expenses should be included therein</w:t>
            </w:r>
          </w:p>
        </w:tc>
      </w:tr>
      <w:bookmarkEnd w:id="4"/>
    </w:tbl>
    <w:p w14:paraId="6875F2E1" w14:textId="77777777" w:rsidR="00AD2C7E" w:rsidRPr="000A18CF" w:rsidRDefault="00AD2C7E" w:rsidP="00AD2C7E">
      <w:pPr>
        <w:spacing w:after="0"/>
        <w:rPr>
          <w:b/>
        </w:rPr>
      </w:pPr>
    </w:p>
    <w:p w14:paraId="0FF388FE" w14:textId="77777777" w:rsidR="00AD2C7E" w:rsidRPr="000A18CF" w:rsidRDefault="00AD2C7E" w:rsidP="00AD2C7E">
      <w:pPr>
        <w:pStyle w:val="Heading1"/>
      </w:pPr>
      <w:r w:rsidRPr="000A18CF">
        <w:t>Assessing study quality</w:t>
      </w:r>
    </w:p>
    <w:p w14:paraId="0CDB374B" w14:textId="3A0BA51A" w:rsidR="00AD2C7E" w:rsidRPr="000A18CF" w:rsidRDefault="00D40CA8" w:rsidP="00AD2C7E">
      <w:r w:rsidRPr="000A18CF">
        <w:t xml:space="preserve">We will assess study quality using a tool that we developed informed by guidelines for reporting healthcare economic studies </w:t>
      </w:r>
      <w:r w:rsidRPr="000A18CF">
        <w:fldChar w:fldCharType="begin">
          <w:fldData xml:space="preserve">PEVuZE5vdGU+PENpdGU+PEF1dGhvcj5XYWxrZXI8L0F1dGhvcj48WWVhcj4yMDEyPC9ZZWFyPjxS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</w:fldData>
        </w:fldChar>
      </w:r>
      <w:r w:rsidR="008E05DB" w:rsidRPr="000A18CF">
        <w:instrText xml:space="preserve"> ADDIN EN.CITE </w:instrText>
      </w:r>
      <w:r w:rsidR="008E05DB" w:rsidRPr="000A18CF">
        <w:fldChar w:fldCharType="begin">
          <w:fldData xml:space="preserve">PEVuZE5vdGU+PENpdGU+PEF1dGhvcj5XYWxrZXI8L0F1dGhvcj48WWVhcj4yMDEyPC9ZZWFyPjxS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</w:fldData>
        </w:fldChar>
      </w:r>
      <w:r w:rsidR="008E05DB" w:rsidRPr="000A18CF">
        <w:instrText xml:space="preserve"> ADDIN EN.CITE.DATA </w:instrText>
      </w:r>
      <w:r w:rsidR="008E05DB" w:rsidRPr="000A18CF">
        <w:fldChar w:fldCharType="end"/>
      </w:r>
      <w:r w:rsidRPr="000A18CF">
        <w:fldChar w:fldCharType="separate"/>
      </w:r>
      <w:r w:rsidR="008E05DB" w:rsidRPr="000A18CF">
        <w:rPr>
          <w:noProof/>
        </w:rPr>
        <w:t>[19-21]</w:t>
      </w:r>
      <w:r w:rsidRPr="000A18CF">
        <w:fldChar w:fldCharType="end"/>
      </w:r>
      <w:r w:rsidRPr="000A18CF">
        <w:t xml:space="preserve">. Studies will </w:t>
      </w:r>
      <w:r w:rsidR="006C7569">
        <w:t xml:space="preserve">be </w:t>
      </w:r>
      <w:r w:rsidRPr="000A18CF">
        <w:t xml:space="preserve">independently rated by two reviewers as high (+1 point), moderate (+0.5 points), or low (0 points) quality for 12 items related to context reporting (costing objective, facility description, service quantity </w:t>
      </w:r>
      <w:r w:rsidRPr="000A18CF">
        <w:lastRenderedPageBreak/>
        <w:t>indicators, service quality indicators), costing reporting (units reporting, line item reporting, analysis reporting), and costing methodology (framework use, data sources, coverage duration, and cost category coverage). Where reviewers disagree, disputes will be resolved by discussion. Each EHS described by a study will be scored separately. The scoring tool is included in Appendix A.</w:t>
      </w:r>
    </w:p>
    <w:p w14:paraId="5CA719F7" w14:textId="4DF9B000" w:rsidR="00162FDC" w:rsidRPr="000A18CF" w:rsidRDefault="00162FDC" w:rsidP="000A18CF">
      <w:pPr>
        <w:pStyle w:val="Heading1"/>
      </w:pPr>
      <w:r w:rsidRPr="000A18CF">
        <w:t>Acknowledgements</w:t>
      </w:r>
    </w:p>
    <w:p w14:paraId="2D847DBF" w14:textId="151F3E99" w:rsidR="000A18CF" w:rsidRPr="000A18CF" w:rsidRDefault="000A18CF" w:rsidP="000A18CF">
      <w:r w:rsidRPr="000A18CF">
        <w:t>This work is supported by a grant from the Wallace Genetic Foundation. DA is supported by the</w:t>
      </w:r>
      <w:r w:rsidR="000E297A">
        <w:t xml:space="preserve"> Royster Society of Fellows at the</w:t>
      </w:r>
      <w:r w:rsidRPr="000A18CF">
        <w:t xml:space="preserve"> University of North Carolina at Chapel Hill. The authors declare no conflicts of interest.</w:t>
      </w:r>
    </w:p>
    <w:p w14:paraId="50E4E281" w14:textId="39A296EB" w:rsidR="00AD2C7E" w:rsidRPr="000A18CF" w:rsidRDefault="00AD2C7E" w:rsidP="003C70D4">
      <w:pPr>
        <w:pStyle w:val="Heading1"/>
      </w:pPr>
      <w:r w:rsidRPr="000A18CF">
        <w:t>References</w:t>
      </w:r>
    </w:p>
    <w:p w14:paraId="77D259C8" w14:textId="77777777" w:rsidR="00AD2C7E" w:rsidRPr="000A18CF" w:rsidRDefault="00AD2C7E" w:rsidP="00AD2C7E">
      <w:pPr>
        <w:spacing w:after="0"/>
        <w:ind w:left="360" w:hanging="360"/>
        <w:rPr>
          <w:b/>
        </w:rPr>
      </w:pPr>
    </w:p>
    <w:p w14:paraId="4309DC4C" w14:textId="77777777" w:rsidR="008E05DB" w:rsidRPr="000A18CF" w:rsidRDefault="00AD2C7E"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fldChar w:fldCharType="begin"/>
      </w:r>
      <w:r w:rsidRPr="000A18CF">
        <w:rPr>
          <w:rFonts w:ascii="Times New Roman" w:hAnsi="Times New Roman" w:cs="Times New Roman"/>
        </w:rPr>
        <w:instrText xml:space="preserve"> ADDIN EN.REFLIST </w:instrText>
      </w:r>
      <w:r w:rsidRPr="000A18CF">
        <w:rPr>
          <w:rFonts w:ascii="Times New Roman" w:hAnsi="Times New Roman" w:cs="Times New Roman"/>
        </w:rPr>
        <w:fldChar w:fldCharType="separate"/>
      </w:r>
      <w:r w:rsidR="008E05DB" w:rsidRPr="000A18CF">
        <w:rPr>
          <w:rFonts w:ascii="Times New Roman" w:hAnsi="Times New Roman" w:cs="Times New Roman"/>
        </w:rPr>
        <w:t>1. Allegranzi B, Bagheri Nejad S, Combescure C, Graafmans W, Attar H, et al. (2011) Burden of endemic health-care-associated infection in developing countries: systematic review and meta-analysis. Lancet 377: 228-241.</w:t>
      </w:r>
    </w:p>
    <w:p w14:paraId="69E7DEB2"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2. Bagheri Nejad S, Allegranzi B, Syed SB, Ellis B, Pittet D (2011) Health-care-associated infection in Africa: a systematic review. Bull World Health Organ 89: 757-765.</w:t>
      </w:r>
    </w:p>
    <w:p w14:paraId="151E22BB"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3. Klevens RM, Edwards JR, Richards CL, Jr., Horan TC, Gaynes RP, et al. (2007) Estimating health care-associated infections and deaths in U.S. hospitals, 2002. Public health reports (Washington, DC : 1974) 122: 160-166.</w:t>
      </w:r>
    </w:p>
    <w:p w14:paraId="3998ACDB"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4. Weinstein RA (1991) Epidemiology and control of nosocomial infections in adult intensive care units. The American journal of medicine 91: S179-S184.</w:t>
      </w:r>
    </w:p>
    <w:p w14:paraId="32CE5B71"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5. Pittet D, Allegranzi B, Storr J, Donaldson L (2006) ‘Clean Care is Safer Care’: the Global Patient Safety Challenge 2005–2006. International Journal of Infectious Diseases 10: 419-424.</w:t>
      </w:r>
    </w:p>
    <w:p w14:paraId="4B8DE542"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6. Ducel G, Fabry J, Nicolle L (2002) Prevention of hospital-acquired infections. Geneva: World Health Organization.</w:t>
      </w:r>
    </w:p>
    <w:p w14:paraId="2C212704"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7. Bouzid M, Cumming O, Hunter PR (2018) What is the impact of water sanitation and hygiene in healthcare facilities on care seeking behaviour and patient satisfaction? A systematic review of the evidence from low-income and middle-income countries. BMJ Glob Health 3: e000648.</w:t>
      </w:r>
    </w:p>
    <w:p w14:paraId="2441B30E"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8. United Nations General Assembly (2015) Transforming our World: the 2030 Agenda for Sutstainable Development. New York, New York: United Nations.</w:t>
      </w:r>
    </w:p>
    <w:p w14:paraId="6383B1F3"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9. D'Mello-Guyett L, Cumming O (2016) Water, sanitation and hygiene in health care facilities: global strategy, burden of disease, and evidence and action priorities. London.</w:t>
      </w:r>
    </w:p>
    <w:p w14:paraId="589BEB79"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10. WHO/UNICEF (2016) Expert Group Meeting on Monitoring WASH in Health Care Facilities in the Sustainable Development Goals. Geneva.</w:t>
      </w:r>
    </w:p>
    <w:p w14:paraId="162E0C87"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11. Adams J, Bartram J, Chartier Y (2008) Essential environmental health standards in health care Geneva: World Health Organization.</w:t>
      </w:r>
    </w:p>
    <w:p w14:paraId="3A963223"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12. WHO (2013) Opening remarks: Budapest Water Summit. Budapest.</w:t>
      </w:r>
    </w:p>
    <w:p w14:paraId="2736EECF"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13. Cronk R, Bartram J (2018) Environmental conditions in health care facilities in low- and middle-income countries: Coverage and inequalities. International Journal of Hygiene and Environmental Health.</w:t>
      </w:r>
    </w:p>
    <w:p w14:paraId="427C42DE"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14. Adair-Rohani H, Zukor K, Bonjour S, Wilburn S, Kuesel AC, et al. (2013) Limited electricity access in health facilities of sub-Saharan Africa: a systematic review of data on electricity access, sources, and reliability. Glob Health Sci Pract 1: 249-261.</w:t>
      </w:r>
    </w:p>
    <w:p w14:paraId="189D07EF"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15. WHO (2017) UN-Water global analysis and assessment of sanitation and drinking-water (GLAAS) 2017 report: financing universal water, sanitation and hygiene under the sustainable development goals. Geneva: WHO.</w:t>
      </w:r>
    </w:p>
    <w:p w14:paraId="127E7BE7"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16. WHO and UNICEF (2019) Water, sanitation and hygiene in health care facilities: practical steps to achieve universal access to quality care. Geneva: WHO. 9241515511 9241515511.</w:t>
      </w:r>
    </w:p>
    <w:p w14:paraId="2FF3ABE3"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17. Moher D, Liberati A, Tetzlaff J, Altman DG (2009) Preferred reporting items for systematic reviews and meta-analyses: the PRISMA statement. PLoS Med 6: e1000097.</w:t>
      </w:r>
    </w:p>
    <w:p w14:paraId="68E896A6"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18. Schwelltzer RW, Grayson C, Lockwood H (2014) WASHCost Tool.</w:t>
      </w:r>
    </w:p>
    <w:p w14:paraId="70EDCD9F"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t>19. Walker DG, Wilson RF, Sharma R, Bridges J, Niessen L, et al. (2012) Best Practices for Conducting Economic Evaluations in Health Care: A Systematic Review of Quality Assessment Tools. Rockville (MD): Agency for Healthcare Research and Quality (US).</w:t>
      </w:r>
    </w:p>
    <w:p w14:paraId="19027ECC" w14:textId="77777777" w:rsidR="008E05DB" w:rsidRPr="000A18CF" w:rsidRDefault="008E05DB" w:rsidP="008E05DB">
      <w:pPr>
        <w:pStyle w:val="EndNoteBibliography"/>
        <w:spacing w:after="0"/>
        <w:ind w:left="720" w:hanging="720"/>
        <w:rPr>
          <w:rFonts w:ascii="Times New Roman" w:hAnsi="Times New Roman" w:cs="Times New Roman"/>
        </w:rPr>
      </w:pPr>
      <w:r w:rsidRPr="000A18CF">
        <w:rPr>
          <w:rFonts w:ascii="Times New Roman" w:hAnsi="Times New Roman" w:cs="Times New Roman"/>
        </w:rPr>
        <w:lastRenderedPageBreak/>
        <w:t>20. Husereau D, Drummond M, Petrou S, Carswell C, Moher D, et al. (2013) Consolidated Health Economic Evaluation Reporting Standards (CHEERS) statement. BMJ : British Medical Journal 346: f1049.</w:t>
      </w:r>
    </w:p>
    <w:p w14:paraId="197FA4BA" w14:textId="77777777" w:rsidR="008E05DB" w:rsidRPr="000A18CF" w:rsidRDefault="008E05DB" w:rsidP="008E05DB">
      <w:pPr>
        <w:pStyle w:val="EndNoteBibliography"/>
        <w:ind w:left="720" w:hanging="720"/>
        <w:rPr>
          <w:rFonts w:ascii="Times New Roman" w:hAnsi="Times New Roman" w:cs="Times New Roman"/>
        </w:rPr>
      </w:pPr>
      <w:r w:rsidRPr="000A18CF">
        <w:rPr>
          <w:rFonts w:ascii="Times New Roman" w:hAnsi="Times New Roman" w:cs="Times New Roman"/>
        </w:rPr>
        <w:t>21. Drummond MF, Jefferson TO (1996) Guidelines for authors and peer reviewers of economic submissions to the British Medical Journal. British Medical Journal 313.</w:t>
      </w:r>
    </w:p>
    <w:p w14:paraId="379DD533" w14:textId="77777777" w:rsidR="001801A0" w:rsidRDefault="00AD2C7E" w:rsidP="00D40CA8">
      <w:pPr>
        <w:pStyle w:val="Heading1"/>
      </w:pPr>
      <w:r w:rsidRPr="000A18CF">
        <w:fldChar w:fldCharType="end"/>
      </w:r>
    </w:p>
    <w:p w14:paraId="18E0E5A6" w14:textId="77777777" w:rsidR="001801A0" w:rsidRDefault="001801A0">
      <w:pPr>
        <w:rPr>
          <w:rFonts w:eastAsiaTheme="majorEastAsia"/>
          <w:sz w:val="32"/>
          <w:szCs w:val="32"/>
        </w:rPr>
      </w:pPr>
      <w:r>
        <w:br w:type="page"/>
      </w:r>
    </w:p>
    <w:p w14:paraId="49A93AFE" w14:textId="3D08E25D" w:rsidR="00AD2C7E" w:rsidRPr="000A18CF" w:rsidRDefault="00D40CA8" w:rsidP="00D40CA8">
      <w:pPr>
        <w:pStyle w:val="Heading1"/>
      </w:pPr>
      <w:r w:rsidRPr="000A18CF">
        <w:lastRenderedPageBreak/>
        <w:t>Appendix A: Quality scoring tool</w:t>
      </w:r>
    </w:p>
    <w:p w14:paraId="3F6325D4" w14:textId="5219B98A" w:rsidR="00D40CA8" w:rsidRPr="000A18CF" w:rsidRDefault="00D40CA8" w:rsidP="00D40CA8">
      <w:pPr>
        <w:pStyle w:val="Heading2"/>
      </w:pPr>
      <w:r w:rsidRPr="000A18CF">
        <w:t>Definitions</w:t>
      </w:r>
    </w:p>
    <w:p w14:paraId="4A36309A" w14:textId="77777777" w:rsidR="002514BF" w:rsidRPr="000A18CF" w:rsidRDefault="002514BF" w:rsidP="002514BF">
      <w:pPr>
        <w:pStyle w:val="NoSpacing"/>
        <w:ind w:left="720"/>
      </w:pPr>
    </w:p>
    <w:p w14:paraId="0114A9B2" w14:textId="186A89D3" w:rsidR="00D40CA8" w:rsidRPr="000A18CF" w:rsidRDefault="00D40CA8" w:rsidP="00D40CA8">
      <w:pPr>
        <w:pStyle w:val="NoSpacing"/>
        <w:numPr>
          <w:ilvl w:val="0"/>
          <w:numId w:val="42"/>
        </w:numPr>
      </w:pPr>
      <w:r w:rsidRPr="000A18CF">
        <w:rPr>
          <w:b/>
        </w:rPr>
        <w:t>Costing framework:</w:t>
      </w:r>
      <w:r w:rsidRPr="000A18CF">
        <w:t xml:space="preserve"> a tool that describes and categorizes expenditures required for service provision, and that may be used to identify expected costs</w:t>
      </w:r>
    </w:p>
    <w:p w14:paraId="10BEC55E" w14:textId="77777777" w:rsidR="00D40CA8" w:rsidRPr="000A18CF" w:rsidRDefault="00D40CA8" w:rsidP="00D40CA8">
      <w:pPr>
        <w:pStyle w:val="NoSpacing"/>
        <w:numPr>
          <w:ilvl w:val="0"/>
          <w:numId w:val="42"/>
        </w:numPr>
      </w:pPr>
      <w:r w:rsidRPr="000A18CF">
        <w:rPr>
          <w:b/>
        </w:rPr>
        <w:t>Indicators of service quantity</w:t>
      </w:r>
      <w:r w:rsidRPr="000A18CF">
        <w:t>: an indicator of patient volume or other facility characteristics that may serve as a proxy for service demand</w:t>
      </w:r>
    </w:p>
    <w:p w14:paraId="01A6675E" w14:textId="77777777" w:rsidR="00D40CA8" w:rsidRPr="000A18CF" w:rsidRDefault="00D40CA8" w:rsidP="00D40CA8">
      <w:pPr>
        <w:pStyle w:val="NoSpacing"/>
        <w:numPr>
          <w:ilvl w:val="0"/>
          <w:numId w:val="42"/>
        </w:numPr>
      </w:pPr>
      <w:r w:rsidRPr="000A18CF">
        <w:rPr>
          <w:b/>
        </w:rPr>
        <w:t>Direct measures of service quantity</w:t>
      </w:r>
      <w:r w:rsidRPr="000A18CF">
        <w:t>: a direct measure of a service input or output</w:t>
      </w:r>
    </w:p>
    <w:p w14:paraId="6A92ECA1" w14:textId="257D7442" w:rsidR="006467AE" w:rsidRPr="000A18CF" w:rsidRDefault="006467AE" w:rsidP="00AD2C7E">
      <w:pPr>
        <w:pStyle w:val="Caption"/>
        <w:keepNext/>
        <w:spacing w:after="0"/>
      </w:pPr>
    </w:p>
    <w:tbl>
      <w:tblPr>
        <w:tblStyle w:val="TableGrid"/>
        <w:tblW w:w="0" w:type="auto"/>
        <w:tblCellMar>
          <w:left w:w="72" w:type="dxa"/>
          <w:right w:w="72" w:type="dxa"/>
        </w:tblCellMar>
        <w:tblLook w:val="04A0" w:firstRow="1" w:lastRow="0" w:firstColumn="1" w:lastColumn="0" w:noHBand="0" w:noVBand="1"/>
      </w:tblPr>
      <w:tblGrid>
        <w:gridCol w:w="363"/>
        <w:gridCol w:w="1858"/>
        <w:gridCol w:w="2592"/>
        <w:gridCol w:w="2288"/>
        <w:gridCol w:w="2249"/>
      </w:tblGrid>
      <w:tr w:rsidR="002514BF" w:rsidRPr="000A18CF" w14:paraId="4E5E5006" w14:textId="77777777" w:rsidTr="00D153AD">
        <w:trPr>
          <w:trHeight w:val="172"/>
        </w:trPr>
        <w:tc>
          <w:tcPr>
            <w:tcW w:w="0" w:type="auto"/>
            <w:shd w:val="clear" w:color="auto" w:fill="D9D9D9" w:themeFill="background1" w:themeFillShade="D9"/>
          </w:tcPr>
          <w:p w14:paraId="5B0255B3" w14:textId="77777777" w:rsidR="002514BF" w:rsidRPr="000A18CF" w:rsidRDefault="002514BF" w:rsidP="00D153AD">
            <w:pPr>
              <w:pStyle w:val="NoSpacing"/>
              <w:rPr>
                <w:sz w:val="18"/>
                <w:szCs w:val="18"/>
              </w:rPr>
            </w:pPr>
          </w:p>
        </w:tc>
        <w:tc>
          <w:tcPr>
            <w:tcW w:w="0" w:type="auto"/>
            <w:shd w:val="clear" w:color="auto" w:fill="D9D9D9" w:themeFill="background1" w:themeFillShade="D9"/>
          </w:tcPr>
          <w:p w14:paraId="039EAD91" w14:textId="77777777" w:rsidR="002514BF" w:rsidRPr="000A18CF" w:rsidRDefault="002514BF" w:rsidP="00D153AD">
            <w:pPr>
              <w:pStyle w:val="NoSpacing"/>
              <w:rPr>
                <w:sz w:val="18"/>
                <w:szCs w:val="18"/>
              </w:rPr>
            </w:pPr>
          </w:p>
        </w:tc>
        <w:tc>
          <w:tcPr>
            <w:tcW w:w="0" w:type="auto"/>
            <w:shd w:val="clear" w:color="auto" w:fill="00B050"/>
          </w:tcPr>
          <w:p w14:paraId="7975389D" w14:textId="77777777" w:rsidR="002514BF" w:rsidRPr="000A18CF" w:rsidRDefault="002514BF" w:rsidP="00D153AD">
            <w:pPr>
              <w:pStyle w:val="NoSpacing"/>
              <w:rPr>
                <w:b/>
                <w:sz w:val="18"/>
                <w:szCs w:val="18"/>
              </w:rPr>
            </w:pPr>
            <w:r w:rsidRPr="000A18CF">
              <w:rPr>
                <w:b/>
                <w:sz w:val="18"/>
                <w:szCs w:val="18"/>
              </w:rPr>
              <w:t>High quality (1 point)</w:t>
            </w:r>
          </w:p>
        </w:tc>
        <w:tc>
          <w:tcPr>
            <w:tcW w:w="0" w:type="auto"/>
            <w:shd w:val="clear" w:color="auto" w:fill="FFFF00"/>
          </w:tcPr>
          <w:p w14:paraId="2109CDEE" w14:textId="77777777" w:rsidR="002514BF" w:rsidRPr="000A18CF" w:rsidRDefault="002514BF" w:rsidP="00D153AD">
            <w:pPr>
              <w:pStyle w:val="NoSpacing"/>
              <w:rPr>
                <w:b/>
                <w:sz w:val="18"/>
                <w:szCs w:val="18"/>
              </w:rPr>
            </w:pPr>
            <w:r w:rsidRPr="000A18CF">
              <w:rPr>
                <w:b/>
                <w:sz w:val="18"/>
                <w:szCs w:val="18"/>
              </w:rPr>
              <w:t>Moderate quality (0.5 points)</w:t>
            </w:r>
          </w:p>
        </w:tc>
        <w:tc>
          <w:tcPr>
            <w:tcW w:w="0" w:type="auto"/>
            <w:shd w:val="clear" w:color="auto" w:fill="FF0000"/>
          </w:tcPr>
          <w:p w14:paraId="102DF6B6" w14:textId="77777777" w:rsidR="002514BF" w:rsidRPr="000A18CF" w:rsidRDefault="002514BF" w:rsidP="00D153AD">
            <w:pPr>
              <w:pStyle w:val="NoSpacing"/>
              <w:rPr>
                <w:b/>
                <w:sz w:val="18"/>
                <w:szCs w:val="18"/>
              </w:rPr>
            </w:pPr>
            <w:r w:rsidRPr="000A18CF">
              <w:rPr>
                <w:b/>
                <w:sz w:val="18"/>
                <w:szCs w:val="18"/>
              </w:rPr>
              <w:t>Low quality (0.0 points)</w:t>
            </w:r>
          </w:p>
        </w:tc>
      </w:tr>
      <w:tr w:rsidR="002514BF" w:rsidRPr="000A18CF" w14:paraId="0CFD4691" w14:textId="77777777" w:rsidTr="00D153AD">
        <w:trPr>
          <w:trHeight w:val="64"/>
        </w:trPr>
        <w:tc>
          <w:tcPr>
            <w:tcW w:w="0" w:type="auto"/>
            <w:vMerge w:val="restart"/>
            <w:shd w:val="clear" w:color="auto" w:fill="D9D9D9" w:themeFill="background1" w:themeFillShade="D9"/>
            <w:textDirection w:val="btLr"/>
          </w:tcPr>
          <w:p w14:paraId="1330E0F5" w14:textId="77777777" w:rsidR="002514BF" w:rsidRPr="000A18CF" w:rsidRDefault="002514BF" w:rsidP="00D153AD">
            <w:pPr>
              <w:pStyle w:val="NoSpacing"/>
              <w:jc w:val="center"/>
              <w:rPr>
                <w:b/>
                <w:sz w:val="18"/>
                <w:szCs w:val="18"/>
              </w:rPr>
            </w:pPr>
            <w:r w:rsidRPr="000A18CF">
              <w:rPr>
                <w:b/>
                <w:sz w:val="18"/>
                <w:szCs w:val="18"/>
              </w:rPr>
              <w:t>Context reporting</w:t>
            </w:r>
          </w:p>
        </w:tc>
        <w:tc>
          <w:tcPr>
            <w:tcW w:w="0" w:type="auto"/>
            <w:shd w:val="clear" w:color="auto" w:fill="D9D9D9" w:themeFill="background1" w:themeFillShade="D9"/>
          </w:tcPr>
          <w:p w14:paraId="5532C442" w14:textId="77777777" w:rsidR="002514BF" w:rsidRPr="000A18CF" w:rsidRDefault="002514BF" w:rsidP="00D153AD">
            <w:pPr>
              <w:pStyle w:val="NoSpacing"/>
              <w:rPr>
                <w:sz w:val="18"/>
                <w:szCs w:val="18"/>
              </w:rPr>
            </w:pPr>
            <w:r w:rsidRPr="000A18CF">
              <w:rPr>
                <w:sz w:val="18"/>
                <w:szCs w:val="18"/>
              </w:rPr>
              <w:t>Costing objective</w:t>
            </w:r>
          </w:p>
        </w:tc>
        <w:tc>
          <w:tcPr>
            <w:tcW w:w="0" w:type="auto"/>
            <w:shd w:val="clear" w:color="auto" w:fill="93FFC4"/>
          </w:tcPr>
          <w:p w14:paraId="17A00D18" w14:textId="77777777" w:rsidR="002514BF" w:rsidRPr="000A18CF" w:rsidRDefault="002514BF" w:rsidP="00D153AD">
            <w:pPr>
              <w:pStyle w:val="NoSpacing"/>
              <w:rPr>
                <w:sz w:val="18"/>
                <w:szCs w:val="18"/>
              </w:rPr>
            </w:pPr>
            <w:r w:rsidRPr="000A18CF">
              <w:rPr>
                <w:sz w:val="18"/>
                <w:szCs w:val="18"/>
              </w:rPr>
              <w:t>Goal, objective, and/or research questions related to costing the specific EHS are reported</w:t>
            </w:r>
          </w:p>
        </w:tc>
        <w:tc>
          <w:tcPr>
            <w:tcW w:w="0" w:type="auto"/>
            <w:shd w:val="clear" w:color="auto" w:fill="FFFF7D"/>
          </w:tcPr>
          <w:p w14:paraId="72230185" w14:textId="77777777" w:rsidR="002514BF" w:rsidRPr="000A18CF" w:rsidRDefault="002514BF" w:rsidP="00D153AD">
            <w:pPr>
              <w:pStyle w:val="NoSpacing"/>
              <w:rPr>
                <w:sz w:val="18"/>
                <w:szCs w:val="18"/>
              </w:rPr>
            </w:pPr>
            <w:r w:rsidRPr="000A18CF">
              <w:rPr>
                <w:sz w:val="18"/>
                <w:szCs w:val="18"/>
              </w:rPr>
              <w:t>Goal, objective, and/or research questions related to costing are reported but are not EHS specific</w:t>
            </w:r>
          </w:p>
        </w:tc>
        <w:tc>
          <w:tcPr>
            <w:tcW w:w="0" w:type="auto"/>
            <w:shd w:val="clear" w:color="auto" w:fill="FF8989"/>
          </w:tcPr>
          <w:p w14:paraId="43FE472C" w14:textId="77777777" w:rsidR="002514BF" w:rsidRPr="000A18CF" w:rsidRDefault="002514BF" w:rsidP="00D153AD">
            <w:pPr>
              <w:pStyle w:val="NoSpacing"/>
              <w:rPr>
                <w:sz w:val="18"/>
                <w:szCs w:val="18"/>
              </w:rPr>
            </w:pPr>
            <w:r w:rsidRPr="000A18CF">
              <w:rPr>
                <w:sz w:val="18"/>
                <w:szCs w:val="18"/>
              </w:rPr>
              <w:t>Overall research goal is stated but costing objectives are not reported or are unclear OR no stated goals, objectives, or research questions</w:t>
            </w:r>
          </w:p>
        </w:tc>
      </w:tr>
      <w:tr w:rsidR="002514BF" w:rsidRPr="000A18CF" w14:paraId="61B4B706" w14:textId="77777777" w:rsidTr="00D153AD">
        <w:trPr>
          <w:trHeight w:val="233"/>
        </w:trPr>
        <w:tc>
          <w:tcPr>
            <w:tcW w:w="0" w:type="auto"/>
            <w:vMerge/>
            <w:shd w:val="clear" w:color="auto" w:fill="D9D9D9" w:themeFill="background1" w:themeFillShade="D9"/>
          </w:tcPr>
          <w:p w14:paraId="6B88EB82" w14:textId="77777777" w:rsidR="002514BF" w:rsidRPr="000A18CF" w:rsidRDefault="002514BF" w:rsidP="00D153AD">
            <w:pPr>
              <w:pStyle w:val="NoSpacing"/>
              <w:rPr>
                <w:b/>
                <w:sz w:val="18"/>
                <w:szCs w:val="18"/>
              </w:rPr>
            </w:pPr>
          </w:p>
        </w:tc>
        <w:tc>
          <w:tcPr>
            <w:tcW w:w="0" w:type="auto"/>
            <w:shd w:val="clear" w:color="auto" w:fill="D9D9D9" w:themeFill="background1" w:themeFillShade="D9"/>
          </w:tcPr>
          <w:p w14:paraId="7EBFDB53" w14:textId="77777777" w:rsidR="002514BF" w:rsidRPr="000A18CF" w:rsidRDefault="002514BF" w:rsidP="00D153AD">
            <w:pPr>
              <w:pStyle w:val="NoSpacing"/>
              <w:rPr>
                <w:sz w:val="18"/>
                <w:szCs w:val="18"/>
              </w:rPr>
            </w:pPr>
            <w:r w:rsidRPr="000A18CF">
              <w:rPr>
                <w:sz w:val="18"/>
                <w:szCs w:val="18"/>
              </w:rPr>
              <w:t>Facility description</w:t>
            </w:r>
          </w:p>
        </w:tc>
        <w:tc>
          <w:tcPr>
            <w:tcW w:w="0" w:type="auto"/>
            <w:shd w:val="clear" w:color="auto" w:fill="93FFC4"/>
          </w:tcPr>
          <w:p w14:paraId="214DFE28" w14:textId="77777777" w:rsidR="002514BF" w:rsidRPr="000A18CF" w:rsidRDefault="002514BF" w:rsidP="00D153AD">
            <w:pPr>
              <w:pStyle w:val="NoSpacing"/>
              <w:rPr>
                <w:sz w:val="18"/>
                <w:szCs w:val="18"/>
              </w:rPr>
            </w:pPr>
            <w:r w:rsidRPr="000A18CF">
              <w:rPr>
                <w:sz w:val="18"/>
                <w:szCs w:val="18"/>
              </w:rPr>
              <w:t>All of the following are reported: facility type (e.g. teaching hospital, health post) and geographic location</w:t>
            </w:r>
          </w:p>
        </w:tc>
        <w:tc>
          <w:tcPr>
            <w:tcW w:w="0" w:type="auto"/>
            <w:shd w:val="clear" w:color="auto" w:fill="FFFF7D"/>
          </w:tcPr>
          <w:p w14:paraId="481C19E0" w14:textId="77777777" w:rsidR="002514BF" w:rsidRPr="000A18CF" w:rsidRDefault="002514BF" w:rsidP="00D153AD">
            <w:pPr>
              <w:pStyle w:val="NoSpacing"/>
              <w:rPr>
                <w:sz w:val="18"/>
                <w:szCs w:val="18"/>
              </w:rPr>
            </w:pPr>
            <w:r w:rsidRPr="000A18CF">
              <w:rPr>
                <w:sz w:val="18"/>
                <w:szCs w:val="18"/>
              </w:rPr>
              <w:t>At least one of the following are reported: facility type (e.g. teaching hospital, health post) or geographic location</w:t>
            </w:r>
          </w:p>
        </w:tc>
        <w:tc>
          <w:tcPr>
            <w:tcW w:w="0" w:type="auto"/>
            <w:shd w:val="clear" w:color="auto" w:fill="FF8989"/>
          </w:tcPr>
          <w:p w14:paraId="79197BF1" w14:textId="77777777" w:rsidR="002514BF" w:rsidRPr="000A18CF" w:rsidRDefault="002514BF" w:rsidP="00D153AD">
            <w:pPr>
              <w:pStyle w:val="NoSpacing"/>
              <w:rPr>
                <w:sz w:val="18"/>
                <w:szCs w:val="18"/>
              </w:rPr>
            </w:pPr>
            <w:r w:rsidRPr="000A18CF">
              <w:rPr>
                <w:sz w:val="18"/>
                <w:szCs w:val="18"/>
              </w:rPr>
              <w:t>Neither facility type nor geographic location are reported</w:t>
            </w:r>
          </w:p>
        </w:tc>
      </w:tr>
      <w:tr w:rsidR="002514BF" w:rsidRPr="000A18CF" w14:paraId="24072CF3" w14:textId="77777777" w:rsidTr="00D153AD">
        <w:trPr>
          <w:trHeight w:val="312"/>
        </w:trPr>
        <w:tc>
          <w:tcPr>
            <w:tcW w:w="0" w:type="auto"/>
            <w:vMerge/>
            <w:shd w:val="clear" w:color="auto" w:fill="D9D9D9" w:themeFill="background1" w:themeFillShade="D9"/>
          </w:tcPr>
          <w:p w14:paraId="6CDE3F5D" w14:textId="77777777" w:rsidR="002514BF" w:rsidRPr="000A18CF" w:rsidRDefault="002514BF" w:rsidP="00D153AD">
            <w:pPr>
              <w:pStyle w:val="NoSpacing"/>
              <w:rPr>
                <w:b/>
                <w:sz w:val="18"/>
                <w:szCs w:val="18"/>
              </w:rPr>
            </w:pPr>
          </w:p>
        </w:tc>
        <w:tc>
          <w:tcPr>
            <w:tcW w:w="0" w:type="auto"/>
            <w:shd w:val="clear" w:color="auto" w:fill="D9D9D9" w:themeFill="background1" w:themeFillShade="D9"/>
          </w:tcPr>
          <w:p w14:paraId="2531B8FD" w14:textId="77777777" w:rsidR="002514BF" w:rsidRPr="000A18CF" w:rsidRDefault="002514BF" w:rsidP="00D153AD">
            <w:pPr>
              <w:pStyle w:val="NoSpacing"/>
              <w:rPr>
                <w:sz w:val="18"/>
                <w:szCs w:val="18"/>
              </w:rPr>
            </w:pPr>
            <w:r w:rsidRPr="000A18CF">
              <w:rPr>
                <w:sz w:val="18"/>
                <w:szCs w:val="18"/>
              </w:rPr>
              <w:t>Service description</w:t>
            </w:r>
          </w:p>
        </w:tc>
        <w:tc>
          <w:tcPr>
            <w:tcW w:w="0" w:type="auto"/>
            <w:shd w:val="clear" w:color="auto" w:fill="93FFC4"/>
          </w:tcPr>
          <w:p w14:paraId="7F929274" w14:textId="77777777" w:rsidR="002514BF" w:rsidRPr="000A18CF" w:rsidRDefault="002514BF" w:rsidP="00D153AD">
            <w:pPr>
              <w:pStyle w:val="NoSpacing"/>
              <w:rPr>
                <w:sz w:val="18"/>
                <w:szCs w:val="18"/>
              </w:rPr>
            </w:pPr>
            <w:r w:rsidRPr="000A18CF">
              <w:rPr>
                <w:sz w:val="18"/>
                <w:szCs w:val="18"/>
              </w:rPr>
              <w:t>Resources necessary to provide the service are described for each of the following categories: infrastructure and equipment, personnel, consumable products, trainings</w:t>
            </w:r>
          </w:p>
        </w:tc>
        <w:tc>
          <w:tcPr>
            <w:tcW w:w="0" w:type="auto"/>
            <w:shd w:val="clear" w:color="auto" w:fill="FFFF7D"/>
          </w:tcPr>
          <w:p w14:paraId="35097676" w14:textId="77777777" w:rsidR="002514BF" w:rsidRPr="000A18CF" w:rsidRDefault="002514BF" w:rsidP="00D153AD">
            <w:pPr>
              <w:pStyle w:val="NoSpacing"/>
              <w:rPr>
                <w:sz w:val="18"/>
                <w:szCs w:val="18"/>
              </w:rPr>
            </w:pPr>
            <w:r w:rsidRPr="000A18CF">
              <w:rPr>
                <w:sz w:val="18"/>
                <w:szCs w:val="18"/>
              </w:rPr>
              <w:t>Resources necessary to provide the service are reported for at least two of the following categories: infrastructure and equipment, personnel, consumable products, trainings</w:t>
            </w:r>
          </w:p>
        </w:tc>
        <w:tc>
          <w:tcPr>
            <w:tcW w:w="0" w:type="auto"/>
            <w:shd w:val="clear" w:color="auto" w:fill="FF8989"/>
          </w:tcPr>
          <w:p w14:paraId="47124C55" w14:textId="77777777" w:rsidR="002514BF" w:rsidRPr="000A18CF" w:rsidRDefault="002514BF" w:rsidP="00D153AD">
            <w:pPr>
              <w:pStyle w:val="NoSpacing"/>
              <w:rPr>
                <w:sz w:val="18"/>
                <w:szCs w:val="18"/>
              </w:rPr>
            </w:pPr>
            <w:r w:rsidRPr="000A18CF">
              <w:rPr>
                <w:sz w:val="18"/>
                <w:szCs w:val="18"/>
              </w:rPr>
              <w:t>Resources necessary to provide the service are reported for less than two of the following categories: infrastructure and equipment, personnel consumable products, trainings</w:t>
            </w:r>
          </w:p>
        </w:tc>
      </w:tr>
      <w:tr w:rsidR="002514BF" w:rsidRPr="000A18CF" w14:paraId="7E16B051" w14:textId="77777777" w:rsidTr="00D153AD">
        <w:trPr>
          <w:trHeight w:val="45"/>
        </w:trPr>
        <w:tc>
          <w:tcPr>
            <w:tcW w:w="0" w:type="auto"/>
            <w:vMerge/>
            <w:shd w:val="clear" w:color="auto" w:fill="D9D9D9" w:themeFill="background1" w:themeFillShade="D9"/>
          </w:tcPr>
          <w:p w14:paraId="42543879" w14:textId="77777777" w:rsidR="002514BF" w:rsidRPr="000A18CF" w:rsidRDefault="002514BF" w:rsidP="00D153AD">
            <w:pPr>
              <w:pStyle w:val="NoSpacing"/>
              <w:rPr>
                <w:b/>
                <w:sz w:val="18"/>
                <w:szCs w:val="18"/>
              </w:rPr>
            </w:pPr>
          </w:p>
        </w:tc>
        <w:tc>
          <w:tcPr>
            <w:tcW w:w="0" w:type="auto"/>
            <w:shd w:val="clear" w:color="auto" w:fill="D9D9D9" w:themeFill="background1" w:themeFillShade="D9"/>
          </w:tcPr>
          <w:p w14:paraId="34075DC3" w14:textId="77777777" w:rsidR="002514BF" w:rsidRPr="000A18CF" w:rsidRDefault="002514BF" w:rsidP="00D153AD">
            <w:pPr>
              <w:pStyle w:val="NoSpacing"/>
              <w:rPr>
                <w:sz w:val="18"/>
                <w:szCs w:val="18"/>
              </w:rPr>
            </w:pPr>
            <w:r w:rsidRPr="000A18CF">
              <w:rPr>
                <w:sz w:val="18"/>
                <w:szCs w:val="18"/>
              </w:rPr>
              <w:t>Service quantity indicators</w:t>
            </w:r>
          </w:p>
        </w:tc>
        <w:tc>
          <w:tcPr>
            <w:tcW w:w="0" w:type="auto"/>
            <w:shd w:val="clear" w:color="auto" w:fill="93FFC4"/>
          </w:tcPr>
          <w:p w14:paraId="19A4D995" w14:textId="77777777" w:rsidR="002514BF" w:rsidRPr="000A18CF" w:rsidRDefault="002514BF" w:rsidP="00D153AD">
            <w:pPr>
              <w:pStyle w:val="NoSpacing"/>
              <w:rPr>
                <w:sz w:val="18"/>
                <w:szCs w:val="18"/>
              </w:rPr>
            </w:pPr>
            <w:r w:rsidRPr="000A18CF">
              <w:rPr>
                <w:sz w:val="18"/>
                <w:szCs w:val="18"/>
              </w:rPr>
              <w:t>At least one direct measure of the service quantity is reported</w:t>
            </w:r>
          </w:p>
        </w:tc>
        <w:tc>
          <w:tcPr>
            <w:tcW w:w="0" w:type="auto"/>
            <w:shd w:val="clear" w:color="auto" w:fill="FFFF7D"/>
          </w:tcPr>
          <w:p w14:paraId="643BF781" w14:textId="77777777" w:rsidR="002514BF" w:rsidRPr="000A18CF" w:rsidRDefault="002514BF" w:rsidP="00D153AD">
            <w:pPr>
              <w:pStyle w:val="NoSpacing"/>
              <w:rPr>
                <w:sz w:val="18"/>
                <w:szCs w:val="18"/>
              </w:rPr>
            </w:pPr>
            <w:r w:rsidRPr="000A18CF">
              <w:rPr>
                <w:sz w:val="18"/>
                <w:szCs w:val="18"/>
              </w:rPr>
              <w:t>At least one indicator of service quantity is reported</w:t>
            </w:r>
          </w:p>
        </w:tc>
        <w:tc>
          <w:tcPr>
            <w:tcW w:w="0" w:type="auto"/>
            <w:shd w:val="clear" w:color="auto" w:fill="FF8989"/>
          </w:tcPr>
          <w:p w14:paraId="6B92E98D" w14:textId="77777777" w:rsidR="002514BF" w:rsidRPr="000A18CF" w:rsidRDefault="002514BF" w:rsidP="00D153AD">
            <w:pPr>
              <w:pStyle w:val="NoSpacing"/>
              <w:rPr>
                <w:sz w:val="18"/>
                <w:szCs w:val="18"/>
              </w:rPr>
            </w:pPr>
            <w:r w:rsidRPr="000A18CF">
              <w:rPr>
                <w:sz w:val="18"/>
                <w:szCs w:val="18"/>
              </w:rPr>
              <w:t>No direct measures or indicators of service quantity are reported</w:t>
            </w:r>
          </w:p>
        </w:tc>
      </w:tr>
      <w:tr w:rsidR="002514BF" w:rsidRPr="000A18CF" w14:paraId="1C267FD5" w14:textId="77777777" w:rsidTr="00D153AD">
        <w:trPr>
          <w:trHeight w:val="602"/>
        </w:trPr>
        <w:tc>
          <w:tcPr>
            <w:tcW w:w="0" w:type="auto"/>
            <w:vMerge/>
            <w:shd w:val="clear" w:color="auto" w:fill="D9D9D9" w:themeFill="background1" w:themeFillShade="D9"/>
          </w:tcPr>
          <w:p w14:paraId="47771B6C" w14:textId="77777777" w:rsidR="002514BF" w:rsidRPr="000A18CF" w:rsidRDefault="002514BF" w:rsidP="00D153AD">
            <w:pPr>
              <w:pStyle w:val="NoSpacing"/>
              <w:rPr>
                <w:b/>
                <w:sz w:val="18"/>
                <w:szCs w:val="18"/>
              </w:rPr>
            </w:pPr>
          </w:p>
        </w:tc>
        <w:tc>
          <w:tcPr>
            <w:tcW w:w="0" w:type="auto"/>
            <w:shd w:val="clear" w:color="auto" w:fill="D9D9D9" w:themeFill="background1" w:themeFillShade="D9"/>
          </w:tcPr>
          <w:p w14:paraId="3F63CBC9" w14:textId="77777777" w:rsidR="002514BF" w:rsidRPr="000A18CF" w:rsidRDefault="002514BF" w:rsidP="00D153AD">
            <w:pPr>
              <w:pStyle w:val="NoSpacing"/>
              <w:rPr>
                <w:sz w:val="18"/>
                <w:szCs w:val="18"/>
              </w:rPr>
            </w:pPr>
            <w:r w:rsidRPr="000A18CF">
              <w:rPr>
                <w:sz w:val="18"/>
                <w:szCs w:val="18"/>
              </w:rPr>
              <w:t>Service quality indicators</w:t>
            </w:r>
          </w:p>
        </w:tc>
        <w:tc>
          <w:tcPr>
            <w:tcW w:w="0" w:type="auto"/>
            <w:shd w:val="clear" w:color="auto" w:fill="93FFC4"/>
          </w:tcPr>
          <w:p w14:paraId="728DB7C8" w14:textId="77777777" w:rsidR="002514BF" w:rsidRPr="000A18CF" w:rsidRDefault="002514BF" w:rsidP="00D153AD">
            <w:pPr>
              <w:pStyle w:val="NoSpacing"/>
              <w:rPr>
                <w:sz w:val="18"/>
                <w:szCs w:val="18"/>
              </w:rPr>
            </w:pPr>
            <w:r w:rsidRPr="000A18CF">
              <w:rPr>
                <w:sz w:val="18"/>
                <w:szCs w:val="18"/>
              </w:rPr>
              <w:t>At least one quantitative indicator of service quality (i.e. a SMART indicator with all components defined, either within the paper or by an external organization or government body) is reported OR a cost-effectiveness or cost-benefit analysis are conducted</w:t>
            </w:r>
          </w:p>
        </w:tc>
        <w:tc>
          <w:tcPr>
            <w:tcW w:w="0" w:type="auto"/>
            <w:shd w:val="clear" w:color="auto" w:fill="FFFF7D"/>
          </w:tcPr>
          <w:p w14:paraId="41D064B9" w14:textId="77777777" w:rsidR="002514BF" w:rsidRPr="000A18CF" w:rsidRDefault="002514BF" w:rsidP="00D153AD">
            <w:pPr>
              <w:pStyle w:val="NoSpacing"/>
              <w:rPr>
                <w:sz w:val="18"/>
                <w:szCs w:val="18"/>
              </w:rPr>
            </w:pPr>
            <w:r w:rsidRPr="000A18CF">
              <w:rPr>
                <w:sz w:val="18"/>
                <w:szCs w:val="18"/>
              </w:rPr>
              <w:t>Service quality is narratively described without using quantitative indicators</w:t>
            </w:r>
          </w:p>
          <w:p w14:paraId="72B4EACA" w14:textId="77777777" w:rsidR="002514BF" w:rsidRPr="000A18CF" w:rsidRDefault="002514BF" w:rsidP="00D153AD">
            <w:pPr>
              <w:pStyle w:val="NoSpacing"/>
              <w:rPr>
                <w:sz w:val="18"/>
                <w:szCs w:val="18"/>
              </w:rPr>
            </w:pPr>
          </w:p>
        </w:tc>
        <w:tc>
          <w:tcPr>
            <w:tcW w:w="0" w:type="auto"/>
            <w:shd w:val="clear" w:color="auto" w:fill="FF8989"/>
          </w:tcPr>
          <w:p w14:paraId="21A04291" w14:textId="77777777" w:rsidR="002514BF" w:rsidRPr="000A18CF" w:rsidRDefault="002514BF" w:rsidP="00D153AD">
            <w:pPr>
              <w:pStyle w:val="NoSpacing"/>
              <w:rPr>
                <w:sz w:val="18"/>
                <w:szCs w:val="18"/>
              </w:rPr>
            </w:pPr>
            <w:r w:rsidRPr="000A18CF">
              <w:rPr>
                <w:sz w:val="18"/>
                <w:szCs w:val="18"/>
              </w:rPr>
              <w:t>Service quality is not reported or claimed without substantiation</w:t>
            </w:r>
          </w:p>
        </w:tc>
      </w:tr>
      <w:tr w:rsidR="002514BF" w:rsidRPr="000A18CF" w14:paraId="3E131503" w14:textId="77777777" w:rsidTr="00D153AD">
        <w:trPr>
          <w:trHeight w:val="70"/>
        </w:trPr>
        <w:tc>
          <w:tcPr>
            <w:tcW w:w="0" w:type="auto"/>
            <w:vMerge w:val="restart"/>
            <w:shd w:val="clear" w:color="auto" w:fill="D9D9D9" w:themeFill="background1" w:themeFillShade="D9"/>
            <w:textDirection w:val="btLr"/>
          </w:tcPr>
          <w:p w14:paraId="0C02C8FA" w14:textId="77777777" w:rsidR="002514BF" w:rsidRPr="000A18CF" w:rsidRDefault="002514BF" w:rsidP="00D153AD">
            <w:pPr>
              <w:pStyle w:val="NoSpacing"/>
              <w:jc w:val="center"/>
              <w:rPr>
                <w:b/>
                <w:sz w:val="18"/>
                <w:szCs w:val="18"/>
              </w:rPr>
            </w:pPr>
            <w:r w:rsidRPr="000A18CF">
              <w:rPr>
                <w:b/>
                <w:sz w:val="18"/>
                <w:szCs w:val="18"/>
              </w:rPr>
              <w:t>Costing reporting</w:t>
            </w:r>
          </w:p>
        </w:tc>
        <w:tc>
          <w:tcPr>
            <w:tcW w:w="0" w:type="auto"/>
            <w:shd w:val="clear" w:color="auto" w:fill="D9D9D9" w:themeFill="background1" w:themeFillShade="D9"/>
          </w:tcPr>
          <w:p w14:paraId="61E4D3F1" w14:textId="77777777" w:rsidR="002514BF" w:rsidRPr="000A18CF" w:rsidRDefault="002514BF" w:rsidP="00D153AD">
            <w:pPr>
              <w:pStyle w:val="NoSpacing"/>
              <w:rPr>
                <w:sz w:val="18"/>
                <w:szCs w:val="18"/>
              </w:rPr>
            </w:pPr>
            <w:r w:rsidRPr="000A18CF">
              <w:rPr>
                <w:sz w:val="18"/>
                <w:szCs w:val="18"/>
              </w:rPr>
              <w:t>Units reporting</w:t>
            </w:r>
          </w:p>
        </w:tc>
        <w:tc>
          <w:tcPr>
            <w:tcW w:w="0" w:type="auto"/>
            <w:shd w:val="clear" w:color="auto" w:fill="93FFC4"/>
          </w:tcPr>
          <w:p w14:paraId="22A3BC70" w14:textId="77777777" w:rsidR="002514BF" w:rsidRPr="000A18CF" w:rsidRDefault="002514BF" w:rsidP="00D153AD">
            <w:pPr>
              <w:pStyle w:val="NoSpacing"/>
              <w:rPr>
                <w:sz w:val="18"/>
                <w:szCs w:val="18"/>
              </w:rPr>
            </w:pPr>
            <w:r w:rsidRPr="000A18CF">
              <w:rPr>
                <w:sz w:val="18"/>
                <w:szCs w:val="18"/>
              </w:rPr>
              <w:t>All relevant cost units are reported, including time period for operation costs; currency; year of costs data reported; foreign exchange rates; and inflation adjustments, where relevant</w:t>
            </w:r>
          </w:p>
        </w:tc>
        <w:tc>
          <w:tcPr>
            <w:tcW w:w="0" w:type="auto"/>
            <w:shd w:val="clear" w:color="auto" w:fill="FFFF7D"/>
          </w:tcPr>
          <w:p w14:paraId="7E80E023" w14:textId="77777777" w:rsidR="002514BF" w:rsidRPr="000A18CF" w:rsidRDefault="002514BF" w:rsidP="00D153AD">
            <w:pPr>
              <w:pStyle w:val="NoSpacing"/>
              <w:rPr>
                <w:sz w:val="18"/>
                <w:szCs w:val="18"/>
              </w:rPr>
            </w:pPr>
            <w:r w:rsidRPr="000A18CF">
              <w:rPr>
                <w:sz w:val="18"/>
                <w:szCs w:val="18"/>
              </w:rPr>
              <w:t>Currency and units for time-bound costs (where relevant) are reported, but other relevant information, such as year of costs data, foreign exchange rate, or inflation adjustment, are not reported or unclear</w:t>
            </w:r>
          </w:p>
        </w:tc>
        <w:tc>
          <w:tcPr>
            <w:tcW w:w="0" w:type="auto"/>
            <w:shd w:val="clear" w:color="auto" w:fill="FF8989"/>
          </w:tcPr>
          <w:p w14:paraId="31239B8C" w14:textId="77777777" w:rsidR="002514BF" w:rsidRPr="000A18CF" w:rsidRDefault="002514BF" w:rsidP="00D153AD">
            <w:pPr>
              <w:pStyle w:val="NoSpacing"/>
              <w:rPr>
                <w:sz w:val="18"/>
                <w:szCs w:val="18"/>
              </w:rPr>
            </w:pPr>
            <w:r w:rsidRPr="000A18CF">
              <w:rPr>
                <w:sz w:val="18"/>
                <w:szCs w:val="18"/>
              </w:rPr>
              <w:t>Currency units are not explicitly stated or ambiguous (e.g. “dollars” or $ versus USD or CAD)</w:t>
            </w:r>
          </w:p>
        </w:tc>
      </w:tr>
      <w:tr w:rsidR="002514BF" w:rsidRPr="000A18CF" w14:paraId="401B26A8" w14:textId="77777777" w:rsidTr="00D153AD">
        <w:trPr>
          <w:trHeight w:val="70"/>
        </w:trPr>
        <w:tc>
          <w:tcPr>
            <w:tcW w:w="0" w:type="auto"/>
            <w:vMerge/>
            <w:shd w:val="clear" w:color="auto" w:fill="D9D9D9" w:themeFill="background1" w:themeFillShade="D9"/>
          </w:tcPr>
          <w:p w14:paraId="7D19F50B" w14:textId="77777777" w:rsidR="002514BF" w:rsidRPr="000A18CF" w:rsidRDefault="002514BF" w:rsidP="00D153AD">
            <w:pPr>
              <w:pStyle w:val="NoSpacing"/>
              <w:rPr>
                <w:b/>
                <w:sz w:val="18"/>
                <w:szCs w:val="18"/>
              </w:rPr>
            </w:pPr>
          </w:p>
        </w:tc>
        <w:tc>
          <w:tcPr>
            <w:tcW w:w="0" w:type="auto"/>
            <w:shd w:val="clear" w:color="auto" w:fill="D9D9D9" w:themeFill="background1" w:themeFillShade="D9"/>
          </w:tcPr>
          <w:p w14:paraId="67DAA8D8" w14:textId="77777777" w:rsidR="002514BF" w:rsidRPr="000A18CF" w:rsidRDefault="002514BF" w:rsidP="00D153AD">
            <w:pPr>
              <w:pStyle w:val="NoSpacing"/>
              <w:rPr>
                <w:sz w:val="18"/>
                <w:szCs w:val="18"/>
              </w:rPr>
            </w:pPr>
            <w:r w:rsidRPr="000A18CF">
              <w:rPr>
                <w:sz w:val="18"/>
                <w:szCs w:val="18"/>
              </w:rPr>
              <w:t>Line item reporting</w:t>
            </w:r>
          </w:p>
        </w:tc>
        <w:tc>
          <w:tcPr>
            <w:tcW w:w="0" w:type="auto"/>
            <w:shd w:val="clear" w:color="auto" w:fill="93FFC4"/>
          </w:tcPr>
          <w:p w14:paraId="4A8C5E6E" w14:textId="77777777" w:rsidR="002514BF" w:rsidRPr="000A18CF" w:rsidRDefault="002514BF" w:rsidP="00D153AD">
            <w:pPr>
              <w:pStyle w:val="NoSpacing"/>
              <w:rPr>
                <w:sz w:val="18"/>
                <w:szCs w:val="18"/>
              </w:rPr>
            </w:pPr>
            <w:r w:rsidRPr="000A18CF">
              <w:rPr>
                <w:sz w:val="18"/>
                <w:szCs w:val="18"/>
              </w:rPr>
              <w:t>All line items included in cost calculations are reported</w:t>
            </w:r>
          </w:p>
        </w:tc>
        <w:tc>
          <w:tcPr>
            <w:tcW w:w="0" w:type="auto"/>
            <w:shd w:val="clear" w:color="auto" w:fill="FFFF7D"/>
          </w:tcPr>
          <w:p w14:paraId="060F7463" w14:textId="77777777" w:rsidR="002514BF" w:rsidRPr="000A18CF" w:rsidRDefault="002514BF" w:rsidP="00D153AD">
            <w:pPr>
              <w:pStyle w:val="NoSpacing"/>
              <w:rPr>
                <w:sz w:val="18"/>
                <w:szCs w:val="18"/>
              </w:rPr>
            </w:pPr>
            <w:r w:rsidRPr="000A18CF">
              <w:rPr>
                <w:sz w:val="18"/>
                <w:szCs w:val="18"/>
              </w:rPr>
              <w:t>Categories of expenses included in costs are reported but not specific line items</w:t>
            </w:r>
          </w:p>
        </w:tc>
        <w:tc>
          <w:tcPr>
            <w:tcW w:w="0" w:type="auto"/>
            <w:shd w:val="clear" w:color="auto" w:fill="FF8989"/>
          </w:tcPr>
          <w:p w14:paraId="19F0A5F3" w14:textId="77777777" w:rsidR="002514BF" w:rsidRPr="000A18CF" w:rsidRDefault="002514BF" w:rsidP="00D153AD">
            <w:pPr>
              <w:pStyle w:val="NoSpacing"/>
              <w:rPr>
                <w:sz w:val="18"/>
                <w:szCs w:val="18"/>
              </w:rPr>
            </w:pPr>
            <w:r w:rsidRPr="000A18CF">
              <w:rPr>
                <w:sz w:val="18"/>
                <w:szCs w:val="18"/>
              </w:rPr>
              <w:t>No description of line items included in costs, or only a subset of line items are listed as examples but not representative of all items included</w:t>
            </w:r>
          </w:p>
        </w:tc>
      </w:tr>
      <w:tr w:rsidR="002514BF" w:rsidRPr="000A18CF" w14:paraId="3F94BA71" w14:textId="77777777" w:rsidTr="00D153AD">
        <w:trPr>
          <w:trHeight w:val="70"/>
        </w:trPr>
        <w:tc>
          <w:tcPr>
            <w:tcW w:w="0" w:type="auto"/>
            <w:vMerge/>
            <w:shd w:val="clear" w:color="auto" w:fill="D9D9D9" w:themeFill="background1" w:themeFillShade="D9"/>
          </w:tcPr>
          <w:p w14:paraId="6CA6CA87" w14:textId="77777777" w:rsidR="002514BF" w:rsidRPr="000A18CF" w:rsidRDefault="002514BF" w:rsidP="00D153AD">
            <w:pPr>
              <w:pStyle w:val="NoSpacing"/>
              <w:rPr>
                <w:b/>
                <w:sz w:val="18"/>
                <w:szCs w:val="18"/>
              </w:rPr>
            </w:pPr>
          </w:p>
        </w:tc>
        <w:tc>
          <w:tcPr>
            <w:tcW w:w="0" w:type="auto"/>
            <w:shd w:val="clear" w:color="auto" w:fill="D9D9D9" w:themeFill="background1" w:themeFillShade="D9"/>
          </w:tcPr>
          <w:p w14:paraId="55B49288" w14:textId="77777777" w:rsidR="002514BF" w:rsidRPr="000A18CF" w:rsidRDefault="002514BF" w:rsidP="00D153AD">
            <w:pPr>
              <w:pStyle w:val="NoSpacing"/>
              <w:rPr>
                <w:sz w:val="18"/>
                <w:szCs w:val="18"/>
              </w:rPr>
            </w:pPr>
            <w:r w:rsidRPr="000A18CF">
              <w:rPr>
                <w:sz w:val="18"/>
                <w:szCs w:val="18"/>
              </w:rPr>
              <w:t>Analysis reporting</w:t>
            </w:r>
          </w:p>
        </w:tc>
        <w:tc>
          <w:tcPr>
            <w:tcW w:w="0" w:type="auto"/>
            <w:shd w:val="clear" w:color="auto" w:fill="93FFC4"/>
          </w:tcPr>
          <w:p w14:paraId="0B663E0E" w14:textId="77777777" w:rsidR="002514BF" w:rsidRPr="000A18CF" w:rsidRDefault="002514BF" w:rsidP="00D153AD">
            <w:pPr>
              <w:pStyle w:val="NoSpacing"/>
              <w:rPr>
                <w:sz w:val="18"/>
                <w:szCs w:val="18"/>
              </w:rPr>
            </w:pPr>
            <w:r w:rsidRPr="000A18CF">
              <w:rPr>
                <w:sz w:val="18"/>
                <w:szCs w:val="18"/>
              </w:rPr>
              <w:t>Methodology for calculating all costs is reported in full, including methodologies for annualizing capital costs, discounting, apportioning, and calculating unit costs</w:t>
            </w:r>
          </w:p>
        </w:tc>
        <w:tc>
          <w:tcPr>
            <w:tcW w:w="0" w:type="auto"/>
            <w:shd w:val="clear" w:color="auto" w:fill="FFFF7D"/>
          </w:tcPr>
          <w:p w14:paraId="6C675FF9" w14:textId="77777777" w:rsidR="002514BF" w:rsidRPr="000A18CF" w:rsidRDefault="002514BF" w:rsidP="00D153AD">
            <w:pPr>
              <w:pStyle w:val="NoSpacing"/>
              <w:rPr>
                <w:sz w:val="18"/>
                <w:szCs w:val="18"/>
              </w:rPr>
            </w:pPr>
            <w:r w:rsidRPr="000A18CF">
              <w:rPr>
                <w:sz w:val="18"/>
                <w:szCs w:val="18"/>
              </w:rPr>
              <w:t>Methodologies for calculating costs are broadly reported but specific details (e.g. rate use for discounting or criteria used for apportioning) are not reported or methodologies for only a subset of steps are reported</w:t>
            </w:r>
          </w:p>
        </w:tc>
        <w:tc>
          <w:tcPr>
            <w:tcW w:w="0" w:type="auto"/>
            <w:shd w:val="clear" w:color="auto" w:fill="FF8989"/>
          </w:tcPr>
          <w:p w14:paraId="54D9B8D6" w14:textId="77777777" w:rsidR="002514BF" w:rsidRPr="000A18CF" w:rsidRDefault="002514BF" w:rsidP="00D153AD">
            <w:pPr>
              <w:pStyle w:val="NoSpacing"/>
              <w:rPr>
                <w:sz w:val="18"/>
                <w:szCs w:val="18"/>
              </w:rPr>
            </w:pPr>
            <w:r w:rsidRPr="000A18CF">
              <w:rPr>
                <w:sz w:val="18"/>
                <w:szCs w:val="18"/>
              </w:rPr>
              <w:t>Methodologies for calculating costs are not reported or unclear</w:t>
            </w:r>
          </w:p>
        </w:tc>
      </w:tr>
      <w:tr w:rsidR="002514BF" w:rsidRPr="000A18CF" w14:paraId="70C89EF3" w14:textId="77777777" w:rsidTr="00D153AD">
        <w:trPr>
          <w:trHeight w:val="70"/>
        </w:trPr>
        <w:tc>
          <w:tcPr>
            <w:tcW w:w="0" w:type="auto"/>
            <w:vMerge w:val="restart"/>
            <w:shd w:val="clear" w:color="auto" w:fill="D9D9D9" w:themeFill="background1" w:themeFillShade="D9"/>
            <w:textDirection w:val="btLr"/>
          </w:tcPr>
          <w:p w14:paraId="47C14C94" w14:textId="77777777" w:rsidR="002514BF" w:rsidRPr="000A18CF" w:rsidRDefault="002514BF" w:rsidP="00D153AD">
            <w:pPr>
              <w:pStyle w:val="NoSpacing"/>
              <w:jc w:val="center"/>
              <w:rPr>
                <w:b/>
                <w:sz w:val="18"/>
                <w:szCs w:val="18"/>
              </w:rPr>
            </w:pPr>
            <w:r w:rsidRPr="000A18CF">
              <w:rPr>
                <w:b/>
                <w:sz w:val="18"/>
                <w:szCs w:val="18"/>
              </w:rPr>
              <w:t>Costing methodology</w:t>
            </w:r>
          </w:p>
        </w:tc>
        <w:tc>
          <w:tcPr>
            <w:tcW w:w="0" w:type="auto"/>
            <w:shd w:val="clear" w:color="auto" w:fill="D9D9D9" w:themeFill="background1" w:themeFillShade="D9"/>
          </w:tcPr>
          <w:p w14:paraId="5DA3A733" w14:textId="77777777" w:rsidR="002514BF" w:rsidRPr="000A18CF" w:rsidRDefault="002514BF" w:rsidP="00D153AD">
            <w:pPr>
              <w:pStyle w:val="NoSpacing"/>
              <w:rPr>
                <w:sz w:val="18"/>
                <w:szCs w:val="18"/>
              </w:rPr>
            </w:pPr>
            <w:r w:rsidRPr="000A18CF">
              <w:rPr>
                <w:sz w:val="18"/>
                <w:szCs w:val="18"/>
              </w:rPr>
              <w:t>Framework use</w:t>
            </w:r>
          </w:p>
        </w:tc>
        <w:tc>
          <w:tcPr>
            <w:tcW w:w="0" w:type="auto"/>
            <w:shd w:val="clear" w:color="auto" w:fill="93FFC4"/>
          </w:tcPr>
          <w:p w14:paraId="6A523CC5" w14:textId="77777777" w:rsidR="002514BF" w:rsidRPr="000A18CF" w:rsidRDefault="002514BF" w:rsidP="00D153AD">
            <w:pPr>
              <w:pStyle w:val="NoSpacing"/>
              <w:rPr>
                <w:sz w:val="18"/>
                <w:szCs w:val="18"/>
              </w:rPr>
            </w:pPr>
            <w:r w:rsidRPr="000A18CF">
              <w:rPr>
                <w:sz w:val="18"/>
                <w:szCs w:val="18"/>
              </w:rPr>
              <w:t xml:space="preserve">A costing framework was used </w:t>
            </w:r>
            <w:r w:rsidRPr="000A18CF">
              <w:rPr>
                <w:i/>
                <w:sz w:val="18"/>
                <w:szCs w:val="18"/>
              </w:rPr>
              <w:t>a priori</w:t>
            </w:r>
            <w:r w:rsidRPr="000A18CF">
              <w:rPr>
                <w:sz w:val="18"/>
                <w:szCs w:val="18"/>
              </w:rPr>
              <w:t xml:space="preserve"> to structure data collection</w:t>
            </w:r>
          </w:p>
        </w:tc>
        <w:tc>
          <w:tcPr>
            <w:tcW w:w="0" w:type="auto"/>
            <w:shd w:val="clear" w:color="auto" w:fill="FFFF7D"/>
          </w:tcPr>
          <w:p w14:paraId="6FF24B53" w14:textId="77777777" w:rsidR="002514BF" w:rsidRPr="000A18CF" w:rsidRDefault="002514BF" w:rsidP="00D153AD">
            <w:pPr>
              <w:pStyle w:val="NoSpacing"/>
              <w:rPr>
                <w:sz w:val="18"/>
                <w:szCs w:val="18"/>
              </w:rPr>
            </w:pPr>
            <w:r w:rsidRPr="000A18CF">
              <w:rPr>
                <w:sz w:val="18"/>
                <w:szCs w:val="18"/>
              </w:rPr>
              <w:t xml:space="preserve">A costing framework was used but not selected </w:t>
            </w:r>
            <w:r w:rsidRPr="000A18CF">
              <w:rPr>
                <w:i/>
                <w:sz w:val="18"/>
                <w:szCs w:val="18"/>
              </w:rPr>
              <w:t xml:space="preserve">a priori </w:t>
            </w:r>
            <w:r w:rsidRPr="000A18CF">
              <w:rPr>
                <w:sz w:val="18"/>
                <w:szCs w:val="18"/>
              </w:rPr>
              <w:t xml:space="preserve">to structure data collection or timing </w:t>
            </w:r>
            <w:r w:rsidRPr="000A18CF">
              <w:rPr>
                <w:sz w:val="18"/>
                <w:szCs w:val="18"/>
              </w:rPr>
              <w:lastRenderedPageBreak/>
              <w:t>of framework use was not specified as a priori</w:t>
            </w:r>
          </w:p>
        </w:tc>
        <w:tc>
          <w:tcPr>
            <w:tcW w:w="0" w:type="auto"/>
            <w:shd w:val="clear" w:color="auto" w:fill="FF8989"/>
          </w:tcPr>
          <w:p w14:paraId="3D408F5C" w14:textId="77777777" w:rsidR="002514BF" w:rsidRPr="000A18CF" w:rsidRDefault="002514BF" w:rsidP="00D153AD">
            <w:pPr>
              <w:pStyle w:val="NoSpacing"/>
              <w:rPr>
                <w:sz w:val="18"/>
                <w:szCs w:val="18"/>
              </w:rPr>
            </w:pPr>
            <w:r w:rsidRPr="000A18CF">
              <w:rPr>
                <w:sz w:val="18"/>
                <w:szCs w:val="18"/>
              </w:rPr>
              <w:lastRenderedPageBreak/>
              <w:t>No costing framework was used</w:t>
            </w:r>
          </w:p>
        </w:tc>
      </w:tr>
      <w:tr w:rsidR="002514BF" w:rsidRPr="000A18CF" w14:paraId="75866D91" w14:textId="77777777" w:rsidTr="00D153AD">
        <w:trPr>
          <w:trHeight w:val="128"/>
        </w:trPr>
        <w:tc>
          <w:tcPr>
            <w:tcW w:w="0" w:type="auto"/>
            <w:vMerge/>
            <w:shd w:val="clear" w:color="auto" w:fill="D9D9D9" w:themeFill="background1" w:themeFillShade="D9"/>
          </w:tcPr>
          <w:p w14:paraId="5B86CB02" w14:textId="77777777" w:rsidR="002514BF" w:rsidRPr="000A18CF" w:rsidRDefault="002514BF" w:rsidP="00D153AD">
            <w:pPr>
              <w:pStyle w:val="NoSpacing"/>
              <w:rPr>
                <w:b/>
                <w:sz w:val="18"/>
                <w:szCs w:val="18"/>
              </w:rPr>
            </w:pPr>
          </w:p>
        </w:tc>
        <w:tc>
          <w:tcPr>
            <w:tcW w:w="0" w:type="auto"/>
            <w:shd w:val="clear" w:color="auto" w:fill="D9D9D9" w:themeFill="background1" w:themeFillShade="D9"/>
          </w:tcPr>
          <w:p w14:paraId="5D26F9F2" w14:textId="77777777" w:rsidR="002514BF" w:rsidRPr="000A18CF" w:rsidRDefault="002514BF" w:rsidP="00D153AD">
            <w:pPr>
              <w:pStyle w:val="NoSpacing"/>
              <w:rPr>
                <w:sz w:val="18"/>
                <w:szCs w:val="18"/>
              </w:rPr>
            </w:pPr>
            <w:r w:rsidRPr="000A18CF">
              <w:rPr>
                <w:sz w:val="18"/>
                <w:szCs w:val="18"/>
              </w:rPr>
              <w:t>Data sources</w:t>
            </w:r>
          </w:p>
          <w:p w14:paraId="3B4F9A2C" w14:textId="77777777" w:rsidR="002514BF" w:rsidRPr="000A18CF" w:rsidRDefault="002514BF" w:rsidP="00D153AD">
            <w:pPr>
              <w:pStyle w:val="NoSpacing"/>
              <w:rPr>
                <w:sz w:val="18"/>
                <w:szCs w:val="18"/>
              </w:rPr>
            </w:pPr>
            <w:r w:rsidRPr="000A18CF">
              <w:rPr>
                <w:sz w:val="18"/>
                <w:szCs w:val="18"/>
              </w:rPr>
              <w:t>[data sources refers specifically for costing the EHS; a study may use multiple data sources for non-EHS cost components but these are not relevant to quality scoring]</w:t>
            </w:r>
          </w:p>
        </w:tc>
        <w:tc>
          <w:tcPr>
            <w:tcW w:w="0" w:type="auto"/>
            <w:shd w:val="clear" w:color="auto" w:fill="93FFC4"/>
          </w:tcPr>
          <w:p w14:paraId="77DA5AFB" w14:textId="77777777" w:rsidR="002514BF" w:rsidRPr="000A18CF" w:rsidRDefault="002514BF" w:rsidP="00D153AD">
            <w:pPr>
              <w:pStyle w:val="NoSpacing"/>
              <w:rPr>
                <w:sz w:val="18"/>
                <w:szCs w:val="18"/>
              </w:rPr>
            </w:pPr>
            <w:r w:rsidRPr="000A18CF">
              <w:rPr>
                <w:sz w:val="18"/>
                <w:szCs w:val="18"/>
              </w:rPr>
              <w:t>Cost data were collected using multiple methods, including at least one method that does not rely on participant recall (e.g. records review, structured observation); findings were compared across methods and/or collaboratively assessed by facility staff for validity</w:t>
            </w:r>
          </w:p>
        </w:tc>
        <w:tc>
          <w:tcPr>
            <w:tcW w:w="0" w:type="auto"/>
            <w:shd w:val="clear" w:color="auto" w:fill="FFFF7D"/>
          </w:tcPr>
          <w:p w14:paraId="0EE13697" w14:textId="77777777" w:rsidR="002514BF" w:rsidRPr="000A18CF" w:rsidRDefault="002514BF" w:rsidP="00D153AD">
            <w:pPr>
              <w:pStyle w:val="NoSpacing"/>
              <w:rPr>
                <w:sz w:val="18"/>
                <w:szCs w:val="18"/>
              </w:rPr>
            </w:pPr>
            <w:r w:rsidRPr="000A18CF">
              <w:rPr>
                <w:sz w:val="18"/>
                <w:szCs w:val="18"/>
              </w:rPr>
              <w:t>Cost data collection method uses a single source for each calculation input and does not rely on participant recall</w:t>
            </w:r>
          </w:p>
        </w:tc>
        <w:tc>
          <w:tcPr>
            <w:tcW w:w="0" w:type="auto"/>
            <w:shd w:val="clear" w:color="auto" w:fill="FF8989"/>
          </w:tcPr>
          <w:p w14:paraId="70F7E571" w14:textId="77777777" w:rsidR="002514BF" w:rsidRPr="000A18CF" w:rsidRDefault="002514BF" w:rsidP="00D153AD">
            <w:pPr>
              <w:pStyle w:val="NoSpacing"/>
              <w:rPr>
                <w:sz w:val="18"/>
                <w:szCs w:val="18"/>
              </w:rPr>
            </w:pPr>
            <w:r w:rsidRPr="000A18CF">
              <w:rPr>
                <w:sz w:val="18"/>
                <w:szCs w:val="18"/>
              </w:rPr>
              <w:t>Data collection relies on recall only or data source not reported/unclear</w:t>
            </w:r>
          </w:p>
          <w:p w14:paraId="712A0ECB" w14:textId="77777777" w:rsidR="002514BF" w:rsidRPr="000A18CF" w:rsidRDefault="002514BF" w:rsidP="00D153AD">
            <w:pPr>
              <w:pStyle w:val="NoSpacing"/>
              <w:rPr>
                <w:sz w:val="18"/>
                <w:szCs w:val="18"/>
              </w:rPr>
            </w:pPr>
          </w:p>
        </w:tc>
      </w:tr>
      <w:tr w:rsidR="002514BF" w:rsidRPr="000A18CF" w14:paraId="7C51ED04" w14:textId="77777777" w:rsidTr="00D153AD">
        <w:trPr>
          <w:trHeight w:val="128"/>
        </w:trPr>
        <w:tc>
          <w:tcPr>
            <w:tcW w:w="0" w:type="auto"/>
            <w:vMerge/>
            <w:shd w:val="clear" w:color="auto" w:fill="D9D9D9" w:themeFill="background1" w:themeFillShade="D9"/>
          </w:tcPr>
          <w:p w14:paraId="41263C33" w14:textId="77777777" w:rsidR="002514BF" w:rsidRPr="000A18CF" w:rsidRDefault="002514BF" w:rsidP="00D153AD">
            <w:pPr>
              <w:pStyle w:val="NoSpacing"/>
              <w:rPr>
                <w:b/>
                <w:sz w:val="18"/>
                <w:szCs w:val="18"/>
              </w:rPr>
            </w:pPr>
          </w:p>
        </w:tc>
        <w:tc>
          <w:tcPr>
            <w:tcW w:w="0" w:type="auto"/>
            <w:shd w:val="clear" w:color="auto" w:fill="D9D9D9" w:themeFill="background1" w:themeFillShade="D9"/>
          </w:tcPr>
          <w:p w14:paraId="72E05959" w14:textId="77777777" w:rsidR="002514BF" w:rsidRPr="000A18CF" w:rsidRDefault="002514BF" w:rsidP="00D153AD">
            <w:pPr>
              <w:pStyle w:val="NoSpacing"/>
              <w:rPr>
                <w:sz w:val="18"/>
                <w:szCs w:val="18"/>
              </w:rPr>
            </w:pPr>
            <w:r w:rsidRPr="000A18CF">
              <w:rPr>
                <w:sz w:val="18"/>
                <w:szCs w:val="18"/>
              </w:rPr>
              <w:t>Coverage duration</w:t>
            </w:r>
          </w:p>
        </w:tc>
        <w:tc>
          <w:tcPr>
            <w:tcW w:w="0" w:type="auto"/>
            <w:shd w:val="clear" w:color="auto" w:fill="93FFC4"/>
          </w:tcPr>
          <w:p w14:paraId="23D0AFF5" w14:textId="77777777" w:rsidR="002514BF" w:rsidRPr="000A18CF" w:rsidRDefault="002514BF" w:rsidP="00D153AD">
            <w:pPr>
              <w:pStyle w:val="NoSpacing"/>
              <w:rPr>
                <w:sz w:val="18"/>
                <w:szCs w:val="18"/>
              </w:rPr>
            </w:pPr>
            <w:r w:rsidRPr="000A18CF">
              <w:rPr>
                <w:sz w:val="18"/>
                <w:szCs w:val="18"/>
              </w:rPr>
              <w:t>Costs data covering &gt; 12 months of expenses</w:t>
            </w:r>
          </w:p>
        </w:tc>
        <w:tc>
          <w:tcPr>
            <w:tcW w:w="0" w:type="auto"/>
            <w:shd w:val="clear" w:color="auto" w:fill="FFFF7D"/>
          </w:tcPr>
          <w:p w14:paraId="17FB10F7" w14:textId="77777777" w:rsidR="002514BF" w:rsidRPr="000A18CF" w:rsidRDefault="002514BF" w:rsidP="00D153AD">
            <w:pPr>
              <w:pStyle w:val="NoSpacing"/>
              <w:rPr>
                <w:sz w:val="18"/>
                <w:szCs w:val="18"/>
              </w:rPr>
            </w:pPr>
            <w:r w:rsidRPr="000A18CF">
              <w:rPr>
                <w:sz w:val="18"/>
                <w:szCs w:val="18"/>
              </w:rPr>
              <w:t>Costs data cover &gt; 6 to ≤ 12 months of expenses</w:t>
            </w:r>
          </w:p>
        </w:tc>
        <w:tc>
          <w:tcPr>
            <w:tcW w:w="0" w:type="auto"/>
            <w:shd w:val="clear" w:color="auto" w:fill="FF8989"/>
          </w:tcPr>
          <w:p w14:paraId="15C687BC" w14:textId="77777777" w:rsidR="002514BF" w:rsidRPr="000A18CF" w:rsidRDefault="002514BF" w:rsidP="00D153AD">
            <w:pPr>
              <w:pStyle w:val="NoSpacing"/>
              <w:rPr>
                <w:sz w:val="18"/>
                <w:szCs w:val="18"/>
              </w:rPr>
            </w:pPr>
            <w:r w:rsidRPr="000A18CF">
              <w:rPr>
                <w:sz w:val="18"/>
                <w:szCs w:val="18"/>
              </w:rPr>
              <w:t>Costs data cover ≤ 6 months of expenses or no coverage dates are reported</w:t>
            </w:r>
          </w:p>
        </w:tc>
      </w:tr>
      <w:tr w:rsidR="002514BF" w:rsidRPr="000A18CF" w14:paraId="0F326A2A" w14:textId="77777777" w:rsidTr="00D153AD">
        <w:trPr>
          <w:trHeight w:val="128"/>
        </w:trPr>
        <w:tc>
          <w:tcPr>
            <w:tcW w:w="0" w:type="auto"/>
            <w:vMerge/>
            <w:shd w:val="clear" w:color="auto" w:fill="D9D9D9" w:themeFill="background1" w:themeFillShade="D9"/>
          </w:tcPr>
          <w:p w14:paraId="6DFEBBB8" w14:textId="77777777" w:rsidR="002514BF" w:rsidRPr="000A18CF" w:rsidRDefault="002514BF" w:rsidP="00D153AD">
            <w:pPr>
              <w:pStyle w:val="NoSpacing"/>
              <w:rPr>
                <w:b/>
                <w:sz w:val="18"/>
                <w:szCs w:val="18"/>
              </w:rPr>
            </w:pPr>
          </w:p>
        </w:tc>
        <w:tc>
          <w:tcPr>
            <w:tcW w:w="0" w:type="auto"/>
            <w:shd w:val="clear" w:color="auto" w:fill="D9D9D9" w:themeFill="background1" w:themeFillShade="D9"/>
          </w:tcPr>
          <w:p w14:paraId="6074790E" w14:textId="77777777" w:rsidR="002514BF" w:rsidRPr="000A18CF" w:rsidRDefault="002514BF" w:rsidP="00D153AD">
            <w:pPr>
              <w:pStyle w:val="NoSpacing"/>
              <w:rPr>
                <w:sz w:val="18"/>
                <w:szCs w:val="18"/>
              </w:rPr>
            </w:pPr>
            <w:r w:rsidRPr="000A18CF">
              <w:rPr>
                <w:sz w:val="18"/>
                <w:szCs w:val="18"/>
              </w:rPr>
              <w:t>Cost category coverage</w:t>
            </w:r>
          </w:p>
        </w:tc>
        <w:tc>
          <w:tcPr>
            <w:tcW w:w="0" w:type="auto"/>
            <w:shd w:val="clear" w:color="auto" w:fill="93FFC4"/>
          </w:tcPr>
          <w:p w14:paraId="6F54E79F" w14:textId="77777777" w:rsidR="002514BF" w:rsidRPr="000A18CF" w:rsidRDefault="002514BF" w:rsidP="00D153AD">
            <w:pPr>
              <w:pStyle w:val="NoSpacing"/>
              <w:rPr>
                <w:sz w:val="18"/>
                <w:szCs w:val="18"/>
              </w:rPr>
            </w:pPr>
            <w:r w:rsidRPr="000A18CF">
              <w:rPr>
                <w:sz w:val="18"/>
                <w:szCs w:val="18"/>
              </w:rPr>
              <w:t>Costs include expenses from at least 4 of the following categories: direct support, capital hardware, capital software, capital maintenance, consumable products, personnel, training, financing</w:t>
            </w:r>
          </w:p>
        </w:tc>
        <w:tc>
          <w:tcPr>
            <w:tcW w:w="0" w:type="auto"/>
            <w:shd w:val="clear" w:color="auto" w:fill="FFFF7D"/>
          </w:tcPr>
          <w:p w14:paraId="2746C14A" w14:textId="77777777" w:rsidR="002514BF" w:rsidRPr="000A18CF" w:rsidRDefault="002514BF" w:rsidP="00D153AD">
            <w:pPr>
              <w:pStyle w:val="NoSpacing"/>
              <w:rPr>
                <w:sz w:val="18"/>
                <w:szCs w:val="18"/>
              </w:rPr>
            </w:pPr>
            <w:r w:rsidRPr="000A18CF">
              <w:rPr>
                <w:sz w:val="18"/>
                <w:szCs w:val="18"/>
              </w:rPr>
              <w:t>Costs include expenses from at least 3 of the following categories: direct support, capital hardware, capital software, capital maintenance, consumable products, personnel, training, financing</w:t>
            </w:r>
          </w:p>
        </w:tc>
        <w:tc>
          <w:tcPr>
            <w:tcW w:w="0" w:type="auto"/>
            <w:shd w:val="clear" w:color="auto" w:fill="FF8989"/>
          </w:tcPr>
          <w:p w14:paraId="6071F78B" w14:textId="77777777" w:rsidR="002514BF" w:rsidRPr="000A18CF" w:rsidRDefault="002514BF" w:rsidP="00D153AD">
            <w:pPr>
              <w:pStyle w:val="NoSpacing"/>
              <w:rPr>
                <w:sz w:val="18"/>
                <w:szCs w:val="18"/>
              </w:rPr>
            </w:pPr>
            <w:r w:rsidRPr="000A18CF">
              <w:rPr>
                <w:sz w:val="18"/>
                <w:szCs w:val="18"/>
              </w:rPr>
              <w:t>Costs include expenses from fewer than 3 of the following categories: direct support, capital hardware, capital software, capital maintenance, consumable products, personnel, training, financing</w:t>
            </w:r>
          </w:p>
        </w:tc>
      </w:tr>
    </w:tbl>
    <w:p w14:paraId="58E1C724" w14:textId="6CCDDA19" w:rsidR="002514BF" w:rsidRPr="000A18CF" w:rsidRDefault="002514BF" w:rsidP="002514BF"/>
    <w:sectPr w:rsidR="002514BF" w:rsidRPr="000A18CF" w:rsidSect="00435CAD">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DDF169" w14:textId="77777777" w:rsidR="0067168C" w:rsidRDefault="0067168C" w:rsidP="00FD05FE">
      <w:r>
        <w:separator/>
      </w:r>
    </w:p>
  </w:endnote>
  <w:endnote w:type="continuationSeparator" w:id="0">
    <w:p w14:paraId="029A3DF7" w14:textId="77777777" w:rsidR="0067168C" w:rsidRDefault="0067168C" w:rsidP="00FD0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8491329"/>
      <w:docPartObj>
        <w:docPartGallery w:val="Page Numbers (Bottom of Page)"/>
        <w:docPartUnique/>
      </w:docPartObj>
    </w:sdtPr>
    <w:sdtEndPr>
      <w:rPr>
        <w:noProof/>
      </w:rPr>
    </w:sdtEndPr>
    <w:sdtContent>
      <w:p w14:paraId="4DA5D333" w14:textId="34FC5E0F" w:rsidR="00D153AD" w:rsidRDefault="00D153AD">
        <w:pPr>
          <w:pStyle w:val="Footer"/>
          <w:jc w:val="right"/>
        </w:pPr>
        <w:r>
          <w:fldChar w:fldCharType="begin"/>
        </w:r>
        <w:r>
          <w:instrText xml:space="preserve"> PAGE   \* MERGEFORMAT </w:instrText>
        </w:r>
        <w:r>
          <w:fldChar w:fldCharType="separate"/>
        </w:r>
        <w:r>
          <w:rPr>
            <w:noProof/>
          </w:rPr>
          <w:t>13</w:t>
        </w:r>
        <w:r>
          <w:rPr>
            <w:noProof/>
          </w:rPr>
          <w:fldChar w:fldCharType="end"/>
        </w:r>
      </w:p>
    </w:sdtContent>
  </w:sdt>
  <w:p w14:paraId="010C07AA" w14:textId="77777777" w:rsidR="00D153AD" w:rsidRDefault="00D153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9B099" w14:textId="77777777" w:rsidR="0067168C" w:rsidRDefault="0067168C" w:rsidP="00FD05FE">
      <w:r>
        <w:separator/>
      </w:r>
    </w:p>
  </w:footnote>
  <w:footnote w:type="continuationSeparator" w:id="0">
    <w:p w14:paraId="45FA78B0" w14:textId="77777777" w:rsidR="0067168C" w:rsidRDefault="0067168C" w:rsidP="00FD05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17B4D"/>
    <w:multiLevelType w:val="hybridMultilevel"/>
    <w:tmpl w:val="312CB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459A9"/>
    <w:multiLevelType w:val="hybridMultilevel"/>
    <w:tmpl w:val="EF624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C539C0"/>
    <w:multiLevelType w:val="hybridMultilevel"/>
    <w:tmpl w:val="5C129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06971"/>
    <w:multiLevelType w:val="hybridMultilevel"/>
    <w:tmpl w:val="CD0E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83410"/>
    <w:multiLevelType w:val="hybridMultilevel"/>
    <w:tmpl w:val="A6C43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991C59"/>
    <w:multiLevelType w:val="hybridMultilevel"/>
    <w:tmpl w:val="567E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C70A74"/>
    <w:multiLevelType w:val="hybridMultilevel"/>
    <w:tmpl w:val="6E8C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4F7622"/>
    <w:multiLevelType w:val="hybridMultilevel"/>
    <w:tmpl w:val="97AAE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E35175"/>
    <w:multiLevelType w:val="hybridMultilevel"/>
    <w:tmpl w:val="BE881A18"/>
    <w:lvl w:ilvl="0" w:tplc="2A9052CC">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D23C7"/>
    <w:multiLevelType w:val="hybridMultilevel"/>
    <w:tmpl w:val="CA7220DA"/>
    <w:lvl w:ilvl="0" w:tplc="2D522C2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BE097D"/>
    <w:multiLevelType w:val="hybridMultilevel"/>
    <w:tmpl w:val="C9880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9A3BD6"/>
    <w:multiLevelType w:val="hybridMultilevel"/>
    <w:tmpl w:val="9ED86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E26166"/>
    <w:multiLevelType w:val="hybridMultilevel"/>
    <w:tmpl w:val="C728ED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F057D6A"/>
    <w:multiLevelType w:val="hybridMultilevel"/>
    <w:tmpl w:val="415AA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2D17ED"/>
    <w:multiLevelType w:val="hybridMultilevel"/>
    <w:tmpl w:val="37F40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8D1333"/>
    <w:multiLevelType w:val="hybridMultilevel"/>
    <w:tmpl w:val="6BCE3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D7DB3"/>
    <w:multiLevelType w:val="hybridMultilevel"/>
    <w:tmpl w:val="371C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EA4C83"/>
    <w:multiLevelType w:val="hybridMultilevel"/>
    <w:tmpl w:val="FCF4D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B066E3"/>
    <w:multiLevelType w:val="hybridMultilevel"/>
    <w:tmpl w:val="B4222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9B1174"/>
    <w:multiLevelType w:val="hybridMultilevel"/>
    <w:tmpl w:val="927E6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C729C"/>
    <w:multiLevelType w:val="hybridMultilevel"/>
    <w:tmpl w:val="28EAF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C137B"/>
    <w:multiLevelType w:val="hybridMultilevel"/>
    <w:tmpl w:val="5E02D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7D16CC"/>
    <w:multiLevelType w:val="hybridMultilevel"/>
    <w:tmpl w:val="A886B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E4798B"/>
    <w:multiLevelType w:val="hybridMultilevel"/>
    <w:tmpl w:val="1DD4B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EF3710"/>
    <w:multiLevelType w:val="hybridMultilevel"/>
    <w:tmpl w:val="41001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0F7359"/>
    <w:multiLevelType w:val="hybridMultilevel"/>
    <w:tmpl w:val="49AA4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C12C77"/>
    <w:multiLevelType w:val="hybridMultilevel"/>
    <w:tmpl w:val="F544C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0522E4"/>
    <w:multiLevelType w:val="hybridMultilevel"/>
    <w:tmpl w:val="91085344"/>
    <w:lvl w:ilvl="0" w:tplc="E9480824">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CA7461"/>
    <w:multiLevelType w:val="hybridMultilevel"/>
    <w:tmpl w:val="E71E2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EF7E5F"/>
    <w:multiLevelType w:val="hybridMultilevel"/>
    <w:tmpl w:val="A0D81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246574"/>
    <w:multiLevelType w:val="hybridMultilevel"/>
    <w:tmpl w:val="DF52F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1E6F6D"/>
    <w:multiLevelType w:val="hybridMultilevel"/>
    <w:tmpl w:val="D7F0C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1D58D4"/>
    <w:multiLevelType w:val="hybridMultilevel"/>
    <w:tmpl w:val="1BE8F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BB066D"/>
    <w:multiLevelType w:val="hybridMultilevel"/>
    <w:tmpl w:val="80687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1706B4"/>
    <w:multiLevelType w:val="hybridMultilevel"/>
    <w:tmpl w:val="B2F61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5F4A0F"/>
    <w:multiLevelType w:val="hybridMultilevel"/>
    <w:tmpl w:val="AA6C9204"/>
    <w:lvl w:ilvl="0" w:tplc="E9480824">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044CAF"/>
    <w:multiLevelType w:val="hybridMultilevel"/>
    <w:tmpl w:val="72C2D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5D66D7"/>
    <w:multiLevelType w:val="hybridMultilevel"/>
    <w:tmpl w:val="1B141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7433E3"/>
    <w:multiLevelType w:val="hybridMultilevel"/>
    <w:tmpl w:val="2244D1E6"/>
    <w:lvl w:ilvl="0" w:tplc="A6D0268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485E6A"/>
    <w:multiLevelType w:val="hybridMultilevel"/>
    <w:tmpl w:val="98184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7051E3"/>
    <w:multiLevelType w:val="hybridMultilevel"/>
    <w:tmpl w:val="57167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8A6F6B"/>
    <w:multiLevelType w:val="hybridMultilevel"/>
    <w:tmpl w:val="3CFA96B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6"/>
  </w:num>
  <w:num w:numId="2">
    <w:abstractNumId w:val="40"/>
  </w:num>
  <w:num w:numId="3">
    <w:abstractNumId w:val="33"/>
  </w:num>
  <w:num w:numId="4">
    <w:abstractNumId w:val="39"/>
  </w:num>
  <w:num w:numId="5">
    <w:abstractNumId w:val="32"/>
  </w:num>
  <w:num w:numId="6">
    <w:abstractNumId w:val="25"/>
  </w:num>
  <w:num w:numId="7">
    <w:abstractNumId w:val="14"/>
  </w:num>
  <w:num w:numId="8">
    <w:abstractNumId w:val="5"/>
  </w:num>
  <w:num w:numId="9">
    <w:abstractNumId w:val="1"/>
  </w:num>
  <w:num w:numId="10">
    <w:abstractNumId w:val="36"/>
  </w:num>
  <w:num w:numId="11">
    <w:abstractNumId w:val="22"/>
  </w:num>
  <w:num w:numId="12">
    <w:abstractNumId w:val="0"/>
  </w:num>
  <w:num w:numId="13">
    <w:abstractNumId w:val="2"/>
  </w:num>
  <w:num w:numId="14">
    <w:abstractNumId w:val="28"/>
  </w:num>
  <w:num w:numId="15">
    <w:abstractNumId w:val="34"/>
  </w:num>
  <w:num w:numId="16">
    <w:abstractNumId w:val="20"/>
  </w:num>
  <w:num w:numId="17">
    <w:abstractNumId w:val="10"/>
  </w:num>
  <w:num w:numId="18">
    <w:abstractNumId w:val="11"/>
  </w:num>
  <w:num w:numId="19">
    <w:abstractNumId w:val="21"/>
  </w:num>
  <w:num w:numId="20">
    <w:abstractNumId w:val="15"/>
  </w:num>
  <w:num w:numId="21">
    <w:abstractNumId w:val="12"/>
  </w:num>
  <w:num w:numId="22">
    <w:abstractNumId w:val="7"/>
  </w:num>
  <w:num w:numId="23">
    <w:abstractNumId w:val="41"/>
  </w:num>
  <w:num w:numId="24">
    <w:abstractNumId w:val="19"/>
  </w:num>
  <w:num w:numId="25">
    <w:abstractNumId w:val="17"/>
  </w:num>
  <w:num w:numId="26">
    <w:abstractNumId w:val="30"/>
  </w:num>
  <w:num w:numId="27">
    <w:abstractNumId w:val="29"/>
  </w:num>
  <w:num w:numId="28">
    <w:abstractNumId w:val="26"/>
  </w:num>
  <w:num w:numId="29">
    <w:abstractNumId w:val="26"/>
  </w:num>
  <w:num w:numId="30">
    <w:abstractNumId w:val="4"/>
  </w:num>
  <w:num w:numId="31">
    <w:abstractNumId w:val="3"/>
  </w:num>
  <w:num w:numId="32">
    <w:abstractNumId w:val="13"/>
  </w:num>
  <w:num w:numId="33">
    <w:abstractNumId w:val="23"/>
  </w:num>
  <w:num w:numId="34">
    <w:abstractNumId w:val="31"/>
  </w:num>
  <w:num w:numId="35">
    <w:abstractNumId w:val="37"/>
  </w:num>
  <w:num w:numId="36">
    <w:abstractNumId w:val="38"/>
  </w:num>
  <w:num w:numId="37">
    <w:abstractNumId w:val="8"/>
  </w:num>
  <w:num w:numId="38">
    <w:abstractNumId w:val="6"/>
  </w:num>
  <w:num w:numId="39">
    <w:abstractNumId w:val="18"/>
  </w:num>
  <w:num w:numId="40">
    <w:abstractNumId w:val="24"/>
  </w:num>
  <w:num w:numId="41">
    <w:abstractNumId w:val="27"/>
  </w:num>
  <w:num w:numId="42">
    <w:abstractNumId w:val="35"/>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9220x02kxvddhe0xz2x505xe5fzwpfpzpvd&quot;&gt;My EndNote Library-Saved&lt;record-ids&gt;&lt;item&gt;233&lt;/item&gt;&lt;item&gt;28976&lt;/item&gt;&lt;item&gt;28980&lt;/item&gt;&lt;item&gt;28983&lt;/item&gt;&lt;item&gt;28986&lt;/item&gt;&lt;item&gt;28988&lt;/item&gt;&lt;item&gt;28989&lt;/item&gt;&lt;item&gt;28992&lt;/item&gt;&lt;item&gt;29055&lt;/item&gt;&lt;item&gt;29056&lt;/item&gt;&lt;item&gt;29090&lt;/item&gt;&lt;item&gt;29211&lt;/item&gt;&lt;item&gt;29493&lt;/item&gt;&lt;item&gt;29631&lt;/item&gt;&lt;item&gt;29736&lt;/item&gt;&lt;item&gt;29738&lt;/item&gt;&lt;item&gt;30049&lt;/item&gt;&lt;item&gt;30050&lt;/item&gt;&lt;item&gt;30053&lt;/item&gt;&lt;item&gt;30078&lt;/item&gt;&lt;/record-ids&gt;&lt;/item&gt;&lt;/Libraries&gt;"/>
  </w:docVars>
  <w:rsids>
    <w:rsidRoot w:val="00CD6D78"/>
    <w:rsid w:val="000012CE"/>
    <w:rsid w:val="00004304"/>
    <w:rsid w:val="000048E1"/>
    <w:rsid w:val="00004ABB"/>
    <w:rsid w:val="00004BF4"/>
    <w:rsid w:val="000059CC"/>
    <w:rsid w:val="00007F52"/>
    <w:rsid w:val="00010848"/>
    <w:rsid w:val="00014E9A"/>
    <w:rsid w:val="00015DF6"/>
    <w:rsid w:val="00015E33"/>
    <w:rsid w:val="00016230"/>
    <w:rsid w:val="00016B23"/>
    <w:rsid w:val="000201BC"/>
    <w:rsid w:val="00020BC5"/>
    <w:rsid w:val="00020CDA"/>
    <w:rsid w:val="00020F5E"/>
    <w:rsid w:val="000214FF"/>
    <w:rsid w:val="00023616"/>
    <w:rsid w:val="00023DC3"/>
    <w:rsid w:val="00026A94"/>
    <w:rsid w:val="000314C3"/>
    <w:rsid w:val="00031E87"/>
    <w:rsid w:val="0003266B"/>
    <w:rsid w:val="0003304A"/>
    <w:rsid w:val="00035201"/>
    <w:rsid w:val="00035CBC"/>
    <w:rsid w:val="00036543"/>
    <w:rsid w:val="0004072C"/>
    <w:rsid w:val="00040A5D"/>
    <w:rsid w:val="00043467"/>
    <w:rsid w:val="00043C11"/>
    <w:rsid w:val="000442AC"/>
    <w:rsid w:val="00046137"/>
    <w:rsid w:val="0005053D"/>
    <w:rsid w:val="00050BAE"/>
    <w:rsid w:val="0005117C"/>
    <w:rsid w:val="000529A8"/>
    <w:rsid w:val="00054CDB"/>
    <w:rsid w:val="00055008"/>
    <w:rsid w:val="000561FA"/>
    <w:rsid w:val="00056C17"/>
    <w:rsid w:val="00060ECE"/>
    <w:rsid w:val="000649D5"/>
    <w:rsid w:val="00065275"/>
    <w:rsid w:val="00067861"/>
    <w:rsid w:val="000716F2"/>
    <w:rsid w:val="00075AA6"/>
    <w:rsid w:val="000769FC"/>
    <w:rsid w:val="00077106"/>
    <w:rsid w:val="000775A5"/>
    <w:rsid w:val="00081AD4"/>
    <w:rsid w:val="00085B15"/>
    <w:rsid w:val="000876C3"/>
    <w:rsid w:val="00090BAC"/>
    <w:rsid w:val="00094501"/>
    <w:rsid w:val="00094AEC"/>
    <w:rsid w:val="000969D3"/>
    <w:rsid w:val="000A09DB"/>
    <w:rsid w:val="000A0D78"/>
    <w:rsid w:val="000A18CF"/>
    <w:rsid w:val="000A1991"/>
    <w:rsid w:val="000A2CAB"/>
    <w:rsid w:val="000B0CDD"/>
    <w:rsid w:val="000B1A6D"/>
    <w:rsid w:val="000B2366"/>
    <w:rsid w:val="000B2A39"/>
    <w:rsid w:val="000B2DD8"/>
    <w:rsid w:val="000B30D6"/>
    <w:rsid w:val="000B4534"/>
    <w:rsid w:val="000B4799"/>
    <w:rsid w:val="000B708D"/>
    <w:rsid w:val="000B79C8"/>
    <w:rsid w:val="000B7D88"/>
    <w:rsid w:val="000B7FED"/>
    <w:rsid w:val="000C0D9E"/>
    <w:rsid w:val="000C1649"/>
    <w:rsid w:val="000C1A27"/>
    <w:rsid w:val="000C1B4E"/>
    <w:rsid w:val="000C2424"/>
    <w:rsid w:val="000C2B6C"/>
    <w:rsid w:val="000C38C6"/>
    <w:rsid w:val="000C3E09"/>
    <w:rsid w:val="000C4EAC"/>
    <w:rsid w:val="000C4EDF"/>
    <w:rsid w:val="000C660C"/>
    <w:rsid w:val="000C6FC3"/>
    <w:rsid w:val="000D2F4D"/>
    <w:rsid w:val="000D5624"/>
    <w:rsid w:val="000D7209"/>
    <w:rsid w:val="000E0D58"/>
    <w:rsid w:val="000E0E13"/>
    <w:rsid w:val="000E1F11"/>
    <w:rsid w:val="000E288F"/>
    <w:rsid w:val="000E297A"/>
    <w:rsid w:val="000E6055"/>
    <w:rsid w:val="000E6639"/>
    <w:rsid w:val="000E7B20"/>
    <w:rsid w:val="000F126A"/>
    <w:rsid w:val="000F1284"/>
    <w:rsid w:val="000F2041"/>
    <w:rsid w:val="000F2B72"/>
    <w:rsid w:val="000F37EE"/>
    <w:rsid w:val="000F3DA1"/>
    <w:rsid w:val="000F4D1E"/>
    <w:rsid w:val="000F5498"/>
    <w:rsid w:val="00101DA7"/>
    <w:rsid w:val="00102BFE"/>
    <w:rsid w:val="00103479"/>
    <w:rsid w:val="001041F5"/>
    <w:rsid w:val="00105646"/>
    <w:rsid w:val="001062E4"/>
    <w:rsid w:val="001149E7"/>
    <w:rsid w:val="001159CE"/>
    <w:rsid w:val="00117E21"/>
    <w:rsid w:val="00117E43"/>
    <w:rsid w:val="0012015E"/>
    <w:rsid w:val="00120758"/>
    <w:rsid w:val="00120889"/>
    <w:rsid w:val="00123A14"/>
    <w:rsid w:val="00124C93"/>
    <w:rsid w:val="001252E2"/>
    <w:rsid w:val="00130231"/>
    <w:rsid w:val="00130440"/>
    <w:rsid w:val="00134D0A"/>
    <w:rsid w:val="00135189"/>
    <w:rsid w:val="001353CA"/>
    <w:rsid w:val="00136AB6"/>
    <w:rsid w:val="001372CB"/>
    <w:rsid w:val="001409A5"/>
    <w:rsid w:val="00141CE7"/>
    <w:rsid w:val="001426B0"/>
    <w:rsid w:val="00143A2F"/>
    <w:rsid w:val="00143F83"/>
    <w:rsid w:val="001507FD"/>
    <w:rsid w:val="001510DF"/>
    <w:rsid w:val="001519D3"/>
    <w:rsid w:val="0015209E"/>
    <w:rsid w:val="0015347C"/>
    <w:rsid w:val="001561F5"/>
    <w:rsid w:val="00157720"/>
    <w:rsid w:val="00160F90"/>
    <w:rsid w:val="0016292D"/>
    <w:rsid w:val="00162E57"/>
    <w:rsid w:val="00162FDC"/>
    <w:rsid w:val="001653F9"/>
    <w:rsid w:val="001657A1"/>
    <w:rsid w:val="00167088"/>
    <w:rsid w:val="001704CB"/>
    <w:rsid w:val="00170558"/>
    <w:rsid w:val="00171752"/>
    <w:rsid w:val="001724F9"/>
    <w:rsid w:val="00172BF9"/>
    <w:rsid w:val="00173D70"/>
    <w:rsid w:val="00174852"/>
    <w:rsid w:val="00174A2D"/>
    <w:rsid w:val="00174F8D"/>
    <w:rsid w:val="001759FF"/>
    <w:rsid w:val="00175CA0"/>
    <w:rsid w:val="00177406"/>
    <w:rsid w:val="001801A0"/>
    <w:rsid w:val="00182F69"/>
    <w:rsid w:val="00183ECD"/>
    <w:rsid w:val="001870F7"/>
    <w:rsid w:val="0019193D"/>
    <w:rsid w:val="00191EEF"/>
    <w:rsid w:val="00194280"/>
    <w:rsid w:val="00194415"/>
    <w:rsid w:val="0019449F"/>
    <w:rsid w:val="00195329"/>
    <w:rsid w:val="001954C6"/>
    <w:rsid w:val="0019725A"/>
    <w:rsid w:val="001979F7"/>
    <w:rsid w:val="001A135B"/>
    <w:rsid w:val="001A23CC"/>
    <w:rsid w:val="001A2DEE"/>
    <w:rsid w:val="001A6E69"/>
    <w:rsid w:val="001A7C59"/>
    <w:rsid w:val="001A7F11"/>
    <w:rsid w:val="001B2150"/>
    <w:rsid w:val="001B35A2"/>
    <w:rsid w:val="001B3B08"/>
    <w:rsid w:val="001B3F48"/>
    <w:rsid w:val="001B5D7C"/>
    <w:rsid w:val="001C00BA"/>
    <w:rsid w:val="001C0F1C"/>
    <w:rsid w:val="001C0F70"/>
    <w:rsid w:val="001C15C4"/>
    <w:rsid w:val="001C1AED"/>
    <w:rsid w:val="001C3621"/>
    <w:rsid w:val="001C650F"/>
    <w:rsid w:val="001D06C9"/>
    <w:rsid w:val="001D1476"/>
    <w:rsid w:val="001D41B1"/>
    <w:rsid w:val="001E035E"/>
    <w:rsid w:val="001E27ED"/>
    <w:rsid w:val="001E2915"/>
    <w:rsid w:val="001E46E8"/>
    <w:rsid w:val="001E4F5F"/>
    <w:rsid w:val="001E5A7E"/>
    <w:rsid w:val="001F0B94"/>
    <w:rsid w:val="001F12E5"/>
    <w:rsid w:val="001F1F5C"/>
    <w:rsid w:val="001F3A16"/>
    <w:rsid w:val="001F7232"/>
    <w:rsid w:val="00202C0C"/>
    <w:rsid w:val="002031CD"/>
    <w:rsid w:val="00203211"/>
    <w:rsid w:val="00203D2C"/>
    <w:rsid w:val="00204EB4"/>
    <w:rsid w:val="00207317"/>
    <w:rsid w:val="00210201"/>
    <w:rsid w:val="00210D1D"/>
    <w:rsid w:val="0021538C"/>
    <w:rsid w:val="00215CF9"/>
    <w:rsid w:val="0022299F"/>
    <w:rsid w:val="0022377A"/>
    <w:rsid w:val="002247FD"/>
    <w:rsid w:val="00225978"/>
    <w:rsid w:val="0023031F"/>
    <w:rsid w:val="0023120E"/>
    <w:rsid w:val="0023179C"/>
    <w:rsid w:val="00231F99"/>
    <w:rsid w:val="00232C04"/>
    <w:rsid w:val="00234785"/>
    <w:rsid w:val="00234C02"/>
    <w:rsid w:val="0024010D"/>
    <w:rsid w:val="00244944"/>
    <w:rsid w:val="002458AC"/>
    <w:rsid w:val="00246539"/>
    <w:rsid w:val="002514BF"/>
    <w:rsid w:val="00252676"/>
    <w:rsid w:val="00257D09"/>
    <w:rsid w:val="002640B0"/>
    <w:rsid w:val="00270BD7"/>
    <w:rsid w:val="00272037"/>
    <w:rsid w:val="002728BE"/>
    <w:rsid w:val="002734CD"/>
    <w:rsid w:val="00273B75"/>
    <w:rsid w:val="00274745"/>
    <w:rsid w:val="00280170"/>
    <w:rsid w:val="002811E7"/>
    <w:rsid w:val="00281B95"/>
    <w:rsid w:val="002822F8"/>
    <w:rsid w:val="00285BE1"/>
    <w:rsid w:val="002873BC"/>
    <w:rsid w:val="00290E2A"/>
    <w:rsid w:val="002924FF"/>
    <w:rsid w:val="002979EC"/>
    <w:rsid w:val="002A36A5"/>
    <w:rsid w:val="002A3E86"/>
    <w:rsid w:val="002A7AF8"/>
    <w:rsid w:val="002B33EF"/>
    <w:rsid w:val="002B4725"/>
    <w:rsid w:val="002C1F79"/>
    <w:rsid w:val="002C2462"/>
    <w:rsid w:val="002C4BC8"/>
    <w:rsid w:val="002C676F"/>
    <w:rsid w:val="002C71E1"/>
    <w:rsid w:val="002D3F52"/>
    <w:rsid w:val="002D4B5D"/>
    <w:rsid w:val="002D63C3"/>
    <w:rsid w:val="002D69A4"/>
    <w:rsid w:val="002E1251"/>
    <w:rsid w:val="002E198C"/>
    <w:rsid w:val="002E289A"/>
    <w:rsid w:val="002E44DA"/>
    <w:rsid w:val="002E6232"/>
    <w:rsid w:val="002F1FBA"/>
    <w:rsid w:val="002F2400"/>
    <w:rsid w:val="002F4108"/>
    <w:rsid w:val="002F47C2"/>
    <w:rsid w:val="002F6DD1"/>
    <w:rsid w:val="002F790B"/>
    <w:rsid w:val="002F7921"/>
    <w:rsid w:val="00300F75"/>
    <w:rsid w:val="00302708"/>
    <w:rsid w:val="003045DC"/>
    <w:rsid w:val="003046E6"/>
    <w:rsid w:val="00306066"/>
    <w:rsid w:val="003064F1"/>
    <w:rsid w:val="00307230"/>
    <w:rsid w:val="00311ADD"/>
    <w:rsid w:val="00311C17"/>
    <w:rsid w:val="00312835"/>
    <w:rsid w:val="00312BD6"/>
    <w:rsid w:val="0031422D"/>
    <w:rsid w:val="00314ACD"/>
    <w:rsid w:val="003151F1"/>
    <w:rsid w:val="003242ED"/>
    <w:rsid w:val="003251B7"/>
    <w:rsid w:val="00325216"/>
    <w:rsid w:val="00326A13"/>
    <w:rsid w:val="00327777"/>
    <w:rsid w:val="0033214A"/>
    <w:rsid w:val="003339CE"/>
    <w:rsid w:val="00333E3B"/>
    <w:rsid w:val="00334EE6"/>
    <w:rsid w:val="003353C4"/>
    <w:rsid w:val="00335831"/>
    <w:rsid w:val="00336046"/>
    <w:rsid w:val="00336340"/>
    <w:rsid w:val="003363C7"/>
    <w:rsid w:val="003379B7"/>
    <w:rsid w:val="00337C9E"/>
    <w:rsid w:val="00337DE2"/>
    <w:rsid w:val="003419BF"/>
    <w:rsid w:val="00341A1C"/>
    <w:rsid w:val="0034791B"/>
    <w:rsid w:val="00350A94"/>
    <w:rsid w:val="00352169"/>
    <w:rsid w:val="00353F5B"/>
    <w:rsid w:val="0035451E"/>
    <w:rsid w:val="00355152"/>
    <w:rsid w:val="00365236"/>
    <w:rsid w:val="003668D6"/>
    <w:rsid w:val="00366AC2"/>
    <w:rsid w:val="0037194E"/>
    <w:rsid w:val="003733B5"/>
    <w:rsid w:val="00373ED7"/>
    <w:rsid w:val="00373F1B"/>
    <w:rsid w:val="003763A9"/>
    <w:rsid w:val="00377593"/>
    <w:rsid w:val="003813F8"/>
    <w:rsid w:val="00381648"/>
    <w:rsid w:val="0038474C"/>
    <w:rsid w:val="00384762"/>
    <w:rsid w:val="00385DC8"/>
    <w:rsid w:val="00386AB2"/>
    <w:rsid w:val="00387171"/>
    <w:rsid w:val="00392B42"/>
    <w:rsid w:val="0039349B"/>
    <w:rsid w:val="003946E4"/>
    <w:rsid w:val="0039530A"/>
    <w:rsid w:val="00396930"/>
    <w:rsid w:val="003A15B0"/>
    <w:rsid w:val="003A19E6"/>
    <w:rsid w:val="003A2236"/>
    <w:rsid w:val="003A618C"/>
    <w:rsid w:val="003A6DA3"/>
    <w:rsid w:val="003B41F3"/>
    <w:rsid w:val="003B42AE"/>
    <w:rsid w:val="003B65D0"/>
    <w:rsid w:val="003B7454"/>
    <w:rsid w:val="003C15EF"/>
    <w:rsid w:val="003C1F60"/>
    <w:rsid w:val="003C3A8A"/>
    <w:rsid w:val="003C4684"/>
    <w:rsid w:val="003C646D"/>
    <w:rsid w:val="003C6948"/>
    <w:rsid w:val="003C70D4"/>
    <w:rsid w:val="003C7728"/>
    <w:rsid w:val="003D0CFD"/>
    <w:rsid w:val="003D23ED"/>
    <w:rsid w:val="003D2F9E"/>
    <w:rsid w:val="003D3CEB"/>
    <w:rsid w:val="003D5100"/>
    <w:rsid w:val="003D7E1E"/>
    <w:rsid w:val="003E0465"/>
    <w:rsid w:val="003E2F54"/>
    <w:rsid w:val="003E4613"/>
    <w:rsid w:val="003F0442"/>
    <w:rsid w:val="003F06F9"/>
    <w:rsid w:val="003F45E5"/>
    <w:rsid w:val="003F6243"/>
    <w:rsid w:val="003F6747"/>
    <w:rsid w:val="003F688B"/>
    <w:rsid w:val="004018F1"/>
    <w:rsid w:val="00401A99"/>
    <w:rsid w:val="004032FC"/>
    <w:rsid w:val="0040370F"/>
    <w:rsid w:val="00404368"/>
    <w:rsid w:val="00404AE7"/>
    <w:rsid w:val="00405536"/>
    <w:rsid w:val="00411FEA"/>
    <w:rsid w:val="00413C22"/>
    <w:rsid w:val="004151B7"/>
    <w:rsid w:val="00416AD9"/>
    <w:rsid w:val="004178B0"/>
    <w:rsid w:val="00417E79"/>
    <w:rsid w:val="00421097"/>
    <w:rsid w:val="00421481"/>
    <w:rsid w:val="004245F4"/>
    <w:rsid w:val="00424D08"/>
    <w:rsid w:val="004251DB"/>
    <w:rsid w:val="004259F3"/>
    <w:rsid w:val="00426CC1"/>
    <w:rsid w:val="00426FDF"/>
    <w:rsid w:val="004274C7"/>
    <w:rsid w:val="00433763"/>
    <w:rsid w:val="00435395"/>
    <w:rsid w:val="00435CAD"/>
    <w:rsid w:val="0044254E"/>
    <w:rsid w:val="00442CEA"/>
    <w:rsid w:val="00443436"/>
    <w:rsid w:val="00447D10"/>
    <w:rsid w:val="00451379"/>
    <w:rsid w:val="00452E87"/>
    <w:rsid w:val="004541C9"/>
    <w:rsid w:val="00456035"/>
    <w:rsid w:val="0045753D"/>
    <w:rsid w:val="004662F3"/>
    <w:rsid w:val="004670A0"/>
    <w:rsid w:val="004675C5"/>
    <w:rsid w:val="00467B40"/>
    <w:rsid w:val="00470CE7"/>
    <w:rsid w:val="00472758"/>
    <w:rsid w:val="004727C9"/>
    <w:rsid w:val="00480B11"/>
    <w:rsid w:val="00481FDA"/>
    <w:rsid w:val="00483291"/>
    <w:rsid w:val="00483A7A"/>
    <w:rsid w:val="004859F1"/>
    <w:rsid w:val="00486675"/>
    <w:rsid w:val="00491D32"/>
    <w:rsid w:val="00492FB8"/>
    <w:rsid w:val="00494372"/>
    <w:rsid w:val="00494A72"/>
    <w:rsid w:val="004970BA"/>
    <w:rsid w:val="004A0176"/>
    <w:rsid w:val="004A0776"/>
    <w:rsid w:val="004A1E00"/>
    <w:rsid w:val="004A3523"/>
    <w:rsid w:val="004A51E7"/>
    <w:rsid w:val="004A51EB"/>
    <w:rsid w:val="004A6471"/>
    <w:rsid w:val="004B258D"/>
    <w:rsid w:val="004B3219"/>
    <w:rsid w:val="004B3D07"/>
    <w:rsid w:val="004B47F8"/>
    <w:rsid w:val="004B4AE9"/>
    <w:rsid w:val="004B5C79"/>
    <w:rsid w:val="004C3F30"/>
    <w:rsid w:val="004C60A4"/>
    <w:rsid w:val="004C63C7"/>
    <w:rsid w:val="004C7E5F"/>
    <w:rsid w:val="004D12BB"/>
    <w:rsid w:val="004D2A9B"/>
    <w:rsid w:val="004D3295"/>
    <w:rsid w:val="004D4368"/>
    <w:rsid w:val="004D6430"/>
    <w:rsid w:val="004D6D86"/>
    <w:rsid w:val="004D7BCE"/>
    <w:rsid w:val="004E2C39"/>
    <w:rsid w:val="004E435B"/>
    <w:rsid w:val="004E6727"/>
    <w:rsid w:val="004F1889"/>
    <w:rsid w:val="004F435B"/>
    <w:rsid w:val="004F52CE"/>
    <w:rsid w:val="00502F8E"/>
    <w:rsid w:val="005043A9"/>
    <w:rsid w:val="005051E0"/>
    <w:rsid w:val="00506ACD"/>
    <w:rsid w:val="0051035F"/>
    <w:rsid w:val="005114BE"/>
    <w:rsid w:val="00513B47"/>
    <w:rsid w:val="0051441F"/>
    <w:rsid w:val="00516B64"/>
    <w:rsid w:val="00524EB5"/>
    <w:rsid w:val="00525EA7"/>
    <w:rsid w:val="00527EA9"/>
    <w:rsid w:val="00530A0C"/>
    <w:rsid w:val="00530EC3"/>
    <w:rsid w:val="00530F59"/>
    <w:rsid w:val="0053319F"/>
    <w:rsid w:val="00533300"/>
    <w:rsid w:val="00534F1A"/>
    <w:rsid w:val="005359C7"/>
    <w:rsid w:val="00537EEF"/>
    <w:rsid w:val="00541B0C"/>
    <w:rsid w:val="005436FA"/>
    <w:rsid w:val="00547F9E"/>
    <w:rsid w:val="0055037C"/>
    <w:rsid w:val="005526CF"/>
    <w:rsid w:val="005551C2"/>
    <w:rsid w:val="00556D18"/>
    <w:rsid w:val="0056400E"/>
    <w:rsid w:val="00565FED"/>
    <w:rsid w:val="00566B02"/>
    <w:rsid w:val="0056726D"/>
    <w:rsid w:val="00572FB3"/>
    <w:rsid w:val="00573E95"/>
    <w:rsid w:val="005748F8"/>
    <w:rsid w:val="00574DA3"/>
    <w:rsid w:val="00575A07"/>
    <w:rsid w:val="005764C0"/>
    <w:rsid w:val="00583555"/>
    <w:rsid w:val="005873FA"/>
    <w:rsid w:val="00587426"/>
    <w:rsid w:val="00596D0A"/>
    <w:rsid w:val="0059788A"/>
    <w:rsid w:val="005A60EC"/>
    <w:rsid w:val="005A6477"/>
    <w:rsid w:val="005B1054"/>
    <w:rsid w:val="005C3504"/>
    <w:rsid w:val="005C61C9"/>
    <w:rsid w:val="005D01D2"/>
    <w:rsid w:val="005D17F8"/>
    <w:rsid w:val="005D4F32"/>
    <w:rsid w:val="005D5AA9"/>
    <w:rsid w:val="005D5E6C"/>
    <w:rsid w:val="005D5F25"/>
    <w:rsid w:val="005D6680"/>
    <w:rsid w:val="005D7E25"/>
    <w:rsid w:val="005E05C7"/>
    <w:rsid w:val="005E2C64"/>
    <w:rsid w:val="005E2D55"/>
    <w:rsid w:val="005E33A0"/>
    <w:rsid w:val="005E3C36"/>
    <w:rsid w:val="005E7BF1"/>
    <w:rsid w:val="005F35EE"/>
    <w:rsid w:val="005F5D78"/>
    <w:rsid w:val="005F6A1D"/>
    <w:rsid w:val="005F7F0E"/>
    <w:rsid w:val="006028AA"/>
    <w:rsid w:val="00602E7C"/>
    <w:rsid w:val="006046D7"/>
    <w:rsid w:val="00604A54"/>
    <w:rsid w:val="00605557"/>
    <w:rsid w:val="0060665C"/>
    <w:rsid w:val="00606D2D"/>
    <w:rsid w:val="00620A08"/>
    <w:rsid w:val="00620DAF"/>
    <w:rsid w:val="00621A5D"/>
    <w:rsid w:val="00621C91"/>
    <w:rsid w:val="0062369B"/>
    <w:rsid w:val="00623A61"/>
    <w:rsid w:val="00624682"/>
    <w:rsid w:val="00624991"/>
    <w:rsid w:val="00624C55"/>
    <w:rsid w:val="006305B1"/>
    <w:rsid w:val="00631198"/>
    <w:rsid w:val="00631E46"/>
    <w:rsid w:val="00633455"/>
    <w:rsid w:val="00633D97"/>
    <w:rsid w:val="0063456B"/>
    <w:rsid w:val="006370E3"/>
    <w:rsid w:val="00641F66"/>
    <w:rsid w:val="006444C9"/>
    <w:rsid w:val="006467AE"/>
    <w:rsid w:val="00647939"/>
    <w:rsid w:val="00651883"/>
    <w:rsid w:val="0066172D"/>
    <w:rsid w:val="00661B71"/>
    <w:rsid w:val="00661FDA"/>
    <w:rsid w:val="00664534"/>
    <w:rsid w:val="00665416"/>
    <w:rsid w:val="00665FA2"/>
    <w:rsid w:val="00666D9B"/>
    <w:rsid w:val="00670DE5"/>
    <w:rsid w:val="0067168C"/>
    <w:rsid w:val="0067293A"/>
    <w:rsid w:val="006738C6"/>
    <w:rsid w:val="006754EF"/>
    <w:rsid w:val="00675972"/>
    <w:rsid w:val="00677EF6"/>
    <w:rsid w:val="0068284E"/>
    <w:rsid w:val="0068490F"/>
    <w:rsid w:val="00687FC0"/>
    <w:rsid w:val="006925F9"/>
    <w:rsid w:val="00694A64"/>
    <w:rsid w:val="00695CDC"/>
    <w:rsid w:val="0069706D"/>
    <w:rsid w:val="006A27F5"/>
    <w:rsid w:val="006A45EB"/>
    <w:rsid w:val="006A6E5A"/>
    <w:rsid w:val="006A6EA7"/>
    <w:rsid w:val="006B00DD"/>
    <w:rsid w:val="006B0F4B"/>
    <w:rsid w:val="006B20EF"/>
    <w:rsid w:val="006B2499"/>
    <w:rsid w:val="006B3884"/>
    <w:rsid w:val="006B4F68"/>
    <w:rsid w:val="006B7587"/>
    <w:rsid w:val="006C0AF8"/>
    <w:rsid w:val="006C64D6"/>
    <w:rsid w:val="006C7569"/>
    <w:rsid w:val="006C7EB1"/>
    <w:rsid w:val="006D2C65"/>
    <w:rsid w:val="006D5423"/>
    <w:rsid w:val="006D6C53"/>
    <w:rsid w:val="006E3CED"/>
    <w:rsid w:val="006E4FAA"/>
    <w:rsid w:val="006E6AC8"/>
    <w:rsid w:val="006E6BF1"/>
    <w:rsid w:val="006E7628"/>
    <w:rsid w:val="006E7801"/>
    <w:rsid w:val="006F0CE4"/>
    <w:rsid w:val="006F19B1"/>
    <w:rsid w:val="006F1B4C"/>
    <w:rsid w:val="006F2B34"/>
    <w:rsid w:val="006F50DC"/>
    <w:rsid w:val="006F6B33"/>
    <w:rsid w:val="006F7CC6"/>
    <w:rsid w:val="00701CA2"/>
    <w:rsid w:val="007165C1"/>
    <w:rsid w:val="00716A70"/>
    <w:rsid w:val="0072174F"/>
    <w:rsid w:val="00721B82"/>
    <w:rsid w:val="00724B55"/>
    <w:rsid w:val="00724E56"/>
    <w:rsid w:val="0072566C"/>
    <w:rsid w:val="0072572B"/>
    <w:rsid w:val="00731883"/>
    <w:rsid w:val="00732204"/>
    <w:rsid w:val="00734374"/>
    <w:rsid w:val="00740C20"/>
    <w:rsid w:val="00741EC9"/>
    <w:rsid w:val="007455BA"/>
    <w:rsid w:val="0074682D"/>
    <w:rsid w:val="00746A92"/>
    <w:rsid w:val="007504F6"/>
    <w:rsid w:val="00750E71"/>
    <w:rsid w:val="007560A6"/>
    <w:rsid w:val="00757629"/>
    <w:rsid w:val="00760232"/>
    <w:rsid w:val="00760A74"/>
    <w:rsid w:val="00762866"/>
    <w:rsid w:val="00762FF3"/>
    <w:rsid w:val="0076516C"/>
    <w:rsid w:val="00775804"/>
    <w:rsid w:val="00777E52"/>
    <w:rsid w:val="007802C2"/>
    <w:rsid w:val="00781531"/>
    <w:rsid w:val="0078367A"/>
    <w:rsid w:val="00787AD3"/>
    <w:rsid w:val="007916D2"/>
    <w:rsid w:val="007923FF"/>
    <w:rsid w:val="007930A3"/>
    <w:rsid w:val="00793C86"/>
    <w:rsid w:val="00794DC9"/>
    <w:rsid w:val="00795893"/>
    <w:rsid w:val="00796CD3"/>
    <w:rsid w:val="00796E01"/>
    <w:rsid w:val="0079793E"/>
    <w:rsid w:val="007A59ED"/>
    <w:rsid w:val="007B14F6"/>
    <w:rsid w:val="007B36DF"/>
    <w:rsid w:val="007B4BFB"/>
    <w:rsid w:val="007B5AB8"/>
    <w:rsid w:val="007B6A7F"/>
    <w:rsid w:val="007C038C"/>
    <w:rsid w:val="007C33B1"/>
    <w:rsid w:val="007C5D30"/>
    <w:rsid w:val="007D02BE"/>
    <w:rsid w:val="007D0401"/>
    <w:rsid w:val="007D18B7"/>
    <w:rsid w:val="007D507A"/>
    <w:rsid w:val="007E09F1"/>
    <w:rsid w:val="007E1736"/>
    <w:rsid w:val="007E1752"/>
    <w:rsid w:val="007E290B"/>
    <w:rsid w:val="007E4A22"/>
    <w:rsid w:val="007E520D"/>
    <w:rsid w:val="007E5C56"/>
    <w:rsid w:val="007F1B23"/>
    <w:rsid w:val="007F2EC9"/>
    <w:rsid w:val="007F3653"/>
    <w:rsid w:val="007F552A"/>
    <w:rsid w:val="007F5747"/>
    <w:rsid w:val="007F63A9"/>
    <w:rsid w:val="00800497"/>
    <w:rsid w:val="008012DF"/>
    <w:rsid w:val="008015D0"/>
    <w:rsid w:val="00804F06"/>
    <w:rsid w:val="00805D3E"/>
    <w:rsid w:val="00806273"/>
    <w:rsid w:val="00807C85"/>
    <w:rsid w:val="0081027C"/>
    <w:rsid w:val="0081096A"/>
    <w:rsid w:val="00810A76"/>
    <w:rsid w:val="00812092"/>
    <w:rsid w:val="008128DF"/>
    <w:rsid w:val="00812B40"/>
    <w:rsid w:val="0081323F"/>
    <w:rsid w:val="008206A3"/>
    <w:rsid w:val="008243ED"/>
    <w:rsid w:val="008316E3"/>
    <w:rsid w:val="008326A3"/>
    <w:rsid w:val="008474B6"/>
    <w:rsid w:val="00853532"/>
    <w:rsid w:val="0085379D"/>
    <w:rsid w:val="008570D3"/>
    <w:rsid w:val="00857FFA"/>
    <w:rsid w:val="00861015"/>
    <w:rsid w:val="00861761"/>
    <w:rsid w:val="00863241"/>
    <w:rsid w:val="0086636B"/>
    <w:rsid w:val="008707F6"/>
    <w:rsid w:val="00873F63"/>
    <w:rsid w:val="008752B5"/>
    <w:rsid w:val="00875DFF"/>
    <w:rsid w:val="00881978"/>
    <w:rsid w:val="0088239E"/>
    <w:rsid w:val="008843E6"/>
    <w:rsid w:val="00890C1B"/>
    <w:rsid w:val="00892FAF"/>
    <w:rsid w:val="00893373"/>
    <w:rsid w:val="00894B0E"/>
    <w:rsid w:val="00896A0C"/>
    <w:rsid w:val="00897CD2"/>
    <w:rsid w:val="008A0D48"/>
    <w:rsid w:val="008A1DD0"/>
    <w:rsid w:val="008A4907"/>
    <w:rsid w:val="008A5929"/>
    <w:rsid w:val="008A6172"/>
    <w:rsid w:val="008B1095"/>
    <w:rsid w:val="008B18E1"/>
    <w:rsid w:val="008B2294"/>
    <w:rsid w:val="008B311F"/>
    <w:rsid w:val="008B3F7B"/>
    <w:rsid w:val="008B52C6"/>
    <w:rsid w:val="008B6338"/>
    <w:rsid w:val="008B710C"/>
    <w:rsid w:val="008C03EC"/>
    <w:rsid w:val="008C14B1"/>
    <w:rsid w:val="008C2416"/>
    <w:rsid w:val="008C2885"/>
    <w:rsid w:val="008C3960"/>
    <w:rsid w:val="008C4212"/>
    <w:rsid w:val="008C491F"/>
    <w:rsid w:val="008C4B12"/>
    <w:rsid w:val="008D06AA"/>
    <w:rsid w:val="008D1C29"/>
    <w:rsid w:val="008D2F22"/>
    <w:rsid w:val="008D4979"/>
    <w:rsid w:val="008D4F90"/>
    <w:rsid w:val="008D5008"/>
    <w:rsid w:val="008D5530"/>
    <w:rsid w:val="008D5E45"/>
    <w:rsid w:val="008D61F1"/>
    <w:rsid w:val="008E05DB"/>
    <w:rsid w:val="008E0874"/>
    <w:rsid w:val="008E190F"/>
    <w:rsid w:val="008E1950"/>
    <w:rsid w:val="008E251D"/>
    <w:rsid w:val="008E3C63"/>
    <w:rsid w:val="008E5339"/>
    <w:rsid w:val="008E7840"/>
    <w:rsid w:val="008E7BBA"/>
    <w:rsid w:val="008F1612"/>
    <w:rsid w:val="008F2E17"/>
    <w:rsid w:val="008F5E2F"/>
    <w:rsid w:val="008F61BC"/>
    <w:rsid w:val="008F6F23"/>
    <w:rsid w:val="00905A33"/>
    <w:rsid w:val="009072ED"/>
    <w:rsid w:val="00914CBC"/>
    <w:rsid w:val="00914D44"/>
    <w:rsid w:val="00916222"/>
    <w:rsid w:val="00916DE5"/>
    <w:rsid w:val="009233E1"/>
    <w:rsid w:val="009236AA"/>
    <w:rsid w:val="00924269"/>
    <w:rsid w:val="00924D63"/>
    <w:rsid w:val="009271C9"/>
    <w:rsid w:val="00927567"/>
    <w:rsid w:val="00931658"/>
    <w:rsid w:val="00932B19"/>
    <w:rsid w:val="009351BD"/>
    <w:rsid w:val="00935825"/>
    <w:rsid w:val="00937575"/>
    <w:rsid w:val="00941589"/>
    <w:rsid w:val="00942338"/>
    <w:rsid w:val="009456B6"/>
    <w:rsid w:val="0094639B"/>
    <w:rsid w:val="009475A6"/>
    <w:rsid w:val="00951187"/>
    <w:rsid w:val="00951E63"/>
    <w:rsid w:val="00952719"/>
    <w:rsid w:val="009539CA"/>
    <w:rsid w:val="0095438E"/>
    <w:rsid w:val="00955080"/>
    <w:rsid w:val="00957513"/>
    <w:rsid w:val="00960342"/>
    <w:rsid w:val="0096292C"/>
    <w:rsid w:val="009635D6"/>
    <w:rsid w:val="009655C1"/>
    <w:rsid w:val="0096748F"/>
    <w:rsid w:val="00967609"/>
    <w:rsid w:val="009714D8"/>
    <w:rsid w:val="0097179C"/>
    <w:rsid w:val="00975B51"/>
    <w:rsid w:val="00975C01"/>
    <w:rsid w:val="00981BBE"/>
    <w:rsid w:val="00983EDC"/>
    <w:rsid w:val="00985496"/>
    <w:rsid w:val="00990381"/>
    <w:rsid w:val="00995A10"/>
    <w:rsid w:val="00995FE1"/>
    <w:rsid w:val="00996695"/>
    <w:rsid w:val="009977F8"/>
    <w:rsid w:val="009A0753"/>
    <w:rsid w:val="009A2A99"/>
    <w:rsid w:val="009A40A4"/>
    <w:rsid w:val="009A41F2"/>
    <w:rsid w:val="009A60A3"/>
    <w:rsid w:val="009B110C"/>
    <w:rsid w:val="009B2321"/>
    <w:rsid w:val="009C0FC9"/>
    <w:rsid w:val="009C16FA"/>
    <w:rsid w:val="009C469F"/>
    <w:rsid w:val="009D1813"/>
    <w:rsid w:val="009D1F6F"/>
    <w:rsid w:val="009D3CFC"/>
    <w:rsid w:val="009D3F89"/>
    <w:rsid w:val="009D4E92"/>
    <w:rsid w:val="009D5866"/>
    <w:rsid w:val="009D7B44"/>
    <w:rsid w:val="009E19FD"/>
    <w:rsid w:val="009E23A9"/>
    <w:rsid w:val="009E5356"/>
    <w:rsid w:val="009F1C12"/>
    <w:rsid w:val="009F4B22"/>
    <w:rsid w:val="009F4C75"/>
    <w:rsid w:val="00A02774"/>
    <w:rsid w:val="00A02C2A"/>
    <w:rsid w:val="00A03ABF"/>
    <w:rsid w:val="00A062A7"/>
    <w:rsid w:val="00A073D1"/>
    <w:rsid w:val="00A10AED"/>
    <w:rsid w:val="00A12887"/>
    <w:rsid w:val="00A16F4E"/>
    <w:rsid w:val="00A17037"/>
    <w:rsid w:val="00A17F13"/>
    <w:rsid w:val="00A20872"/>
    <w:rsid w:val="00A20B9B"/>
    <w:rsid w:val="00A22BC0"/>
    <w:rsid w:val="00A22D56"/>
    <w:rsid w:val="00A2407F"/>
    <w:rsid w:val="00A27322"/>
    <w:rsid w:val="00A27B8B"/>
    <w:rsid w:val="00A30023"/>
    <w:rsid w:val="00A32201"/>
    <w:rsid w:val="00A32853"/>
    <w:rsid w:val="00A332CE"/>
    <w:rsid w:val="00A37126"/>
    <w:rsid w:val="00A37928"/>
    <w:rsid w:val="00A437EB"/>
    <w:rsid w:val="00A44F2C"/>
    <w:rsid w:val="00A51B84"/>
    <w:rsid w:val="00A53092"/>
    <w:rsid w:val="00A55783"/>
    <w:rsid w:val="00A57B1B"/>
    <w:rsid w:val="00A6044D"/>
    <w:rsid w:val="00A62D35"/>
    <w:rsid w:val="00A6327E"/>
    <w:rsid w:val="00A63E35"/>
    <w:rsid w:val="00A65233"/>
    <w:rsid w:val="00A660C4"/>
    <w:rsid w:val="00A67226"/>
    <w:rsid w:val="00A67ADE"/>
    <w:rsid w:val="00A72319"/>
    <w:rsid w:val="00A72A2A"/>
    <w:rsid w:val="00A732F6"/>
    <w:rsid w:val="00A747C6"/>
    <w:rsid w:val="00A76FD2"/>
    <w:rsid w:val="00A77272"/>
    <w:rsid w:val="00A805E2"/>
    <w:rsid w:val="00A83048"/>
    <w:rsid w:val="00A9688A"/>
    <w:rsid w:val="00A96FF5"/>
    <w:rsid w:val="00AA14BF"/>
    <w:rsid w:val="00AB6081"/>
    <w:rsid w:val="00AB6AEA"/>
    <w:rsid w:val="00AC07D4"/>
    <w:rsid w:val="00AC3D05"/>
    <w:rsid w:val="00AC538A"/>
    <w:rsid w:val="00AC6E93"/>
    <w:rsid w:val="00AC721B"/>
    <w:rsid w:val="00AD1959"/>
    <w:rsid w:val="00AD2236"/>
    <w:rsid w:val="00AD2C7E"/>
    <w:rsid w:val="00AE173D"/>
    <w:rsid w:val="00AE1AF4"/>
    <w:rsid w:val="00AE1F22"/>
    <w:rsid w:val="00AE38F3"/>
    <w:rsid w:val="00AE6551"/>
    <w:rsid w:val="00AE7037"/>
    <w:rsid w:val="00AF096D"/>
    <w:rsid w:val="00AF1533"/>
    <w:rsid w:val="00AF15F7"/>
    <w:rsid w:val="00AF33F2"/>
    <w:rsid w:val="00AF3985"/>
    <w:rsid w:val="00AF3FDB"/>
    <w:rsid w:val="00AF4F83"/>
    <w:rsid w:val="00AF5A75"/>
    <w:rsid w:val="00AF7F89"/>
    <w:rsid w:val="00B0010C"/>
    <w:rsid w:val="00B00D65"/>
    <w:rsid w:val="00B02C73"/>
    <w:rsid w:val="00B04553"/>
    <w:rsid w:val="00B049D9"/>
    <w:rsid w:val="00B04ADC"/>
    <w:rsid w:val="00B04FF3"/>
    <w:rsid w:val="00B06365"/>
    <w:rsid w:val="00B10A37"/>
    <w:rsid w:val="00B14025"/>
    <w:rsid w:val="00B14F4B"/>
    <w:rsid w:val="00B1638D"/>
    <w:rsid w:val="00B21224"/>
    <w:rsid w:val="00B21D8D"/>
    <w:rsid w:val="00B22AB8"/>
    <w:rsid w:val="00B23D52"/>
    <w:rsid w:val="00B316CC"/>
    <w:rsid w:val="00B33B75"/>
    <w:rsid w:val="00B33D55"/>
    <w:rsid w:val="00B33D75"/>
    <w:rsid w:val="00B34579"/>
    <w:rsid w:val="00B36909"/>
    <w:rsid w:val="00B3739F"/>
    <w:rsid w:val="00B37D13"/>
    <w:rsid w:val="00B4246A"/>
    <w:rsid w:val="00B45AAD"/>
    <w:rsid w:val="00B47EC2"/>
    <w:rsid w:val="00B506D1"/>
    <w:rsid w:val="00B51134"/>
    <w:rsid w:val="00B51E72"/>
    <w:rsid w:val="00B551C5"/>
    <w:rsid w:val="00B60108"/>
    <w:rsid w:val="00B62EA8"/>
    <w:rsid w:val="00B63220"/>
    <w:rsid w:val="00B66C27"/>
    <w:rsid w:val="00B66F12"/>
    <w:rsid w:val="00B749A1"/>
    <w:rsid w:val="00B77676"/>
    <w:rsid w:val="00B84FE5"/>
    <w:rsid w:val="00B859AD"/>
    <w:rsid w:val="00B93E58"/>
    <w:rsid w:val="00B94576"/>
    <w:rsid w:val="00B96C95"/>
    <w:rsid w:val="00B97087"/>
    <w:rsid w:val="00BA0721"/>
    <w:rsid w:val="00BA0E97"/>
    <w:rsid w:val="00BA22D0"/>
    <w:rsid w:val="00BA4088"/>
    <w:rsid w:val="00BA4D39"/>
    <w:rsid w:val="00BA701A"/>
    <w:rsid w:val="00BB0ACD"/>
    <w:rsid w:val="00BB15C5"/>
    <w:rsid w:val="00BB1C2A"/>
    <w:rsid w:val="00BB3636"/>
    <w:rsid w:val="00BB3936"/>
    <w:rsid w:val="00BB4729"/>
    <w:rsid w:val="00BB4B76"/>
    <w:rsid w:val="00BB6CC7"/>
    <w:rsid w:val="00BC0A7D"/>
    <w:rsid w:val="00BC302D"/>
    <w:rsid w:val="00BC3885"/>
    <w:rsid w:val="00BC3B78"/>
    <w:rsid w:val="00BC3C77"/>
    <w:rsid w:val="00BC4AE5"/>
    <w:rsid w:val="00BC66A0"/>
    <w:rsid w:val="00BD16D1"/>
    <w:rsid w:val="00BD5F4D"/>
    <w:rsid w:val="00BD60DA"/>
    <w:rsid w:val="00BD7595"/>
    <w:rsid w:val="00BD76F6"/>
    <w:rsid w:val="00BE063C"/>
    <w:rsid w:val="00BE086D"/>
    <w:rsid w:val="00BE0DA3"/>
    <w:rsid w:val="00BE1716"/>
    <w:rsid w:val="00BE250A"/>
    <w:rsid w:val="00BE32C5"/>
    <w:rsid w:val="00BE354E"/>
    <w:rsid w:val="00BF02DA"/>
    <w:rsid w:val="00BF1E5D"/>
    <w:rsid w:val="00BF26C3"/>
    <w:rsid w:val="00BF36B1"/>
    <w:rsid w:val="00BF647B"/>
    <w:rsid w:val="00BF6744"/>
    <w:rsid w:val="00C033DF"/>
    <w:rsid w:val="00C07CC3"/>
    <w:rsid w:val="00C1337B"/>
    <w:rsid w:val="00C14F27"/>
    <w:rsid w:val="00C1724C"/>
    <w:rsid w:val="00C17A3C"/>
    <w:rsid w:val="00C21224"/>
    <w:rsid w:val="00C2197D"/>
    <w:rsid w:val="00C229F4"/>
    <w:rsid w:val="00C22E47"/>
    <w:rsid w:val="00C24791"/>
    <w:rsid w:val="00C24979"/>
    <w:rsid w:val="00C27031"/>
    <w:rsid w:val="00C27106"/>
    <w:rsid w:val="00C33AB0"/>
    <w:rsid w:val="00C34BAB"/>
    <w:rsid w:val="00C35204"/>
    <w:rsid w:val="00C3592C"/>
    <w:rsid w:val="00C36589"/>
    <w:rsid w:val="00C37A9E"/>
    <w:rsid w:val="00C37CB3"/>
    <w:rsid w:val="00C401FA"/>
    <w:rsid w:val="00C423B5"/>
    <w:rsid w:val="00C4694B"/>
    <w:rsid w:val="00C46C5A"/>
    <w:rsid w:val="00C52927"/>
    <w:rsid w:val="00C5582F"/>
    <w:rsid w:val="00C56029"/>
    <w:rsid w:val="00C60179"/>
    <w:rsid w:val="00C6074E"/>
    <w:rsid w:val="00C6289A"/>
    <w:rsid w:val="00C6391E"/>
    <w:rsid w:val="00C65449"/>
    <w:rsid w:val="00C66FBB"/>
    <w:rsid w:val="00C6741E"/>
    <w:rsid w:val="00C67D36"/>
    <w:rsid w:val="00C72D3E"/>
    <w:rsid w:val="00C745D0"/>
    <w:rsid w:val="00C773D5"/>
    <w:rsid w:val="00C81FBC"/>
    <w:rsid w:val="00C85C59"/>
    <w:rsid w:val="00C85F17"/>
    <w:rsid w:val="00C869E8"/>
    <w:rsid w:val="00C87692"/>
    <w:rsid w:val="00C87FED"/>
    <w:rsid w:val="00C929B7"/>
    <w:rsid w:val="00C956C5"/>
    <w:rsid w:val="00C96577"/>
    <w:rsid w:val="00C97914"/>
    <w:rsid w:val="00C97DBA"/>
    <w:rsid w:val="00C97F1C"/>
    <w:rsid w:val="00CA2B4D"/>
    <w:rsid w:val="00CB0F04"/>
    <w:rsid w:val="00CB16D9"/>
    <w:rsid w:val="00CB242A"/>
    <w:rsid w:val="00CB57C9"/>
    <w:rsid w:val="00CB5A1D"/>
    <w:rsid w:val="00CB68C6"/>
    <w:rsid w:val="00CB7E75"/>
    <w:rsid w:val="00CC53D6"/>
    <w:rsid w:val="00CC7235"/>
    <w:rsid w:val="00CD1921"/>
    <w:rsid w:val="00CD2287"/>
    <w:rsid w:val="00CD2C41"/>
    <w:rsid w:val="00CD3485"/>
    <w:rsid w:val="00CD46D0"/>
    <w:rsid w:val="00CD470B"/>
    <w:rsid w:val="00CD4B20"/>
    <w:rsid w:val="00CD6D78"/>
    <w:rsid w:val="00CD6FEF"/>
    <w:rsid w:val="00CD7A82"/>
    <w:rsid w:val="00CE23CA"/>
    <w:rsid w:val="00CE6C8E"/>
    <w:rsid w:val="00CF08EF"/>
    <w:rsid w:val="00CF6104"/>
    <w:rsid w:val="00D020FB"/>
    <w:rsid w:val="00D06172"/>
    <w:rsid w:val="00D07E5E"/>
    <w:rsid w:val="00D12A34"/>
    <w:rsid w:val="00D12BA5"/>
    <w:rsid w:val="00D13E95"/>
    <w:rsid w:val="00D153AD"/>
    <w:rsid w:val="00D16362"/>
    <w:rsid w:val="00D170B1"/>
    <w:rsid w:val="00D21E46"/>
    <w:rsid w:val="00D23BA5"/>
    <w:rsid w:val="00D23E1E"/>
    <w:rsid w:val="00D24C99"/>
    <w:rsid w:val="00D26B6F"/>
    <w:rsid w:val="00D270B2"/>
    <w:rsid w:val="00D27235"/>
    <w:rsid w:val="00D30403"/>
    <w:rsid w:val="00D36D9E"/>
    <w:rsid w:val="00D36E7B"/>
    <w:rsid w:val="00D40CA8"/>
    <w:rsid w:val="00D410DA"/>
    <w:rsid w:val="00D4427B"/>
    <w:rsid w:val="00D444B8"/>
    <w:rsid w:val="00D4620B"/>
    <w:rsid w:val="00D50308"/>
    <w:rsid w:val="00D510C2"/>
    <w:rsid w:val="00D564B5"/>
    <w:rsid w:val="00D571C6"/>
    <w:rsid w:val="00D57F8B"/>
    <w:rsid w:val="00D61641"/>
    <w:rsid w:val="00D628B9"/>
    <w:rsid w:val="00D6307D"/>
    <w:rsid w:val="00D640EE"/>
    <w:rsid w:val="00D65CAD"/>
    <w:rsid w:val="00D662DC"/>
    <w:rsid w:val="00D72228"/>
    <w:rsid w:val="00D7364B"/>
    <w:rsid w:val="00D7382A"/>
    <w:rsid w:val="00D7400A"/>
    <w:rsid w:val="00D740CB"/>
    <w:rsid w:val="00D74D4C"/>
    <w:rsid w:val="00D75D36"/>
    <w:rsid w:val="00D77A43"/>
    <w:rsid w:val="00D80099"/>
    <w:rsid w:val="00D81074"/>
    <w:rsid w:val="00D825C4"/>
    <w:rsid w:val="00D83235"/>
    <w:rsid w:val="00D858EA"/>
    <w:rsid w:val="00D85FAE"/>
    <w:rsid w:val="00D87DE6"/>
    <w:rsid w:val="00D92428"/>
    <w:rsid w:val="00D92BC3"/>
    <w:rsid w:val="00D92D4E"/>
    <w:rsid w:val="00D951E3"/>
    <w:rsid w:val="00DA0A6C"/>
    <w:rsid w:val="00DA1FF5"/>
    <w:rsid w:val="00DA2195"/>
    <w:rsid w:val="00DA476C"/>
    <w:rsid w:val="00DA5EDF"/>
    <w:rsid w:val="00DA7911"/>
    <w:rsid w:val="00DB101C"/>
    <w:rsid w:val="00DB7A2A"/>
    <w:rsid w:val="00DB7FC4"/>
    <w:rsid w:val="00DC0668"/>
    <w:rsid w:val="00DC12CE"/>
    <w:rsid w:val="00DC13E4"/>
    <w:rsid w:val="00DC4C55"/>
    <w:rsid w:val="00DC56BF"/>
    <w:rsid w:val="00DC656A"/>
    <w:rsid w:val="00DC658F"/>
    <w:rsid w:val="00DD126C"/>
    <w:rsid w:val="00DD1D8E"/>
    <w:rsid w:val="00DD4EF4"/>
    <w:rsid w:val="00DD5AA2"/>
    <w:rsid w:val="00DD6555"/>
    <w:rsid w:val="00DD70CF"/>
    <w:rsid w:val="00DE31D7"/>
    <w:rsid w:val="00DE64C8"/>
    <w:rsid w:val="00DE7166"/>
    <w:rsid w:val="00DF0A9D"/>
    <w:rsid w:val="00DF0F45"/>
    <w:rsid w:val="00DF160D"/>
    <w:rsid w:val="00DF238C"/>
    <w:rsid w:val="00DF2D15"/>
    <w:rsid w:val="00DF4E34"/>
    <w:rsid w:val="00DF5FA9"/>
    <w:rsid w:val="00DF7E21"/>
    <w:rsid w:val="00E01024"/>
    <w:rsid w:val="00E039EA"/>
    <w:rsid w:val="00E05C04"/>
    <w:rsid w:val="00E12C38"/>
    <w:rsid w:val="00E13834"/>
    <w:rsid w:val="00E145A1"/>
    <w:rsid w:val="00E169CE"/>
    <w:rsid w:val="00E16F5D"/>
    <w:rsid w:val="00E17685"/>
    <w:rsid w:val="00E2074C"/>
    <w:rsid w:val="00E20A98"/>
    <w:rsid w:val="00E23DE3"/>
    <w:rsid w:val="00E31758"/>
    <w:rsid w:val="00E33893"/>
    <w:rsid w:val="00E33C50"/>
    <w:rsid w:val="00E342CE"/>
    <w:rsid w:val="00E3472C"/>
    <w:rsid w:val="00E367AF"/>
    <w:rsid w:val="00E40C34"/>
    <w:rsid w:val="00E43B86"/>
    <w:rsid w:val="00E4778C"/>
    <w:rsid w:val="00E50E06"/>
    <w:rsid w:val="00E529D4"/>
    <w:rsid w:val="00E52C7D"/>
    <w:rsid w:val="00E54380"/>
    <w:rsid w:val="00E60822"/>
    <w:rsid w:val="00E614C4"/>
    <w:rsid w:val="00E62EAA"/>
    <w:rsid w:val="00E648EC"/>
    <w:rsid w:val="00E65FA1"/>
    <w:rsid w:val="00E70ADA"/>
    <w:rsid w:val="00E7220B"/>
    <w:rsid w:val="00E7302F"/>
    <w:rsid w:val="00E7303F"/>
    <w:rsid w:val="00E73241"/>
    <w:rsid w:val="00E73541"/>
    <w:rsid w:val="00E747EE"/>
    <w:rsid w:val="00E8071C"/>
    <w:rsid w:val="00E80A59"/>
    <w:rsid w:val="00E822EE"/>
    <w:rsid w:val="00E83176"/>
    <w:rsid w:val="00E868D7"/>
    <w:rsid w:val="00E86E62"/>
    <w:rsid w:val="00E87E75"/>
    <w:rsid w:val="00E90059"/>
    <w:rsid w:val="00E91000"/>
    <w:rsid w:val="00E918C9"/>
    <w:rsid w:val="00E92FD2"/>
    <w:rsid w:val="00E93901"/>
    <w:rsid w:val="00E93CD5"/>
    <w:rsid w:val="00E95A2C"/>
    <w:rsid w:val="00E95CD1"/>
    <w:rsid w:val="00E96D9F"/>
    <w:rsid w:val="00E96E78"/>
    <w:rsid w:val="00E97A24"/>
    <w:rsid w:val="00EA0A04"/>
    <w:rsid w:val="00EA0F5A"/>
    <w:rsid w:val="00EA1686"/>
    <w:rsid w:val="00EA4004"/>
    <w:rsid w:val="00EA5E6B"/>
    <w:rsid w:val="00EA74F6"/>
    <w:rsid w:val="00EA7AE0"/>
    <w:rsid w:val="00EB0045"/>
    <w:rsid w:val="00EB2D3D"/>
    <w:rsid w:val="00EB3F0A"/>
    <w:rsid w:val="00EB449B"/>
    <w:rsid w:val="00EB45BD"/>
    <w:rsid w:val="00EB4AAB"/>
    <w:rsid w:val="00EB5736"/>
    <w:rsid w:val="00EB57BE"/>
    <w:rsid w:val="00EB5E6E"/>
    <w:rsid w:val="00EC18F7"/>
    <w:rsid w:val="00EC194A"/>
    <w:rsid w:val="00EC405B"/>
    <w:rsid w:val="00EC5859"/>
    <w:rsid w:val="00ED1820"/>
    <w:rsid w:val="00ED22EB"/>
    <w:rsid w:val="00ED2CBB"/>
    <w:rsid w:val="00ED37D0"/>
    <w:rsid w:val="00EE0C47"/>
    <w:rsid w:val="00EE0FEE"/>
    <w:rsid w:val="00EE10BD"/>
    <w:rsid w:val="00EE1584"/>
    <w:rsid w:val="00EE21DF"/>
    <w:rsid w:val="00EE6633"/>
    <w:rsid w:val="00EE6DC5"/>
    <w:rsid w:val="00EE7DEA"/>
    <w:rsid w:val="00EF3BDE"/>
    <w:rsid w:val="00EF5BA7"/>
    <w:rsid w:val="00F0067C"/>
    <w:rsid w:val="00F00E52"/>
    <w:rsid w:val="00F0135A"/>
    <w:rsid w:val="00F021C8"/>
    <w:rsid w:val="00F0266F"/>
    <w:rsid w:val="00F02C30"/>
    <w:rsid w:val="00F03871"/>
    <w:rsid w:val="00F04C11"/>
    <w:rsid w:val="00F05CB4"/>
    <w:rsid w:val="00F05E21"/>
    <w:rsid w:val="00F06CE9"/>
    <w:rsid w:val="00F126DC"/>
    <w:rsid w:val="00F13B92"/>
    <w:rsid w:val="00F16703"/>
    <w:rsid w:val="00F174EC"/>
    <w:rsid w:val="00F21736"/>
    <w:rsid w:val="00F22D9A"/>
    <w:rsid w:val="00F2373D"/>
    <w:rsid w:val="00F41B57"/>
    <w:rsid w:val="00F432B7"/>
    <w:rsid w:val="00F453EE"/>
    <w:rsid w:val="00F458FA"/>
    <w:rsid w:val="00F51AEB"/>
    <w:rsid w:val="00F51D9E"/>
    <w:rsid w:val="00F531F1"/>
    <w:rsid w:val="00F53292"/>
    <w:rsid w:val="00F532AD"/>
    <w:rsid w:val="00F54AD4"/>
    <w:rsid w:val="00F56707"/>
    <w:rsid w:val="00F63E31"/>
    <w:rsid w:val="00F66244"/>
    <w:rsid w:val="00F66D3D"/>
    <w:rsid w:val="00F67538"/>
    <w:rsid w:val="00F708D8"/>
    <w:rsid w:val="00F711B2"/>
    <w:rsid w:val="00F71B33"/>
    <w:rsid w:val="00F74BF3"/>
    <w:rsid w:val="00F7682A"/>
    <w:rsid w:val="00F770B7"/>
    <w:rsid w:val="00F811A8"/>
    <w:rsid w:val="00F81E0B"/>
    <w:rsid w:val="00F825EE"/>
    <w:rsid w:val="00F830CF"/>
    <w:rsid w:val="00F83324"/>
    <w:rsid w:val="00F83755"/>
    <w:rsid w:val="00F84118"/>
    <w:rsid w:val="00F971D0"/>
    <w:rsid w:val="00F97945"/>
    <w:rsid w:val="00FA0316"/>
    <w:rsid w:val="00FA4B4D"/>
    <w:rsid w:val="00FA5458"/>
    <w:rsid w:val="00FA58F5"/>
    <w:rsid w:val="00FA78F5"/>
    <w:rsid w:val="00FB0BED"/>
    <w:rsid w:val="00FB0F1A"/>
    <w:rsid w:val="00FB1476"/>
    <w:rsid w:val="00FB5204"/>
    <w:rsid w:val="00FB58F9"/>
    <w:rsid w:val="00FC031F"/>
    <w:rsid w:val="00FC2EF8"/>
    <w:rsid w:val="00FC3261"/>
    <w:rsid w:val="00FC3AF8"/>
    <w:rsid w:val="00FC3E7E"/>
    <w:rsid w:val="00FC47E4"/>
    <w:rsid w:val="00FC6996"/>
    <w:rsid w:val="00FC78A9"/>
    <w:rsid w:val="00FD05FE"/>
    <w:rsid w:val="00FD0BE0"/>
    <w:rsid w:val="00FD319C"/>
    <w:rsid w:val="00FD322C"/>
    <w:rsid w:val="00FD6D81"/>
    <w:rsid w:val="00FE0373"/>
    <w:rsid w:val="00FE0AD7"/>
    <w:rsid w:val="00FE10C8"/>
    <w:rsid w:val="00FE3513"/>
    <w:rsid w:val="00FE3530"/>
    <w:rsid w:val="00FE7979"/>
    <w:rsid w:val="00FF199C"/>
    <w:rsid w:val="00FF488F"/>
    <w:rsid w:val="00FF5589"/>
    <w:rsid w:val="00FF55EF"/>
    <w:rsid w:val="00FF7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F191D"/>
  <w15:chartTrackingRefBased/>
  <w15:docId w15:val="{C910E3A9-6556-49C1-849D-FC6F4D845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heme="minorHAnsi" w:hAnsi="Times" w:cstheme="majorBidi"/>
        <w:spacing w:val="-10"/>
        <w:kern w:val="28"/>
        <w:sz w:val="36"/>
        <w:szCs w:val="56"/>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5FE"/>
    <w:rPr>
      <w:rFonts w:ascii="Times New Roman" w:hAnsi="Times New Roman" w:cs="Times New Roman"/>
      <w:sz w:val="22"/>
      <w:szCs w:val="22"/>
    </w:rPr>
  </w:style>
  <w:style w:type="paragraph" w:styleId="Heading1">
    <w:name w:val="heading 1"/>
    <w:basedOn w:val="Normal"/>
    <w:next w:val="Normal"/>
    <w:link w:val="Heading1Char"/>
    <w:uiPriority w:val="9"/>
    <w:qFormat/>
    <w:rsid w:val="00AF33F2"/>
    <w:pPr>
      <w:keepNext/>
      <w:keepLines/>
      <w:spacing w:after="0"/>
      <w:outlineLvl w:val="0"/>
    </w:pPr>
    <w:rPr>
      <w:rFonts w:eastAsiaTheme="majorEastAsia"/>
      <w:sz w:val="32"/>
      <w:szCs w:val="32"/>
    </w:rPr>
  </w:style>
  <w:style w:type="paragraph" w:styleId="Heading2">
    <w:name w:val="heading 2"/>
    <w:basedOn w:val="Normal"/>
    <w:next w:val="Normal"/>
    <w:link w:val="Heading2Char"/>
    <w:uiPriority w:val="9"/>
    <w:unhideWhenUsed/>
    <w:qFormat/>
    <w:rsid w:val="0096748F"/>
    <w:pPr>
      <w:spacing w:before="240" w:after="0"/>
      <w:outlineLvl w:val="1"/>
    </w:pPr>
    <w:rPr>
      <w:b/>
    </w:rPr>
  </w:style>
  <w:style w:type="paragraph" w:styleId="Heading3">
    <w:name w:val="heading 3"/>
    <w:basedOn w:val="Normal"/>
    <w:next w:val="Normal"/>
    <w:link w:val="Heading3Char"/>
    <w:uiPriority w:val="9"/>
    <w:unhideWhenUsed/>
    <w:qFormat/>
    <w:rsid w:val="00FC3E7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6D78"/>
    <w:pPr>
      <w:ind w:left="720"/>
      <w:contextualSpacing/>
    </w:pPr>
  </w:style>
  <w:style w:type="table" w:styleId="TableGrid">
    <w:name w:val="Table Grid"/>
    <w:basedOn w:val="TableNormal"/>
    <w:uiPriority w:val="39"/>
    <w:rsid w:val="00015DF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F13"/>
    <w:pPr>
      <w:tabs>
        <w:tab w:val="center" w:pos="4680"/>
        <w:tab w:val="right" w:pos="9360"/>
      </w:tabs>
      <w:spacing w:after="0"/>
    </w:pPr>
  </w:style>
  <w:style w:type="character" w:customStyle="1" w:styleId="HeaderChar">
    <w:name w:val="Header Char"/>
    <w:basedOn w:val="DefaultParagraphFont"/>
    <w:link w:val="Header"/>
    <w:uiPriority w:val="99"/>
    <w:rsid w:val="00A17F13"/>
  </w:style>
  <w:style w:type="paragraph" w:styleId="Footer">
    <w:name w:val="footer"/>
    <w:basedOn w:val="Normal"/>
    <w:link w:val="FooterChar"/>
    <w:uiPriority w:val="99"/>
    <w:unhideWhenUsed/>
    <w:rsid w:val="00A17F13"/>
    <w:pPr>
      <w:tabs>
        <w:tab w:val="center" w:pos="4680"/>
        <w:tab w:val="right" w:pos="9360"/>
      </w:tabs>
      <w:spacing w:after="0"/>
    </w:pPr>
  </w:style>
  <w:style w:type="character" w:customStyle="1" w:styleId="FooterChar">
    <w:name w:val="Footer Char"/>
    <w:basedOn w:val="DefaultParagraphFont"/>
    <w:link w:val="Footer"/>
    <w:uiPriority w:val="99"/>
    <w:rsid w:val="00A17F13"/>
  </w:style>
  <w:style w:type="character" w:customStyle="1" w:styleId="Heading2Char">
    <w:name w:val="Heading 2 Char"/>
    <w:basedOn w:val="DefaultParagraphFont"/>
    <w:link w:val="Heading2"/>
    <w:uiPriority w:val="9"/>
    <w:rsid w:val="0096748F"/>
    <w:rPr>
      <w:rFonts w:ascii="Times New Roman" w:hAnsi="Times New Roman" w:cs="Times New Roman"/>
      <w:b/>
      <w:sz w:val="22"/>
      <w:szCs w:val="22"/>
    </w:rPr>
  </w:style>
  <w:style w:type="character" w:customStyle="1" w:styleId="Heading1Char">
    <w:name w:val="Heading 1 Char"/>
    <w:basedOn w:val="DefaultParagraphFont"/>
    <w:link w:val="Heading1"/>
    <w:uiPriority w:val="9"/>
    <w:rsid w:val="00AF33F2"/>
    <w:rPr>
      <w:rFonts w:ascii="Times New Roman" w:eastAsiaTheme="majorEastAsia" w:hAnsi="Times New Roman" w:cs="Times New Roman"/>
      <w:sz w:val="32"/>
      <w:szCs w:val="32"/>
    </w:rPr>
  </w:style>
  <w:style w:type="character" w:styleId="Hyperlink">
    <w:name w:val="Hyperlink"/>
    <w:basedOn w:val="DefaultParagraphFont"/>
    <w:uiPriority w:val="99"/>
    <w:unhideWhenUsed/>
    <w:rsid w:val="00CD1921"/>
    <w:rPr>
      <w:color w:val="0563C1" w:themeColor="hyperlink"/>
      <w:u w:val="single"/>
    </w:rPr>
  </w:style>
  <w:style w:type="character" w:customStyle="1" w:styleId="Heading3Char">
    <w:name w:val="Heading 3 Char"/>
    <w:basedOn w:val="DefaultParagraphFont"/>
    <w:link w:val="Heading3"/>
    <w:uiPriority w:val="9"/>
    <w:rsid w:val="00FC3E7E"/>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FD05FE"/>
    <w:pPr>
      <w:spacing w:after="0"/>
    </w:pPr>
    <w:rPr>
      <w:rFonts w:ascii="Times New Roman" w:hAnsi="Times New Roman" w:cs="Times New Roman"/>
      <w:sz w:val="22"/>
      <w:szCs w:val="22"/>
    </w:rPr>
  </w:style>
  <w:style w:type="character" w:styleId="CommentReference">
    <w:name w:val="annotation reference"/>
    <w:basedOn w:val="DefaultParagraphFont"/>
    <w:uiPriority w:val="99"/>
    <w:semiHidden/>
    <w:unhideWhenUsed/>
    <w:rsid w:val="00424D08"/>
    <w:rPr>
      <w:sz w:val="16"/>
      <w:szCs w:val="16"/>
    </w:rPr>
  </w:style>
  <w:style w:type="paragraph" w:styleId="CommentText">
    <w:name w:val="annotation text"/>
    <w:basedOn w:val="Normal"/>
    <w:link w:val="CommentTextChar"/>
    <w:uiPriority w:val="99"/>
    <w:unhideWhenUsed/>
    <w:rsid w:val="00424D08"/>
    <w:rPr>
      <w:sz w:val="20"/>
      <w:szCs w:val="20"/>
    </w:rPr>
  </w:style>
  <w:style w:type="character" w:customStyle="1" w:styleId="CommentTextChar">
    <w:name w:val="Comment Text Char"/>
    <w:basedOn w:val="DefaultParagraphFont"/>
    <w:link w:val="CommentText"/>
    <w:uiPriority w:val="99"/>
    <w:rsid w:val="00424D08"/>
    <w:rPr>
      <w:sz w:val="20"/>
      <w:szCs w:val="20"/>
    </w:rPr>
  </w:style>
  <w:style w:type="paragraph" w:styleId="CommentSubject">
    <w:name w:val="annotation subject"/>
    <w:basedOn w:val="CommentText"/>
    <w:next w:val="CommentText"/>
    <w:link w:val="CommentSubjectChar"/>
    <w:uiPriority w:val="99"/>
    <w:semiHidden/>
    <w:unhideWhenUsed/>
    <w:rsid w:val="00424D08"/>
    <w:rPr>
      <w:b/>
      <w:bCs/>
    </w:rPr>
  </w:style>
  <w:style w:type="character" w:customStyle="1" w:styleId="CommentSubjectChar">
    <w:name w:val="Comment Subject Char"/>
    <w:basedOn w:val="CommentTextChar"/>
    <w:link w:val="CommentSubject"/>
    <w:uiPriority w:val="99"/>
    <w:semiHidden/>
    <w:rsid w:val="00424D08"/>
    <w:rPr>
      <w:b/>
      <w:bCs/>
      <w:sz w:val="20"/>
      <w:szCs w:val="20"/>
    </w:rPr>
  </w:style>
  <w:style w:type="paragraph" w:styleId="BalloonText">
    <w:name w:val="Balloon Text"/>
    <w:basedOn w:val="Normal"/>
    <w:link w:val="BalloonTextChar"/>
    <w:uiPriority w:val="99"/>
    <w:semiHidden/>
    <w:unhideWhenUsed/>
    <w:rsid w:val="00424D0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D08"/>
    <w:rPr>
      <w:rFonts w:ascii="Segoe UI" w:hAnsi="Segoe UI" w:cs="Segoe UI"/>
      <w:sz w:val="18"/>
      <w:szCs w:val="18"/>
    </w:rPr>
  </w:style>
  <w:style w:type="paragraph" w:styleId="Revision">
    <w:name w:val="Revision"/>
    <w:hidden/>
    <w:uiPriority w:val="99"/>
    <w:semiHidden/>
    <w:rsid w:val="00424D08"/>
    <w:pPr>
      <w:spacing w:after="0"/>
    </w:pPr>
  </w:style>
  <w:style w:type="paragraph" w:customStyle="1" w:styleId="EndNoteBibliographyTitle">
    <w:name w:val="EndNote Bibliography Title"/>
    <w:basedOn w:val="Normal"/>
    <w:link w:val="EndNoteBibliographyTitleChar"/>
    <w:rsid w:val="00AF3FDB"/>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F3FDB"/>
    <w:rPr>
      <w:rFonts w:ascii="Calibri" w:hAnsi="Calibri" w:cs="Calibri"/>
      <w:noProof/>
      <w:sz w:val="22"/>
      <w:szCs w:val="22"/>
    </w:rPr>
  </w:style>
  <w:style w:type="paragraph" w:customStyle="1" w:styleId="EndNoteBibliography">
    <w:name w:val="EndNote Bibliography"/>
    <w:basedOn w:val="Normal"/>
    <w:link w:val="EndNoteBibliographyChar"/>
    <w:rsid w:val="00AF3FDB"/>
    <w:rPr>
      <w:rFonts w:ascii="Calibri" w:hAnsi="Calibri" w:cs="Calibri"/>
      <w:noProof/>
    </w:rPr>
  </w:style>
  <w:style w:type="character" w:customStyle="1" w:styleId="EndNoteBibliographyChar">
    <w:name w:val="EndNote Bibliography Char"/>
    <w:basedOn w:val="DefaultParagraphFont"/>
    <w:link w:val="EndNoteBibliography"/>
    <w:rsid w:val="00AF3FDB"/>
    <w:rPr>
      <w:rFonts w:ascii="Calibri" w:hAnsi="Calibri" w:cs="Calibri"/>
      <w:noProof/>
      <w:sz w:val="22"/>
      <w:szCs w:val="22"/>
    </w:rPr>
  </w:style>
  <w:style w:type="paragraph" w:styleId="Title">
    <w:name w:val="Title"/>
    <w:basedOn w:val="Normal"/>
    <w:next w:val="Normal"/>
    <w:link w:val="TitleChar"/>
    <w:uiPriority w:val="10"/>
    <w:qFormat/>
    <w:rsid w:val="00FD05FE"/>
    <w:pPr>
      <w:contextualSpacing/>
    </w:pPr>
    <w:rPr>
      <w:rFonts w:eastAsiaTheme="majorEastAsia"/>
      <w:sz w:val="36"/>
      <w:szCs w:val="36"/>
    </w:rPr>
  </w:style>
  <w:style w:type="character" w:customStyle="1" w:styleId="TitleChar">
    <w:name w:val="Title Char"/>
    <w:basedOn w:val="DefaultParagraphFont"/>
    <w:link w:val="Title"/>
    <w:uiPriority w:val="10"/>
    <w:rsid w:val="00FD05FE"/>
    <w:rPr>
      <w:rFonts w:ascii="Times New Roman" w:eastAsiaTheme="majorEastAsia" w:hAnsi="Times New Roman" w:cs="Times New Roman"/>
      <w:szCs w:val="36"/>
    </w:rPr>
  </w:style>
  <w:style w:type="character" w:customStyle="1" w:styleId="UnresolvedMention1">
    <w:name w:val="Unresolved Mention1"/>
    <w:basedOn w:val="DefaultParagraphFont"/>
    <w:uiPriority w:val="99"/>
    <w:semiHidden/>
    <w:unhideWhenUsed/>
    <w:rsid w:val="00BF647B"/>
    <w:rPr>
      <w:color w:val="605E5C"/>
      <w:shd w:val="clear" w:color="auto" w:fill="E1DFDD"/>
    </w:rPr>
  </w:style>
  <w:style w:type="paragraph" w:styleId="Caption">
    <w:name w:val="caption"/>
    <w:basedOn w:val="Normal"/>
    <w:next w:val="Normal"/>
    <w:uiPriority w:val="35"/>
    <w:unhideWhenUsed/>
    <w:qFormat/>
    <w:rsid w:val="001A6E69"/>
    <w:pPr>
      <w:spacing w:after="200"/>
    </w:pPr>
    <w:rPr>
      <w:i/>
      <w:iCs/>
      <w:color w:val="44546A" w:themeColor="text2"/>
      <w:sz w:val="18"/>
      <w:szCs w:val="18"/>
    </w:rPr>
  </w:style>
  <w:style w:type="paragraph" w:styleId="NormalWeb">
    <w:name w:val="Normal (Web)"/>
    <w:basedOn w:val="Normal"/>
    <w:uiPriority w:val="99"/>
    <w:semiHidden/>
    <w:unhideWhenUsed/>
    <w:rsid w:val="001372CB"/>
    <w:pPr>
      <w:spacing w:before="100" w:beforeAutospacing="1" w:after="100" w:afterAutospacing="1"/>
    </w:pPr>
    <w:rPr>
      <w:rFonts w:eastAsiaTheme="minorEastAsia"/>
      <w:spacing w:val="0"/>
      <w:kern w:val="0"/>
      <w:sz w:val="24"/>
      <w:szCs w:val="24"/>
    </w:rPr>
  </w:style>
  <w:style w:type="paragraph" w:customStyle="1" w:styleId="Default">
    <w:name w:val="Default"/>
    <w:rsid w:val="00A437EB"/>
    <w:pPr>
      <w:autoSpaceDE w:val="0"/>
      <w:autoSpaceDN w:val="0"/>
      <w:adjustRightInd w:val="0"/>
      <w:spacing w:after="0"/>
    </w:pPr>
    <w:rPr>
      <w:rFonts w:ascii="Times New Roman" w:hAnsi="Times New Roman" w:cs="Times New Roman"/>
      <w:color w:val="000000"/>
      <w:kern w:val="0"/>
      <w:sz w:val="24"/>
      <w:szCs w:val="24"/>
    </w:rPr>
  </w:style>
  <w:style w:type="character" w:styleId="UnresolvedMention">
    <w:name w:val="Unresolved Mention"/>
    <w:basedOn w:val="DefaultParagraphFont"/>
    <w:uiPriority w:val="99"/>
    <w:semiHidden/>
    <w:unhideWhenUsed/>
    <w:rsid w:val="00BB4729"/>
    <w:rPr>
      <w:color w:val="605E5C"/>
      <w:shd w:val="clear" w:color="auto" w:fill="E1DFDD"/>
    </w:rPr>
  </w:style>
  <w:style w:type="character" w:styleId="LineNumber">
    <w:name w:val="line number"/>
    <w:basedOn w:val="DefaultParagraphFont"/>
    <w:uiPriority w:val="99"/>
    <w:semiHidden/>
    <w:unhideWhenUsed/>
    <w:rsid w:val="001062E4"/>
  </w:style>
  <w:style w:type="paragraph" w:customStyle="1" w:styleId="paragraph">
    <w:name w:val="paragraph"/>
    <w:basedOn w:val="Normal"/>
    <w:rsid w:val="00E12C38"/>
    <w:pPr>
      <w:spacing w:before="100" w:beforeAutospacing="1" w:after="100" w:afterAutospacing="1"/>
    </w:pPr>
    <w:rPr>
      <w:rFonts w:eastAsia="Times New Roman"/>
      <w:spacing w:val="0"/>
      <w:kern w:val="0"/>
      <w:sz w:val="24"/>
      <w:szCs w:val="24"/>
    </w:rPr>
  </w:style>
  <w:style w:type="character" w:customStyle="1" w:styleId="normaltextrun">
    <w:name w:val="normaltextrun"/>
    <w:basedOn w:val="DefaultParagraphFont"/>
    <w:rsid w:val="00E12C38"/>
  </w:style>
  <w:style w:type="character" w:customStyle="1" w:styleId="eop">
    <w:name w:val="eop"/>
    <w:basedOn w:val="DefaultParagraphFont"/>
    <w:rsid w:val="00E12C38"/>
  </w:style>
  <w:style w:type="character" w:customStyle="1" w:styleId="findhit">
    <w:name w:val="findhit"/>
    <w:basedOn w:val="DefaultParagraphFont"/>
    <w:rsid w:val="000A1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5257">
      <w:bodyDiv w:val="1"/>
      <w:marLeft w:val="0"/>
      <w:marRight w:val="0"/>
      <w:marTop w:val="0"/>
      <w:marBottom w:val="0"/>
      <w:divBdr>
        <w:top w:val="none" w:sz="0" w:space="0" w:color="auto"/>
        <w:left w:val="none" w:sz="0" w:space="0" w:color="auto"/>
        <w:bottom w:val="none" w:sz="0" w:space="0" w:color="auto"/>
        <w:right w:val="none" w:sz="0" w:space="0" w:color="auto"/>
      </w:divBdr>
    </w:div>
    <w:div w:id="7759386">
      <w:bodyDiv w:val="1"/>
      <w:marLeft w:val="0"/>
      <w:marRight w:val="0"/>
      <w:marTop w:val="0"/>
      <w:marBottom w:val="0"/>
      <w:divBdr>
        <w:top w:val="none" w:sz="0" w:space="0" w:color="auto"/>
        <w:left w:val="none" w:sz="0" w:space="0" w:color="auto"/>
        <w:bottom w:val="none" w:sz="0" w:space="0" w:color="auto"/>
        <w:right w:val="none" w:sz="0" w:space="0" w:color="auto"/>
      </w:divBdr>
    </w:div>
    <w:div w:id="12146797">
      <w:bodyDiv w:val="1"/>
      <w:marLeft w:val="0"/>
      <w:marRight w:val="0"/>
      <w:marTop w:val="0"/>
      <w:marBottom w:val="0"/>
      <w:divBdr>
        <w:top w:val="none" w:sz="0" w:space="0" w:color="auto"/>
        <w:left w:val="none" w:sz="0" w:space="0" w:color="auto"/>
        <w:bottom w:val="none" w:sz="0" w:space="0" w:color="auto"/>
        <w:right w:val="none" w:sz="0" w:space="0" w:color="auto"/>
      </w:divBdr>
    </w:div>
    <w:div w:id="35669830">
      <w:bodyDiv w:val="1"/>
      <w:marLeft w:val="0"/>
      <w:marRight w:val="0"/>
      <w:marTop w:val="0"/>
      <w:marBottom w:val="0"/>
      <w:divBdr>
        <w:top w:val="none" w:sz="0" w:space="0" w:color="auto"/>
        <w:left w:val="none" w:sz="0" w:space="0" w:color="auto"/>
        <w:bottom w:val="none" w:sz="0" w:space="0" w:color="auto"/>
        <w:right w:val="none" w:sz="0" w:space="0" w:color="auto"/>
      </w:divBdr>
    </w:div>
    <w:div w:id="43214810">
      <w:bodyDiv w:val="1"/>
      <w:marLeft w:val="0"/>
      <w:marRight w:val="0"/>
      <w:marTop w:val="0"/>
      <w:marBottom w:val="0"/>
      <w:divBdr>
        <w:top w:val="none" w:sz="0" w:space="0" w:color="auto"/>
        <w:left w:val="none" w:sz="0" w:space="0" w:color="auto"/>
        <w:bottom w:val="none" w:sz="0" w:space="0" w:color="auto"/>
        <w:right w:val="none" w:sz="0" w:space="0" w:color="auto"/>
      </w:divBdr>
    </w:div>
    <w:div w:id="121465457">
      <w:bodyDiv w:val="1"/>
      <w:marLeft w:val="0"/>
      <w:marRight w:val="0"/>
      <w:marTop w:val="0"/>
      <w:marBottom w:val="0"/>
      <w:divBdr>
        <w:top w:val="none" w:sz="0" w:space="0" w:color="auto"/>
        <w:left w:val="none" w:sz="0" w:space="0" w:color="auto"/>
        <w:bottom w:val="none" w:sz="0" w:space="0" w:color="auto"/>
        <w:right w:val="none" w:sz="0" w:space="0" w:color="auto"/>
      </w:divBdr>
    </w:div>
    <w:div w:id="124012723">
      <w:bodyDiv w:val="1"/>
      <w:marLeft w:val="0"/>
      <w:marRight w:val="0"/>
      <w:marTop w:val="0"/>
      <w:marBottom w:val="0"/>
      <w:divBdr>
        <w:top w:val="none" w:sz="0" w:space="0" w:color="auto"/>
        <w:left w:val="none" w:sz="0" w:space="0" w:color="auto"/>
        <w:bottom w:val="none" w:sz="0" w:space="0" w:color="auto"/>
        <w:right w:val="none" w:sz="0" w:space="0" w:color="auto"/>
      </w:divBdr>
    </w:div>
    <w:div w:id="129057805">
      <w:bodyDiv w:val="1"/>
      <w:marLeft w:val="0"/>
      <w:marRight w:val="0"/>
      <w:marTop w:val="0"/>
      <w:marBottom w:val="0"/>
      <w:divBdr>
        <w:top w:val="none" w:sz="0" w:space="0" w:color="auto"/>
        <w:left w:val="none" w:sz="0" w:space="0" w:color="auto"/>
        <w:bottom w:val="none" w:sz="0" w:space="0" w:color="auto"/>
        <w:right w:val="none" w:sz="0" w:space="0" w:color="auto"/>
      </w:divBdr>
    </w:div>
    <w:div w:id="151221856">
      <w:bodyDiv w:val="1"/>
      <w:marLeft w:val="0"/>
      <w:marRight w:val="0"/>
      <w:marTop w:val="0"/>
      <w:marBottom w:val="0"/>
      <w:divBdr>
        <w:top w:val="none" w:sz="0" w:space="0" w:color="auto"/>
        <w:left w:val="none" w:sz="0" w:space="0" w:color="auto"/>
        <w:bottom w:val="none" w:sz="0" w:space="0" w:color="auto"/>
        <w:right w:val="none" w:sz="0" w:space="0" w:color="auto"/>
      </w:divBdr>
    </w:div>
    <w:div w:id="156268548">
      <w:bodyDiv w:val="1"/>
      <w:marLeft w:val="0"/>
      <w:marRight w:val="0"/>
      <w:marTop w:val="0"/>
      <w:marBottom w:val="0"/>
      <w:divBdr>
        <w:top w:val="none" w:sz="0" w:space="0" w:color="auto"/>
        <w:left w:val="none" w:sz="0" w:space="0" w:color="auto"/>
        <w:bottom w:val="none" w:sz="0" w:space="0" w:color="auto"/>
        <w:right w:val="none" w:sz="0" w:space="0" w:color="auto"/>
      </w:divBdr>
    </w:div>
    <w:div w:id="156650929">
      <w:bodyDiv w:val="1"/>
      <w:marLeft w:val="0"/>
      <w:marRight w:val="0"/>
      <w:marTop w:val="0"/>
      <w:marBottom w:val="0"/>
      <w:divBdr>
        <w:top w:val="none" w:sz="0" w:space="0" w:color="auto"/>
        <w:left w:val="none" w:sz="0" w:space="0" w:color="auto"/>
        <w:bottom w:val="none" w:sz="0" w:space="0" w:color="auto"/>
        <w:right w:val="none" w:sz="0" w:space="0" w:color="auto"/>
      </w:divBdr>
    </w:div>
    <w:div w:id="197859772">
      <w:bodyDiv w:val="1"/>
      <w:marLeft w:val="0"/>
      <w:marRight w:val="0"/>
      <w:marTop w:val="0"/>
      <w:marBottom w:val="0"/>
      <w:divBdr>
        <w:top w:val="none" w:sz="0" w:space="0" w:color="auto"/>
        <w:left w:val="none" w:sz="0" w:space="0" w:color="auto"/>
        <w:bottom w:val="none" w:sz="0" w:space="0" w:color="auto"/>
        <w:right w:val="none" w:sz="0" w:space="0" w:color="auto"/>
      </w:divBdr>
    </w:div>
    <w:div w:id="244807307">
      <w:bodyDiv w:val="1"/>
      <w:marLeft w:val="0"/>
      <w:marRight w:val="0"/>
      <w:marTop w:val="0"/>
      <w:marBottom w:val="0"/>
      <w:divBdr>
        <w:top w:val="none" w:sz="0" w:space="0" w:color="auto"/>
        <w:left w:val="none" w:sz="0" w:space="0" w:color="auto"/>
        <w:bottom w:val="none" w:sz="0" w:space="0" w:color="auto"/>
        <w:right w:val="none" w:sz="0" w:space="0" w:color="auto"/>
      </w:divBdr>
    </w:div>
    <w:div w:id="266163244">
      <w:bodyDiv w:val="1"/>
      <w:marLeft w:val="0"/>
      <w:marRight w:val="0"/>
      <w:marTop w:val="0"/>
      <w:marBottom w:val="0"/>
      <w:divBdr>
        <w:top w:val="none" w:sz="0" w:space="0" w:color="auto"/>
        <w:left w:val="none" w:sz="0" w:space="0" w:color="auto"/>
        <w:bottom w:val="none" w:sz="0" w:space="0" w:color="auto"/>
        <w:right w:val="none" w:sz="0" w:space="0" w:color="auto"/>
      </w:divBdr>
    </w:div>
    <w:div w:id="291787951">
      <w:bodyDiv w:val="1"/>
      <w:marLeft w:val="0"/>
      <w:marRight w:val="0"/>
      <w:marTop w:val="0"/>
      <w:marBottom w:val="0"/>
      <w:divBdr>
        <w:top w:val="none" w:sz="0" w:space="0" w:color="auto"/>
        <w:left w:val="none" w:sz="0" w:space="0" w:color="auto"/>
        <w:bottom w:val="none" w:sz="0" w:space="0" w:color="auto"/>
        <w:right w:val="none" w:sz="0" w:space="0" w:color="auto"/>
      </w:divBdr>
    </w:div>
    <w:div w:id="317807753">
      <w:bodyDiv w:val="1"/>
      <w:marLeft w:val="0"/>
      <w:marRight w:val="0"/>
      <w:marTop w:val="0"/>
      <w:marBottom w:val="0"/>
      <w:divBdr>
        <w:top w:val="none" w:sz="0" w:space="0" w:color="auto"/>
        <w:left w:val="none" w:sz="0" w:space="0" w:color="auto"/>
        <w:bottom w:val="none" w:sz="0" w:space="0" w:color="auto"/>
        <w:right w:val="none" w:sz="0" w:space="0" w:color="auto"/>
      </w:divBdr>
    </w:div>
    <w:div w:id="361826883">
      <w:bodyDiv w:val="1"/>
      <w:marLeft w:val="0"/>
      <w:marRight w:val="0"/>
      <w:marTop w:val="0"/>
      <w:marBottom w:val="0"/>
      <w:divBdr>
        <w:top w:val="none" w:sz="0" w:space="0" w:color="auto"/>
        <w:left w:val="none" w:sz="0" w:space="0" w:color="auto"/>
        <w:bottom w:val="none" w:sz="0" w:space="0" w:color="auto"/>
        <w:right w:val="none" w:sz="0" w:space="0" w:color="auto"/>
      </w:divBdr>
    </w:div>
    <w:div w:id="427653021">
      <w:bodyDiv w:val="1"/>
      <w:marLeft w:val="0"/>
      <w:marRight w:val="0"/>
      <w:marTop w:val="0"/>
      <w:marBottom w:val="0"/>
      <w:divBdr>
        <w:top w:val="none" w:sz="0" w:space="0" w:color="auto"/>
        <w:left w:val="none" w:sz="0" w:space="0" w:color="auto"/>
        <w:bottom w:val="none" w:sz="0" w:space="0" w:color="auto"/>
        <w:right w:val="none" w:sz="0" w:space="0" w:color="auto"/>
      </w:divBdr>
    </w:div>
    <w:div w:id="433136374">
      <w:bodyDiv w:val="1"/>
      <w:marLeft w:val="0"/>
      <w:marRight w:val="0"/>
      <w:marTop w:val="0"/>
      <w:marBottom w:val="0"/>
      <w:divBdr>
        <w:top w:val="none" w:sz="0" w:space="0" w:color="auto"/>
        <w:left w:val="none" w:sz="0" w:space="0" w:color="auto"/>
        <w:bottom w:val="none" w:sz="0" w:space="0" w:color="auto"/>
        <w:right w:val="none" w:sz="0" w:space="0" w:color="auto"/>
      </w:divBdr>
    </w:div>
    <w:div w:id="447433716">
      <w:bodyDiv w:val="1"/>
      <w:marLeft w:val="0"/>
      <w:marRight w:val="0"/>
      <w:marTop w:val="0"/>
      <w:marBottom w:val="0"/>
      <w:divBdr>
        <w:top w:val="none" w:sz="0" w:space="0" w:color="auto"/>
        <w:left w:val="none" w:sz="0" w:space="0" w:color="auto"/>
        <w:bottom w:val="none" w:sz="0" w:space="0" w:color="auto"/>
        <w:right w:val="none" w:sz="0" w:space="0" w:color="auto"/>
      </w:divBdr>
    </w:div>
    <w:div w:id="452477421">
      <w:bodyDiv w:val="1"/>
      <w:marLeft w:val="0"/>
      <w:marRight w:val="0"/>
      <w:marTop w:val="0"/>
      <w:marBottom w:val="0"/>
      <w:divBdr>
        <w:top w:val="none" w:sz="0" w:space="0" w:color="auto"/>
        <w:left w:val="none" w:sz="0" w:space="0" w:color="auto"/>
        <w:bottom w:val="none" w:sz="0" w:space="0" w:color="auto"/>
        <w:right w:val="none" w:sz="0" w:space="0" w:color="auto"/>
      </w:divBdr>
    </w:div>
    <w:div w:id="459105068">
      <w:bodyDiv w:val="1"/>
      <w:marLeft w:val="0"/>
      <w:marRight w:val="0"/>
      <w:marTop w:val="0"/>
      <w:marBottom w:val="0"/>
      <w:divBdr>
        <w:top w:val="none" w:sz="0" w:space="0" w:color="auto"/>
        <w:left w:val="none" w:sz="0" w:space="0" w:color="auto"/>
        <w:bottom w:val="none" w:sz="0" w:space="0" w:color="auto"/>
        <w:right w:val="none" w:sz="0" w:space="0" w:color="auto"/>
      </w:divBdr>
    </w:div>
    <w:div w:id="473182957">
      <w:bodyDiv w:val="1"/>
      <w:marLeft w:val="0"/>
      <w:marRight w:val="0"/>
      <w:marTop w:val="0"/>
      <w:marBottom w:val="0"/>
      <w:divBdr>
        <w:top w:val="none" w:sz="0" w:space="0" w:color="auto"/>
        <w:left w:val="none" w:sz="0" w:space="0" w:color="auto"/>
        <w:bottom w:val="none" w:sz="0" w:space="0" w:color="auto"/>
        <w:right w:val="none" w:sz="0" w:space="0" w:color="auto"/>
      </w:divBdr>
    </w:div>
    <w:div w:id="482507111">
      <w:bodyDiv w:val="1"/>
      <w:marLeft w:val="0"/>
      <w:marRight w:val="0"/>
      <w:marTop w:val="0"/>
      <w:marBottom w:val="0"/>
      <w:divBdr>
        <w:top w:val="none" w:sz="0" w:space="0" w:color="auto"/>
        <w:left w:val="none" w:sz="0" w:space="0" w:color="auto"/>
        <w:bottom w:val="none" w:sz="0" w:space="0" w:color="auto"/>
        <w:right w:val="none" w:sz="0" w:space="0" w:color="auto"/>
      </w:divBdr>
    </w:div>
    <w:div w:id="493424351">
      <w:bodyDiv w:val="1"/>
      <w:marLeft w:val="0"/>
      <w:marRight w:val="0"/>
      <w:marTop w:val="0"/>
      <w:marBottom w:val="0"/>
      <w:divBdr>
        <w:top w:val="none" w:sz="0" w:space="0" w:color="auto"/>
        <w:left w:val="none" w:sz="0" w:space="0" w:color="auto"/>
        <w:bottom w:val="none" w:sz="0" w:space="0" w:color="auto"/>
        <w:right w:val="none" w:sz="0" w:space="0" w:color="auto"/>
      </w:divBdr>
    </w:div>
    <w:div w:id="571964651">
      <w:bodyDiv w:val="1"/>
      <w:marLeft w:val="0"/>
      <w:marRight w:val="0"/>
      <w:marTop w:val="0"/>
      <w:marBottom w:val="0"/>
      <w:divBdr>
        <w:top w:val="none" w:sz="0" w:space="0" w:color="auto"/>
        <w:left w:val="none" w:sz="0" w:space="0" w:color="auto"/>
        <w:bottom w:val="none" w:sz="0" w:space="0" w:color="auto"/>
        <w:right w:val="none" w:sz="0" w:space="0" w:color="auto"/>
      </w:divBdr>
    </w:div>
    <w:div w:id="580717916">
      <w:bodyDiv w:val="1"/>
      <w:marLeft w:val="0"/>
      <w:marRight w:val="0"/>
      <w:marTop w:val="0"/>
      <w:marBottom w:val="0"/>
      <w:divBdr>
        <w:top w:val="none" w:sz="0" w:space="0" w:color="auto"/>
        <w:left w:val="none" w:sz="0" w:space="0" w:color="auto"/>
        <w:bottom w:val="none" w:sz="0" w:space="0" w:color="auto"/>
        <w:right w:val="none" w:sz="0" w:space="0" w:color="auto"/>
      </w:divBdr>
    </w:div>
    <w:div w:id="666516962">
      <w:bodyDiv w:val="1"/>
      <w:marLeft w:val="0"/>
      <w:marRight w:val="0"/>
      <w:marTop w:val="0"/>
      <w:marBottom w:val="0"/>
      <w:divBdr>
        <w:top w:val="none" w:sz="0" w:space="0" w:color="auto"/>
        <w:left w:val="none" w:sz="0" w:space="0" w:color="auto"/>
        <w:bottom w:val="none" w:sz="0" w:space="0" w:color="auto"/>
        <w:right w:val="none" w:sz="0" w:space="0" w:color="auto"/>
      </w:divBdr>
    </w:div>
    <w:div w:id="674655210">
      <w:bodyDiv w:val="1"/>
      <w:marLeft w:val="0"/>
      <w:marRight w:val="0"/>
      <w:marTop w:val="0"/>
      <w:marBottom w:val="0"/>
      <w:divBdr>
        <w:top w:val="none" w:sz="0" w:space="0" w:color="auto"/>
        <w:left w:val="none" w:sz="0" w:space="0" w:color="auto"/>
        <w:bottom w:val="none" w:sz="0" w:space="0" w:color="auto"/>
        <w:right w:val="none" w:sz="0" w:space="0" w:color="auto"/>
      </w:divBdr>
    </w:div>
    <w:div w:id="681980571">
      <w:bodyDiv w:val="1"/>
      <w:marLeft w:val="0"/>
      <w:marRight w:val="0"/>
      <w:marTop w:val="0"/>
      <w:marBottom w:val="0"/>
      <w:divBdr>
        <w:top w:val="none" w:sz="0" w:space="0" w:color="auto"/>
        <w:left w:val="none" w:sz="0" w:space="0" w:color="auto"/>
        <w:bottom w:val="none" w:sz="0" w:space="0" w:color="auto"/>
        <w:right w:val="none" w:sz="0" w:space="0" w:color="auto"/>
      </w:divBdr>
    </w:div>
    <w:div w:id="695158829">
      <w:bodyDiv w:val="1"/>
      <w:marLeft w:val="0"/>
      <w:marRight w:val="0"/>
      <w:marTop w:val="0"/>
      <w:marBottom w:val="0"/>
      <w:divBdr>
        <w:top w:val="none" w:sz="0" w:space="0" w:color="auto"/>
        <w:left w:val="none" w:sz="0" w:space="0" w:color="auto"/>
        <w:bottom w:val="none" w:sz="0" w:space="0" w:color="auto"/>
        <w:right w:val="none" w:sz="0" w:space="0" w:color="auto"/>
      </w:divBdr>
    </w:div>
    <w:div w:id="749544412">
      <w:bodyDiv w:val="1"/>
      <w:marLeft w:val="0"/>
      <w:marRight w:val="0"/>
      <w:marTop w:val="0"/>
      <w:marBottom w:val="0"/>
      <w:divBdr>
        <w:top w:val="none" w:sz="0" w:space="0" w:color="auto"/>
        <w:left w:val="none" w:sz="0" w:space="0" w:color="auto"/>
        <w:bottom w:val="none" w:sz="0" w:space="0" w:color="auto"/>
        <w:right w:val="none" w:sz="0" w:space="0" w:color="auto"/>
      </w:divBdr>
    </w:div>
    <w:div w:id="801312519">
      <w:bodyDiv w:val="1"/>
      <w:marLeft w:val="0"/>
      <w:marRight w:val="0"/>
      <w:marTop w:val="0"/>
      <w:marBottom w:val="0"/>
      <w:divBdr>
        <w:top w:val="none" w:sz="0" w:space="0" w:color="auto"/>
        <w:left w:val="none" w:sz="0" w:space="0" w:color="auto"/>
        <w:bottom w:val="none" w:sz="0" w:space="0" w:color="auto"/>
        <w:right w:val="none" w:sz="0" w:space="0" w:color="auto"/>
      </w:divBdr>
    </w:div>
    <w:div w:id="824660368">
      <w:bodyDiv w:val="1"/>
      <w:marLeft w:val="0"/>
      <w:marRight w:val="0"/>
      <w:marTop w:val="0"/>
      <w:marBottom w:val="0"/>
      <w:divBdr>
        <w:top w:val="none" w:sz="0" w:space="0" w:color="auto"/>
        <w:left w:val="none" w:sz="0" w:space="0" w:color="auto"/>
        <w:bottom w:val="none" w:sz="0" w:space="0" w:color="auto"/>
        <w:right w:val="none" w:sz="0" w:space="0" w:color="auto"/>
      </w:divBdr>
    </w:div>
    <w:div w:id="833839991">
      <w:bodyDiv w:val="1"/>
      <w:marLeft w:val="0"/>
      <w:marRight w:val="0"/>
      <w:marTop w:val="0"/>
      <w:marBottom w:val="0"/>
      <w:divBdr>
        <w:top w:val="none" w:sz="0" w:space="0" w:color="auto"/>
        <w:left w:val="none" w:sz="0" w:space="0" w:color="auto"/>
        <w:bottom w:val="none" w:sz="0" w:space="0" w:color="auto"/>
        <w:right w:val="none" w:sz="0" w:space="0" w:color="auto"/>
      </w:divBdr>
    </w:div>
    <w:div w:id="845904748">
      <w:bodyDiv w:val="1"/>
      <w:marLeft w:val="0"/>
      <w:marRight w:val="0"/>
      <w:marTop w:val="0"/>
      <w:marBottom w:val="0"/>
      <w:divBdr>
        <w:top w:val="none" w:sz="0" w:space="0" w:color="auto"/>
        <w:left w:val="none" w:sz="0" w:space="0" w:color="auto"/>
        <w:bottom w:val="none" w:sz="0" w:space="0" w:color="auto"/>
        <w:right w:val="none" w:sz="0" w:space="0" w:color="auto"/>
      </w:divBdr>
    </w:div>
    <w:div w:id="873034947">
      <w:bodyDiv w:val="1"/>
      <w:marLeft w:val="0"/>
      <w:marRight w:val="0"/>
      <w:marTop w:val="0"/>
      <w:marBottom w:val="0"/>
      <w:divBdr>
        <w:top w:val="none" w:sz="0" w:space="0" w:color="auto"/>
        <w:left w:val="none" w:sz="0" w:space="0" w:color="auto"/>
        <w:bottom w:val="none" w:sz="0" w:space="0" w:color="auto"/>
        <w:right w:val="none" w:sz="0" w:space="0" w:color="auto"/>
      </w:divBdr>
    </w:div>
    <w:div w:id="925961740">
      <w:bodyDiv w:val="1"/>
      <w:marLeft w:val="0"/>
      <w:marRight w:val="0"/>
      <w:marTop w:val="0"/>
      <w:marBottom w:val="0"/>
      <w:divBdr>
        <w:top w:val="none" w:sz="0" w:space="0" w:color="auto"/>
        <w:left w:val="none" w:sz="0" w:space="0" w:color="auto"/>
        <w:bottom w:val="none" w:sz="0" w:space="0" w:color="auto"/>
        <w:right w:val="none" w:sz="0" w:space="0" w:color="auto"/>
      </w:divBdr>
    </w:div>
    <w:div w:id="952249186">
      <w:bodyDiv w:val="1"/>
      <w:marLeft w:val="0"/>
      <w:marRight w:val="0"/>
      <w:marTop w:val="0"/>
      <w:marBottom w:val="0"/>
      <w:divBdr>
        <w:top w:val="none" w:sz="0" w:space="0" w:color="auto"/>
        <w:left w:val="none" w:sz="0" w:space="0" w:color="auto"/>
        <w:bottom w:val="none" w:sz="0" w:space="0" w:color="auto"/>
        <w:right w:val="none" w:sz="0" w:space="0" w:color="auto"/>
      </w:divBdr>
    </w:div>
    <w:div w:id="974482372">
      <w:bodyDiv w:val="1"/>
      <w:marLeft w:val="0"/>
      <w:marRight w:val="0"/>
      <w:marTop w:val="0"/>
      <w:marBottom w:val="0"/>
      <w:divBdr>
        <w:top w:val="none" w:sz="0" w:space="0" w:color="auto"/>
        <w:left w:val="none" w:sz="0" w:space="0" w:color="auto"/>
        <w:bottom w:val="none" w:sz="0" w:space="0" w:color="auto"/>
        <w:right w:val="none" w:sz="0" w:space="0" w:color="auto"/>
      </w:divBdr>
    </w:div>
    <w:div w:id="989602058">
      <w:bodyDiv w:val="1"/>
      <w:marLeft w:val="0"/>
      <w:marRight w:val="0"/>
      <w:marTop w:val="0"/>
      <w:marBottom w:val="0"/>
      <w:divBdr>
        <w:top w:val="none" w:sz="0" w:space="0" w:color="auto"/>
        <w:left w:val="none" w:sz="0" w:space="0" w:color="auto"/>
        <w:bottom w:val="none" w:sz="0" w:space="0" w:color="auto"/>
        <w:right w:val="none" w:sz="0" w:space="0" w:color="auto"/>
      </w:divBdr>
    </w:div>
    <w:div w:id="994794852">
      <w:bodyDiv w:val="1"/>
      <w:marLeft w:val="0"/>
      <w:marRight w:val="0"/>
      <w:marTop w:val="0"/>
      <w:marBottom w:val="0"/>
      <w:divBdr>
        <w:top w:val="none" w:sz="0" w:space="0" w:color="auto"/>
        <w:left w:val="none" w:sz="0" w:space="0" w:color="auto"/>
        <w:bottom w:val="none" w:sz="0" w:space="0" w:color="auto"/>
        <w:right w:val="none" w:sz="0" w:space="0" w:color="auto"/>
      </w:divBdr>
    </w:div>
    <w:div w:id="997070915">
      <w:bodyDiv w:val="1"/>
      <w:marLeft w:val="0"/>
      <w:marRight w:val="0"/>
      <w:marTop w:val="0"/>
      <w:marBottom w:val="0"/>
      <w:divBdr>
        <w:top w:val="none" w:sz="0" w:space="0" w:color="auto"/>
        <w:left w:val="none" w:sz="0" w:space="0" w:color="auto"/>
        <w:bottom w:val="none" w:sz="0" w:space="0" w:color="auto"/>
        <w:right w:val="none" w:sz="0" w:space="0" w:color="auto"/>
      </w:divBdr>
    </w:div>
    <w:div w:id="1016998182">
      <w:bodyDiv w:val="1"/>
      <w:marLeft w:val="0"/>
      <w:marRight w:val="0"/>
      <w:marTop w:val="0"/>
      <w:marBottom w:val="0"/>
      <w:divBdr>
        <w:top w:val="none" w:sz="0" w:space="0" w:color="auto"/>
        <w:left w:val="none" w:sz="0" w:space="0" w:color="auto"/>
        <w:bottom w:val="none" w:sz="0" w:space="0" w:color="auto"/>
        <w:right w:val="none" w:sz="0" w:space="0" w:color="auto"/>
      </w:divBdr>
    </w:div>
    <w:div w:id="1022054336">
      <w:bodyDiv w:val="1"/>
      <w:marLeft w:val="0"/>
      <w:marRight w:val="0"/>
      <w:marTop w:val="0"/>
      <w:marBottom w:val="0"/>
      <w:divBdr>
        <w:top w:val="none" w:sz="0" w:space="0" w:color="auto"/>
        <w:left w:val="none" w:sz="0" w:space="0" w:color="auto"/>
        <w:bottom w:val="none" w:sz="0" w:space="0" w:color="auto"/>
        <w:right w:val="none" w:sz="0" w:space="0" w:color="auto"/>
      </w:divBdr>
    </w:div>
    <w:div w:id="1033963887">
      <w:bodyDiv w:val="1"/>
      <w:marLeft w:val="0"/>
      <w:marRight w:val="0"/>
      <w:marTop w:val="0"/>
      <w:marBottom w:val="0"/>
      <w:divBdr>
        <w:top w:val="none" w:sz="0" w:space="0" w:color="auto"/>
        <w:left w:val="none" w:sz="0" w:space="0" w:color="auto"/>
        <w:bottom w:val="none" w:sz="0" w:space="0" w:color="auto"/>
        <w:right w:val="none" w:sz="0" w:space="0" w:color="auto"/>
      </w:divBdr>
    </w:div>
    <w:div w:id="1041246775">
      <w:bodyDiv w:val="1"/>
      <w:marLeft w:val="0"/>
      <w:marRight w:val="0"/>
      <w:marTop w:val="0"/>
      <w:marBottom w:val="0"/>
      <w:divBdr>
        <w:top w:val="none" w:sz="0" w:space="0" w:color="auto"/>
        <w:left w:val="none" w:sz="0" w:space="0" w:color="auto"/>
        <w:bottom w:val="none" w:sz="0" w:space="0" w:color="auto"/>
        <w:right w:val="none" w:sz="0" w:space="0" w:color="auto"/>
      </w:divBdr>
    </w:div>
    <w:div w:id="1089547209">
      <w:bodyDiv w:val="1"/>
      <w:marLeft w:val="0"/>
      <w:marRight w:val="0"/>
      <w:marTop w:val="0"/>
      <w:marBottom w:val="0"/>
      <w:divBdr>
        <w:top w:val="none" w:sz="0" w:space="0" w:color="auto"/>
        <w:left w:val="none" w:sz="0" w:space="0" w:color="auto"/>
        <w:bottom w:val="none" w:sz="0" w:space="0" w:color="auto"/>
        <w:right w:val="none" w:sz="0" w:space="0" w:color="auto"/>
      </w:divBdr>
    </w:div>
    <w:div w:id="1131170169">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48864825">
      <w:bodyDiv w:val="1"/>
      <w:marLeft w:val="0"/>
      <w:marRight w:val="0"/>
      <w:marTop w:val="0"/>
      <w:marBottom w:val="0"/>
      <w:divBdr>
        <w:top w:val="none" w:sz="0" w:space="0" w:color="auto"/>
        <w:left w:val="none" w:sz="0" w:space="0" w:color="auto"/>
        <w:bottom w:val="none" w:sz="0" w:space="0" w:color="auto"/>
        <w:right w:val="none" w:sz="0" w:space="0" w:color="auto"/>
      </w:divBdr>
    </w:div>
    <w:div w:id="1151601991">
      <w:bodyDiv w:val="1"/>
      <w:marLeft w:val="0"/>
      <w:marRight w:val="0"/>
      <w:marTop w:val="0"/>
      <w:marBottom w:val="0"/>
      <w:divBdr>
        <w:top w:val="none" w:sz="0" w:space="0" w:color="auto"/>
        <w:left w:val="none" w:sz="0" w:space="0" w:color="auto"/>
        <w:bottom w:val="none" w:sz="0" w:space="0" w:color="auto"/>
        <w:right w:val="none" w:sz="0" w:space="0" w:color="auto"/>
      </w:divBdr>
    </w:div>
    <w:div w:id="1186091401">
      <w:bodyDiv w:val="1"/>
      <w:marLeft w:val="0"/>
      <w:marRight w:val="0"/>
      <w:marTop w:val="0"/>
      <w:marBottom w:val="0"/>
      <w:divBdr>
        <w:top w:val="none" w:sz="0" w:space="0" w:color="auto"/>
        <w:left w:val="none" w:sz="0" w:space="0" w:color="auto"/>
        <w:bottom w:val="none" w:sz="0" w:space="0" w:color="auto"/>
        <w:right w:val="none" w:sz="0" w:space="0" w:color="auto"/>
      </w:divBdr>
    </w:div>
    <w:div w:id="1202594367">
      <w:bodyDiv w:val="1"/>
      <w:marLeft w:val="0"/>
      <w:marRight w:val="0"/>
      <w:marTop w:val="0"/>
      <w:marBottom w:val="0"/>
      <w:divBdr>
        <w:top w:val="none" w:sz="0" w:space="0" w:color="auto"/>
        <w:left w:val="none" w:sz="0" w:space="0" w:color="auto"/>
        <w:bottom w:val="none" w:sz="0" w:space="0" w:color="auto"/>
        <w:right w:val="none" w:sz="0" w:space="0" w:color="auto"/>
      </w:divBdr>
    </w:div>
    <w:div w:id="1211574250">
      <w:bodyDiv w:val="1"/>
      <w:marLeft w:val="0"/>
      <w:marRight w:val="0"/>
      <w:marTop w:val="0"/>
      <w:marBottom w:val="0"/>
      <w:divBdr>
        <w:top w:val="none" w:sz="0" w:space="0" w:color="auto"/>
        <w:left w:val="none" w:sz="0" w:space="0" w:color="auto"/>
        <w:bottom w:val="none" w:sz="0" w:space="0" w:color="auto"/>
        <w:right w:val="none" w:sz="0" w:space="0" w:color="auto"/>
      </w:divBdr>
    </w:div>
    <w:div w:id="1261523791">
      <w:bodyDiv w:val="1"/>
      <w:marLeft w:val="0"/>
      <w:marRight w:val="0"/>
      <w:marTop w:val="0"/>
      <w:marBottom w:val="0"/>
      <w:divBdr>
        <w:top w:val="none" w:sz="0" w:space="0" w:color="auto"/>
        <w:left w:val="none" w:sz="0" w:space="0" w:color="auto"/>
        <w:bottom w:val="none" w:sz="0" w:space="0" w:color="auto"/>
        <w:right w:val="none" w:sz="0" w:space="0" w:color="auto"/>
      </w:divBdr>
    </w:div>
    <w:div w:id="1284726123">
      <w:bodyDiv w:val="1"/>
      <w:marLeft w:val="0"/>
      <w:marRight w:val="0"/>
      <w:marTop w:val="0"/>
      <w:marBottom w:val="0"/>
      <w:divBdr>
        <w:top w:val="none" w:sz="0" w:space="0" w:color="auto"/>
        <w:left w:val="none" w:sz="0" w:space="0" w:color="auto"/>
        <w:bottom w:val="none" w:sz="0" w:space="0" w:color="auto"/>
        <w:right w:val="none" w:sz="0" w:space="0" w:color="auto"/>
      </w:divBdr>
    </w:div>
    <w:div w:id="1307509759">
      <w:bodyDiv w:val="1"/>
      <w:marLeft w:val="0"/>
      <w:marRight w:val="0"/>
      <w:marTop w:val="0"/>
      <w:marBottom w:val="0"/>
      <w:divBdr>
        <w:top w:val="none" w:sz="0" w:space="0" w:color="auto"/>
        <w:left w:val="none" w:sz="0" w:space="0" w:color="auto"/>
        <w:bottom w:val="none" w:sz="0" w:space="0" w:color="auto"/>
        <w:right w:val="none" w:sz="0" w:space="0" w:color="auto"/>
      </w:divBdr>
    </w:div>
    <w:div w:id="1439252523">
      <w:bodyDiv w:val="1"/>
      <w:marLeft w:val="0"/>
      <w:marRight w:val="0"/>
      <w:marTop w:val="0"/>
      <w:marBottom w:val="0"/>
      <w:divBdr>
        <w:top w:val="none" w:sz="0" w:space="0" w:color="auto"/>
        <w:left w:val="none" w:sz="0" w:space="0" w:color="auto"/>
        <w:bottom w:val="none" w:sz="0" w:space="0" w:color="auto"/>
        <w:right w:val="none" w:sz="0" w:space="0" w:color="auto"/>
      </w:divBdr>
    </w:div>
    <w:div w:id="1464620563">
      <w:bodyDiv w:val="1"/>
      <w:marLeft w:val="0"/>
      <w:marRight w:val="0"/>
      <w:marTop w:val="0"/>
      <w:marBottom w:val="0"/>
      <w:divBdr>
        <w:top w:val="none" w:sz="0" w:space="0" w:color="auto"/>
        <w:left w:val="none" w:sz="0" w:space="0" w:color="auto"/>
        <w:bottom w:val="none" w:sz="0" w:space="0" w:color="auto"/>
        <w:right w:val="none" w:sz="0" w:space="0" w:color="auto"/>
      </w:divBdr>
    </w:div>
    <w:div w:id="1499692567">
      <w:bodyDiv w:val="1"/>
      <w:marLeft w:val="0"/>
      <w:marRight w:val="0"/>
      <w:marTop w:val="0"/>
      <w:marBottom w:val="0"/>
      <w:divBdr>
        <w:top w:val="none" w:sz="0" w:space="0" w:color="auto"/>
        <w:left w:val="none" w:sz="0" w:space="0" w:color="auto"/>
        <w:bottom w:val="none" w:sz="0" w:space="0" w:color="auto"/>
        <w:right w:val="none" w:sz="0" w:space="0" w:color="auto"/>
      </w:divBdr>
    </w:div>
    <w:div w:id="1567033395">
      <w:bodyDiv w:val="1"/>
      <w:marLeft w:val="0"/>
      <w:marRight w:val="0"/>
      <w:marTop w:val="0"/>
      <w:marBottom w:val="0"/>
      <w:divBdr>
        <w:top w:val="none" w:sz="0" w:space="0" w:color="auto"/>
        <w:left w:val="none" w:sz="0" w:space="0" w:color="auto"/>
        <w:bottom w:val="none" w:sz="0" w:space="0" w:color="auto"/>
        <w:right w:val="none" w:sz="0" w:space="0" w:color="auto"/>
      </w:divBdr>
    </w:div>
    <w:div w:id="1587422593">
      <w:bodyDiv w:val="1"/>
      <w:marLeft w:val="0"/>
      <w:marRight w:val="0"/>
      <w:marTop w:val="0"/>
      <w:marBottom w:val="0"/>
      <w:divBdr>
        <w:top w:val="none" w:sz="0" w:space="0" w:color="auto"/>
        <w:left w:val="none" w:sz="0" w:space="0" w:color="auto"/>
        <w:bottom w:val="none" w:sz="0" w:space="0" w:color="auto"/>
        <w:right w:val="none" w:sz="0" w:space="0" w:color="auto"/>
      </w:divBdr>
    </w:div>
    <w:div w:id="1638025918">
      <w:bodyDiv w:val="1"/>
      <w:marLeft w:val="0"/>
      <w:marRight w:val="0"/>
      <w:marTop w:val="0"/>
      <w:marBottom w:val="0"/>
      <w:divBdr>
        <w:top w:val="none" w:sz="0" w:space="0" w:color="auto"/>
        <w:left w:val="none" w:sz="0" w:space="0" w:color="auto"/>
        <w:bottom w:val="none" w:sz="0" w:space="0" w:color="auto"/>
        <w:right w:val="none" w:sz="0" w:space="0" w:color="auto"/>
      </w:divBdr>
    </w:div>
    <w:div w:id="1643578257">
      <w:bodyDiv w:val="1"/>
      <w:marLeft w:val="0"/>
      <w:marRight w:val="0"/>
      <w:marTop w:val="0"/>
      <w:marBottom w:val="0"/>
      <w:divBdr>
        <w:top w:val="none" w:sz="0" w:space="0" w:color="auto"/>
        <w:left w:val="none" w:sz="0" w:space="0" w:color="auto"/>
        <w:bottom w:val="none" w:sz="0" w:space="0" w:color="auto"/>
        <w:right w:val="none" w:sz="0" w:space="0" w:color="auto"/>
      </w:divBdr>
    </w:div>
    <w:div w:id="1670064193">
      <w:bodyDiv w:val="1"/>
      <w:marLeft w:val="0"/>
      <w:marRight w:val="0"/>
      <w:marTop w:val="0"/>
      <w:marBottom w:val="0"/>
      <w:divBdr>
        <w:top w:val="none" w:sz="0" w:space="0" w:color="auto"/>
        <w:left w:val="none" w:sz="0" w:space="0" w:color="auto"/>
        <w:bottom w:val="none" w:sz="0" w:space="0" w:color="auto"/>
        <w:right w:val="none" w:sz="0" w:space="0" w:color="auto"/>
      </w:divBdr>
    </w:div>
    <w:div w:id="1742484058">
      <w:bodyDiv w:val="1"/>
      <w:marLeft w:val="0"/>
      <w:marRight w:val="0"/>
      <w:marTop w:val="0"/>
      <w:marBottom w:val="0"/>
      <w:divBdr>
        <w:top w:val="none" w:sz="0" w:space="0" w:color="auto"/>
        <w:left w:val="none" w:sz="0" w:space="0" w:color="auto"/>
        <w:bottom w:val="none" w:sz="0" w:space="0" w:color="auto"/>
        <w:right w:val="none" w:sz="0" w:space="0" w:color="auto"/>
      </w:divBdr>
    </w:div>
    <w:div w:id="1846433398">
      <w:bodyDiv w:val="1"/>
      <w:marLeft w:val="0"/>
      <w:marRight w:val="0"/>
      <w:marTop w:val="0"/>
      <w:marBottom w:val="0"/>
      <w:divBdr>
        <w:top w:val="none" w:sz="0" w:space="0" w:color="auto"/>
        <w:left w:val="none" w:sz="0" w:space="0" w:color="auto"/>
        <w:bottom w:val="none" w:sz="0" w:space="0" w:color="auto"/>
        <w:right w:val="none" w:sz="0" w:space="0" w:color="auto"/>
      </w:divBdr>
    </w:div>
    <w:div w:id="1906908693">
      <w:bodyDiv w:val="1"/>
      <w:marLeft w:val="0"/>
      <w:marRight w:val="0"/>
      <w:marTop w:val="0"/>
      <w:marBottom w:val="0"/>
      <w:divBdr>
        <w:top w:val="none" w:sz="0" w:space="0" w:color="auto"/>
        <w:left w:val="none" w:sz="0" w:space="0" w:color="auto"/>
        <w:bottom w:val="none" w:sz="0" w:space="0" w:color="auto"/>
        <w:right w:val="none" w:sz="0" w:space="0" w:color="auto"/>
      </w:divBdr>
    </w:div>
    <w:div w:id="1981618406">
      <w:bodyDiv w:val="1"/>
      <w:marLeft w:val="0"/>
      <w:marRight w:val="0"/>
      <w:marTop w:val="0"/>
      <w:marBottom w:val="0"/>
      <w:divBdr>
        <w:top w:val="none" w:sz="0" w:space="0" w:color="auto"/>
        <w:left w:val="none" w:sz="0" w:space="0" w:color="auto"/>
        <w:bottom w:val="none" w:sz="0" w:space="0" w:color="auto"/>
        <w:right w:val="none" w:sz="0" w:space="0" w:color="auto"/>
      </w:divBdr>
    </w:div>
    <w:div w:id="2010673664">
      <w:bodyDiv w:val="1"/>
      <w:marLeft w:val="0"/>
      <w:marRight w:val="0"/>
      <w:marTop w:val="0"/>
      <w:marBottom w:val="0"/>
      <w:divBdr>
        <w:top w:val="none" w:sz="0" w:space="0" w:color="auto"/>
        <w:left w:val="none" w:sz="0" w:space="0" w:color="auto"/>
        <w:bottom w:val="none" w:sz="0" w:space="0" w:color="auto"/>
        <w:right w:val="none" w:sz="0" w:space="0" w:color="auto"/>
      </w:divBdr>
    </w:div>
    <w:div w:id="2024355075">
      <w:bodyDiv w:val="1"/>
      <w:marLeft w:val="0"/>
      <w:marRight w:val="0"/>
      <w:marTop w:val="0"/>
      <w:marBottom w:val="0"/>
      <w:divBdr>
        <w:top w:val="none" w:sz="0" w:space="0" w:color="auto"/>
        <w:left w:val="none" w:sz="0" w:space="0" w:color="auto"/>
        <w:bottom w:val="none" w:sz="0" w:space="0" w:color="auto"/>
        <w:right w:val="none" w:sz="0" w:space="0" w:color="auto"/>
      </w:divBdr>
    </w:div>
    <w:div w:id="2058163744">
      <w:bodyDiv w:val="1"/>
      <w:marLeft w:val="0"/>
      <w:marRight w:val="0"/>
      <w:marTop w:val="0"/>
      <w:marBottom w:val="0"/>
      <w:divBdr>
        <w:top w:val="none" w:sz="0" w:space="0" w:color="auto"/>
        <w:left w:val="none" w:sz="0" w:space="0" w:color="auto"/>
        <w:bottom w:val="none" w:sz="0" w:space="0" w:color="auto"/>
        <w:right w:val="none" w:sz="0" w:space="0" w:color="auto"/>
      </w:divBdr>
    </w:div>
    <w:div w:id="213925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cy.anderson@unc.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bls.gov/data/inflation_calculator.htm" TargetMode="External"/><Relationship Id="rId4" Type="http://schemas.openxmlformats.org/officeDocument/2006/relationships/settings" Target="settings.xml"/><Relationship Id="rId9" Type="http://schemas.openxmlformats.org/officeDocument/2006/relationships/hyperlink" Target="https://www.oanda.com/us-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F0BCD31-327D-4D84-AF9C-14546FAB1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9</Pages>
  <Words>6181</Words>
  <Characters>35232</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Darcy Anderson</dc:creator>
  <cp:keywords/>
  <dc:description/>
  <cp:lastModifiedBy>Darcy Anderson</cp:lastModifiedBy>
  <cp:revision>17</cp:revision>
  <dcterms:created xsi:type="dcterms:W3CDTF">2019-06-05T19:10:00Z</dcterms:created>
  <dcterms:modified xsi:type="dcterms:W3CDTF">2020-02-12T20:44:00Z</dcterms:modified>
</cp:coreProperties>
</file>