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49" w:rsidRPr="00242DF5" w:rsidRDefault="00DE2A2B">
      <w:pPr>
        <w:rPr>
          <w:rFonts w:ascii="Palatino Linotype" w:hAnsi="Palatino Linotype"/>
        </w:rPr>
      </w:pPr>
      <w:r w:rsidRPr="00242DF5">
        <w:rPr>
          <w:rFonts w:ascii="Palatino Linotype" w:hAnsi="Palatino Linotype"/>
        </w:rPr>
        <w:t xml:space="preserve">Table S3: </w:t>
      </w:r>
      <w:r w:rsidR="00110646" w:rsidRPr="00242DF5">
        <w:rPr>
          <w:rFonts w:ascii="Palatino Linotype" w:hAnsi="Palatino Linotype"/>
        </w:rPr>
        <w:t>Study context in public domain</w:t>
      </w:r>
    </w:p>
    <w:tbl>
      <w:tblPr>
        <w:tblStyle w:val="Tabellasemplice-2"/>
        <w:tblW w:w="9809" w:type="dxa"/>
        <w:tblLook w:val="04A0" w:firstRow="1" w:lastRow="0" w:firstColumn="1" w:lastColumn="0" w:noHBand="0" w:noVBand="1"/>
      </w:tblPr>
      <w:tblGrid>
        <w:gridCol w:w="3932"/>
        <w:gridCol w:w="5877"/>
      </w:tblGrid>
      <w:tr w:rsidR="00110646" w:rsidRPr="00242DF5" w:rsidTr="00110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242DF5" w:rsidRDefault="00110646" w:rsidP="0011064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Fields </w:t>
            </w:r>
          </w:p>
        </w:tc>
        <w:tc>
          <w:tcPr>
            <w:tcW w:w="5877" w:type="dxa"/>
            <w:hideMark/>
          </w:tcPr>
          <w:p w:rsidR="00110646" w:rsidRPr="00242DF5" w:rsidRDefault="00110646" w:rsidP="0011064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N. paper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Health &amp; social care</w:t>
            </w:r>
          </w:p>
        </w:tc>
        <w:tc>
          <w:tcPr>
            <w:tcW w:w="5877" w:type="dxa"/>
            <w:noWrap/>
          </w:tcPr>
          <w:p w:rsidR="00110646" w:rsidRPr="00242DF5" w:rsidRDefault="003A6A96" w:rsidP="001106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</w:t>
            </w:r>
            <w:r w:rsidR="00110646"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 (+ 8)*</w:t>
            </w:r>
          </w:p>
        </w:tc>
      </w:tr>
      <w:tr w:rsidR="00110646" w:rsidRPr="00242DF5" w:rsidTr="00110646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Education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</w:t>
            </w:r>
            <w:r w:rsidR="003A6A96"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Government – general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3A6A96" w:rsidP="003A6A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</w:tr>
      <w:tr w:rsidR="00110646" w:rsidRPr="00242DF5" w:rsidTr="00110646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E-governance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D22CCC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E</w:t>
            </w:r>
            <w:r w:rsidR="00110646"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nvironment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3A6A96" w:rsidP="001106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110646" w:rsidRPr="00242DF5" w:rsidTr="00110646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D22CCC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W</w:t>
            </w:r>
            <w:r w:rsidR="00110646"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ater management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Justice and security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110646" w:rsidRPr="00242DF5" w:rsidTr="00110646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en-US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NGO (rural service/social care)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3A6A96" w:rsidP="001106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Neighbourhood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3A6A96" w:rsidP="001106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110646" w:rsidRPr="00242DF5" w:rsidTr="00110646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B93DB5" w:rsidP="00B93DB5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I</w:t>
            </w:r>
            <w:bookmarkStart w:id="0" w:name="_GoBack"/>
            <w:bookmarkEnd w:id="0"/>
            <w:r w:rsidR="00110646"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nfrastructure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110646" w:rsidRPr="00242DF5" w:rsidTr="001106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2" w:type="dxa"/>
            <w:hideMark/>
          </w:tcPr>
          <w:p w:rsidR="00110646" w:rsidRPr="00D22CCC" w:rsidRDefault="00110646" w:rsidP="00110646">
            <w:pPr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val="it-IT" w:eastAsia="it-IT"/>
              </w:rPr>
            </w:pPr>
            <w:r w:rsidRPr="00D22CCC">
              <w:rPr>
                <w:rFonts w:ascii="Palatino Linotype" w:eastAsia="Times New Roman" w:hAnsi="Palatino Linotype" w:cs="Times New Roman"/>
                <w:b w:val="0"/>
                <w:iCs/>
                <w:color w:val="000000"/>
                <w:sz w:val="20"/>
                <w:szCs w:val="20"/>
                <w:lang w:eastAsia="it-IT"/>
              </w:rPr>
              <w:t>Entrepreneurship</w:t>
            </w:r>
          </w:p>
        </w:tc>
        <w:tc>
          <w:tcPr>
            <w:tcW w:w="5877" w:type="dxa"/>
            <w:noWrap/>
            <w:hideMark/>
          </w:tcPr>
          <w:p w:rsidR="00110646" w:rsidRPr="00242DF5" w:rsidRDefault="00110646" w:rsidP="001106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it-IT" w:eastAsia="it-IT"/>
              </w:rPr>
            </w:pPr>
            <w:r w:rsidRPr="00242DF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</w:tbl>
    <w:p w:rsidR="00110646" w:rsidRPr="00242DF5" w:rsidRDefault="00110646">
      <w:pPr>
        <w:rPr>
          <w:rFonts w:ascii="Palatino Linotype" w:hAnsi="Palatino Linotype"/>
        </w:rPr>
      </w:pPr>
    </w:p>
    <w:p w:rsidR="00110646" w:rsidRPr="00242DF5" w:rsidRDefault="00110646" w:rsidP="00110646">
      <w:pPr>
        <w:jc w:val="both"/>
        <w:rPr>
          <w:rFonts w:ascii="Palatino Linotype" w:hAnsi="Palatino Linotype"/>
          <w:sz w:val="18"/>
          <w:szCs w:val="18"/>
        </w:rPr>
      </w:pPr>
      <w:r w:rsidRPr="00242DF5">
        <w:rPr>
          <w:rFonts w:ascii="Palatino Linotype" w:hAnsi="Palatino Linotype"/>
          <w:sz w:val="18"/>
          <w:szCs w:val="18"/>
        </w:rPr>
        <w:t>* 4 papers are included in public dataset, 8 were in overlapping with healthcare dataset and they are included only in those dataset.</w:t>
      </w:r>
    </w:p>
    <w:sectPr w:rsidR="00110646" w:rsidRPr="00242D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46"/>
    <w:rsid w:val="00110646"/>
    <w:rsid w:val="00242DF5"/>
    <w:rsid w:val="002F3F49"/>
    <w:rsid w:val="003A6A96"/>
    <w:rsid w:val="00B93DB5"/>
    <w:rsid w:val="00C6759C"/>
    <w:rsid w:val="00D22CCC"/>
    <w:rsid w:val="00DE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4063"/>
  <w15:chartTrackingRefBased/>
  <w15:docId w15:val="{7E3EFA12-CC89-47FD-8AA6-9CEBD3CE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1064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106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10646"/>
    <w:rPr>
      <w:sz w:val="20"/>
      <w:szCs w:val="20"/>
      <w:lang w:val="en-GB"/>
    </w:rPr>
  </w:style>
  <w:style w:type="table" w:customStyle="1" w:styleId="Tabellasemplice-21">
    <w:name w:val="Tabella semplice - 21"/>
    <w:basedOn w:val="Tabellanormale"/>
    <w:uiPriority w:val="42"/>
    <w:rsid w:val="00110646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0646"/>
    <w:rPr>
      <w:rFonts w:ascii="Segoe UI" w:hAnsi="Segoe UI" w:cs="Segoe UI"/>
      <w:sz w:val="18"/>
      <w:szCs w:val="18"/>
      <w:lang w:val="en-GB"/>
    </w:rPr>
  </w:style>
  <w:style w:type="table" w:styleId="Tabellasemplice-2">
    <w:name w:val="Plain Table 2"/>
    <w:basedOn w:val="Tabellanormale"/>
    <w:uiPriority w:val="42"/>
    <w:rsid w:val="001106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Floriana</dc:creator>
  <cp:keywords/>
  <dc:description/>
  <cp:lastModifiedBy>Floriana</cp:lastModifiedBy>
  <cp:revision>9</cp:revision>
  <dcterms:created xsi:type="dcterms:W3CDTF">2021-01-21T16:34:00Z</dcterms:created>
  <dcterms:modified xsi:type="dcterms:W3CDTF">2021-02-12T15:06:00Z</dcterms:modified>
</cp:coreProperties>
</file>