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4D540" w14:textId="7827D6CB" w:rsidR="00C9290D" w:rsidRPr="006453D9" w:rsidRDefault="00024080" w:rsidP="00655EE0">
      <w:pPr>
        <w:pStyle w:val="MDPI11articletype"/>
        <w:tabs>
          <w:tab w:val="left" w:pos="567"/>
        </w:tabs>
      </w:pPr>
      <w:r>
        <w:t>Supplementary material</w:t>
      </w:r>
    </w:p>
    <w:p w14:paraId="3709AF84" w14:textId="55A50852" w:rsidR="00024080" w:rsidRDefault="00024080" w:rsidP="00C9290D">
      <w:pPr>
        <w:pStyle w:val="MDPI12title"/>
      </w:pPr>
      <w:r>
        <w:t xml:space="preserve">Supplementary material 1: </w:t>
      </w:r>
      <w:r w:rsidR="001E66B7" w:rsidRPr="001F31D1">
        <w:t>Re</w:t>
      </w:r>
      <w:r w:rsidR="001E66B7">
        <w:t>actor pool cavity dimensions and cost model</w:t>
      </w:r>
    </w:p>
    <w:p w14:paraId="40A5E69F" w14:textId="7FEE84E3" w:rsidR="00C9290D" w:rsidRPr="00024080" w:rsidRDefault="00A25839" w:rsidP="00C9290D">
      <w:pPr>
        <w:pStyle w:val="MDPI12title"/>
        <w:rPr>
          <w:sz w:val="26"/>
          <w:szCs w:val="26"/>
        </w:rPr>
      </w:pPr>
      <w:r w:rsidRPr="00024080">
        <w:rPr>
          <w:sz w:val="26"/>
          <w:szCs w:val="26"/>
        </w:rPr>
        <w:t>Optimization of natural circulation</w:t>
      </w:r>
      <w:r w:rsidR="00675E6D" w:rsidRPr="00024080">
        <w:rPr>
          <w:sz w:val="26"/>
          <w:szCs w:val="26"/>
        </w:rPr>
        <w:t xml:space="preserve"> district heating reactor </w:t>
      </w:r>
      <w:r w:rsidR="0003236F" w:rsidRPr="00024080">
        <w:rPr>
          <w:sz w:val="26"/>
          <w:szCs w:val="26"/>
        </w:rPr>
        <w:t xml:space="preserve">primary </w:t>
      </w:r>
      <w:r w:rsidR="00675E6D" w:rsidRPr="00024080">
        <w:rPr>
          <w:sz w:val="26"/>
          <w:szCs w:val="26"/>
        </w:rPr>
        <w:t>heat exchangers</w:t>
      </w:r>
      <w:r w:rsidRPr="00024080">
        <w:rPr>
          <w:sz w:val="26"/>
          <w:szCs w:val="26"/>
        </w:rPr>
        <w:t xml:space="preserve"> </w:t>
      </w:r>
    </w:p>
    <w:p w14:paraId="378D2AAB" w14:textId="295C56B0" w:rsidR="007A5543" w:rsidRDefault="00A25839" w:rsidP="00C9290D">
      <w:pPr>
        <w:pStyle w:val="MDPI13authornames"/>
      </w:pPr>
      <w:r>
        <w:t>Saari Jussi</w:t>
      </w:r>
      <w:r w:rsidR="00C9290D" w:rsidRPr="00D945EC">
        <w:t xml:space="preserve"> </w:t>
      </w:r>
      <w:r w:rsidR="00C9290D" w:rsidRPr="001F31D1">
        <w:rPr>
          <w:vertAlign w:val="superscript"/>
        </w:rPr>
        <w:t>1</w:t>
      </w:r>
      <w:r>
        <w:rPr>
          <w:vertAlign w:val="superscript"/>
        </w:rPr>
        <w:t>,</w:t>
      </w:r>
      <w:r w:rsidRPr="00331633">
        <w:t>*</w:t>
      </w:r>
      <w:r w:rsidR="00C9290D" w:rsidRPr="00D945EC">
        <w:t xml:space="preserve">, </w:t>
      </w:r>
      <w:r>
        <w:t>Suikkanen Heikki</w:t>
      </w:r>
      <w:r w:rsidR="00C9290D" w:rsidRPr="00D945EC">
        <w:t xml:space="preserve"> </w:t>
      </w:r>
      <w:r>
        <w:rPr>
          <w:vertAlign w:val="superscript"/>
        </w:rPr>
        <w:t>1</w:t>
      </w:r>
      <w:r w:rsidR="00161B42">
        <w:t>,</w:t>
      </w:r>
      <w:r w:rsidR="00655EE0">
        <w:t xml:space="preserve"> </w:t>
      </w:r>
      <w:r w:rsidR="00161B42">
        <w:rPr>
          <w:lang w:val="fi-FI"/>
        </w:rPr>
        <w:t>Mendoza-Martinez</w:t>
      </w:r>
      <w:r w:rsidR="00655EE0">
        <w:rPr>
          <w:lang w:val="fi-FI"/>
        </w:rPr>
        <w:t xml:space="preserve"> Clara</w:t>
      </w:r>
      <w:r w:rsidR="00161B42" w:rsidRPr="001E5FB6">
        <w:rPr>
          <w:vertAlign w:val="superscript"/>
          <w:lang w:val="fi-FI"/>
        </w:rPr>
        <w:t>1</w:t>
      </w:r>
      <w:r w:rsidR="00161B42">
        <w:rPr>
          <w:vertAlign w:val="superscript"/>
          <w:lang w:val="fi-FI"/>
        </w:rPr>
        <w:t xml:space="preserve"> </w:t>
      </w:r>
      <w:r w:rsidR="00161B42">
        <w:t>, a</w:t>
      </w:r>
      <w:r w:rsidR="00C9290D" w:rsidRPr="00D945EC">
        <w:t xml:space="preserve">nd </w:t>
      </w:r>
      <w:r>
        <w:t>Hyvärinen Juhani</w:t>
      </w:r>
      <w:r w:rsidR="00C9290D" w:rsidRPr="00D945EC">
        <w:t xml:space="preserve"> </w:t>
      </w:r>
      <w:r>
        <w:rPr>
          <w:vertAlign w:val="superscript"/>
        </w:rPr>
        <w:t>1</w:t>
      </w:r>
    </w:p>
    <w:p w14:paraId="133F579E" w14:textId="3F54902F" w:rsidR="00C9290D" w:rsidRPr="00D945EC" w:rsidRDefault="000D2E99" w:rsidP="00C9290D">
      <w:pPr>
        <w:pStyle w:val="MDPI16affiliation"/>
      </w:pPr>
      <w:r w:rsidRPr="000D2E99">
        <w:rPr>
          <w:vertAlign w:val="superscript"/>
        </w:rPr>
        <w:t>1</w:t>
      </w:r>
      <w:r w:rsidR="00C9290D" w:rsidRPr="00D945EC">
        <w:tab/>
      </w:r>
      <w:r w:rsidR="00A25839">
        <w:t>Lappeenranta-Lahti University of Technology LUT</w:t>
      </w:r>
    </w:p>
    <w:p w14:paraId="25903E13" w14:textId="64A752BB" w:rsidR="00C9290D" w:rsidRPr="00550626" w:rsidRDefault="00C9290D" w:rsidP="00C9290D">
      <w:pPr>
        <w:pStyle w:val="MDPI16affiliation"/>
      </w:pPr>
      <w:r w:rsidRPr="003D0EA6">
        <w:rPr>
          <w:b/>
        </w:rPr>
        <w:t>*</w:t>
      </w:r>
      <w:r w:rsidRPr="00D945EC">
        <w:tab/>
        <w:t xml:space="preserve">Correspondence: </w:t>
      </w:r>
      <w:r w:rsidR="00A25839">
        <w:t>saari</w:t>
      </w:r>
      <w:r w:rsidRPr="00D945EC">
        <w:t>@</w:t>
      </w:r>
      <w:r w:rsidR="00A25839">
        <w:t>lut</w:t>
      </w:r>
      <w:r w:rsidRPr="00D945EC">
        <w:t>.</w:t>
      </w:r>
      <w:r w:rsidR="00A25839">
        <w:t>fi</w:t>
      </w:r>
    </w:p>
    <w:p w14:paraId="0925FBB9" w14:textId="77777777" w:rsidR="00C9290D" w:rsidRPr="00550626" w:rsidRDefault="00C9290D" w:rsidP="00C9290D">
      <w:pPr>
        <w:pStyle w:val="MDPI19line"/>
      </w:pPr>
    </w:p>
    <w:p w14:paraId="254E6612" w14:textId="7F9156AF" w:rsidR="00655EE0" w:rsidRPr="00A66500" w:rsidRDefault="00161B42" w:rsidP="005C506D">
      <w:pPr>
        <w:pStyle w:val="MDPI31text"/>
        <w:rPr>
          <w:color w:val="FF0000"/>
        </w:rPr>
      </w:pPr>
      <w:r>
        <w:t xml:space="preserve">The </w:t>
      </w:r>
      <w:proofErr w:type="gramStart"/>
      <w:r>
        <w:t>7-meter deep</w:t>
      </w:r>
      <w:proofErr w:type="gramEnd"/>
      <w:r>
        <w:t xml:space="preserve"> main pool is unaffected by the heat exchanger design and considered part of the fixed cost </w:t>
      </w:r>
      <w:r>
        <w:rPr>
          <w:i/>
          <w:iCs/>
        </w:rPr>
        <w:t>C</w:t>
      </w:r>
      <w:r>
        <w:rPr>
          <w:vertAlign w:val="subscript"/>
        </w:rPr>
        <w:t>SMR</w:t>
      </w:r>
      <w:r>
        <w:t xml:space="preserve">. Only the cost of the cylindrical cavity extending below the </w:t>
      </w:r>
      <w:proofErr w:type="spellStart"/>
      <w:r>
        <w:t>the</w:t>
      </w:r>
      <w:proofErr w:type="spellEnd"/>
      <w:r>
        <w:t xml:space="preserve"> main pool varies as a function of the heat exchanger dimensions and the height </w:t>
      </w:r>
      <w:r w:rsidRPr="00B4374E">
        <w:rPr>
          <w:rFonts w:ascii="Symbol" w:hAnsi="Symbol"/>
        </w:rPr>
        <w:t>D</w:t>
      </w:r>
      <w:r w:rsidRPr="00B4374E">
        <w:rPr>
          <w:i/>
          <w:iCs/>
        </w:rPr>
        <w:t>H</w:t>
      </w:r>
      <w:r>
        <w:t xml:space="preserve"> to the RPV bottom. The cavity cost </w:t>
      </w:r>
      <w:proofErr w:type="spellStart"/>
      <w:r>
        <w:rPr>
          <w:i/>
          <w:iCs/>
        </w:rPr>
        <w:t>C</w:t>
      </w:r>
      <w:r>
        <w:rPr>
          <w:vertAlign w:val="subscript"/>
        </w:rPr>
        <w:t>cav</w:t>
      </w:r>
      <w:proofErr w:type="spellEnd"/>
      <w:r>
        <w:t xml:space="preserve">, is thus evaluated in the cost model. This consists of two components: excavation </w:t>
      </w:r>
      <w:proofErr w:type="spellStart"/>
      <w:r>
        <w:rPr>
          <w:i/>
          <w:iCs/>
        </w:rPr>
        <w:t>C</w:t>
      </w:r>
      <w:r>
        <w:rPr>
          <w:vertAlign w:val="subscript"/>
        </w:rPr>
        <w:t>excav</w:t>
      </w:r>
      <w:proofErr w:type="spellEnd"/>
      <w:r>
        <w:t xml:space="preserve">, and wall construction </w:t>
      </w:r>
      <w:proofErr w:type="spellStart"/>
      <w:r>
        <w:rPr>
          <w:i/>
          <w:iCs/>
        </w:rPr>
        <w:t>C</w:t>
      </w:r>
      <w:r>
        <w:rPr>
          <w:vertAlign w:val="subscript"/>
        </w:rPr>
        <w:t>cav,w</w:t>
      </w:r>
      <w:proofErr w:type="spellEnd"/>
      <w:r>
        <w:t xml:space="preserve">. </w:t>
      </w:r>
    </w:p>
    <w:p w14:paraId="4FED666E" w14:textId="3F0AD1D9" w:rsidR="00161B42" w:rsidRDefault="00161B42" w:rsidP="00161B42">
      <w:pPr>
        <w:pStyle w:val="MDPI31text"/>
      </w:pPr>
      <w:r>
        <w:t xml:space="preserve">The cavity has a 500 mm thick steel reinforced concrete wall with 10 mm steel lining. The concrete cost is the sum of material and labor costs per cubic meter. The material cost of the steel reinforced concrete </w:t>
      </w:r>
      <w:proofErr w:type="spellStart"/>
      <w:r w:rsidRPr="004A45D4">
        <w:rPr>
          <w:i/>
          <w:iCs/>
        </w:rPr>
        <w:t>C</w:t>
      </w:r>
      <w:r w:rsidRPr="004A45D4">
        <w:rPr>
          <w:vertAlign w:val="subscript"/>
        </w:rPr>
        <w:t>mat,</w:t>
      </w:r>
      <w:r>
        <w:rPr>
          <w:vertAlign w:val="subscript"/>
        </w:rPr>
        <w:t>src</w:t>
      </w:r>
      <w:proofErr w:type="spellEnd"/>
      <w:r>
        <w:t xml:space="preserve"> is obtained from the rebar-to-concrete mass ratio </w:t>
      </w:r>
      <w:r>
        <w:rPr>
          <w:i/>
          <w:iCs/>
        </w:rPr>
        <w:t>r</w:t>
      </w:r>
      <w:r>
        <w:t>, 0.11 for reactor buildings in Gen IV nuclear systems [</w:t>
      </w:r>
      <w:r w:rsidR="00597BD4">
        <w:t>36</w:t>
      </w:r>
      <w:r>
        <w:t>], using index-corrected [</w:t>
      </w:r>
      <w:r w:rsidR="00597BD4">
        <w:t>37</w:t>
      </w:r>
      <w:r>
        <w:t>] specific costs in [</w:t>
      </w:r>
      <w:r w:rsidR="00597BD4">
        <w:t>36</w:t>
      </w:r>
      <w:r>
        <w:t>]. Since the pool cavity walls are likely more complex to construct than typical substructures, the installation labor demand is estimated at an average of substructure and superstructure labor [</w:t>
      </w:r>
      <w:r w:rsidR="00597BD4">
        <w:t>36</w:t>
      </w:r>
      <w:r>
        <w:t xml:space="preserve">]. The cost estimates are summarized in Table S1. </w:t>
      </w:r>
    </w:p>
    <w:p w14:paraId="1B345B07" w14:textId="3E3950B4" w:rsidR="005C506D" w:rsidRDefault="00161B42" w:rsidP="005C506D">
      <w:pPr>
        <w:pStyle w:val="MDPI31text"/>
      </w:pPr>
      <w:r>
        <w:t>Excavation costs depend much on soil and the methods used. In dry, soft soil as little as 30 €/m</w:t>
      </w:r>
      <w:r w:rsidRPr="00602FC7">
        <w:rPr>
          <w:vertAlign w:val="superscript"/>
        </w:rPr>
        <w:t>3</w:t>
      </w:r>
      <w:r>
        <w:t xml:space="preserve"> [</w:t>
      </w:r>
      <w:r w:rsidR="00597BD4">
        <w:t>34</w:t>
      </w:r>
      <w:r>
        <w:t>] has been estimated; bedrock excavation is typically 4-6 times more expensive, the high end corresponding to non-blasting methods. Here 175 €/m</w:t>
      </w:r>
      <w:r w:rsidRPr="00602FC7">
        <w:rPr>
          <w:vertAlign w:val="superscript"/>
        </w:rPr>
        <w:t>3</w:t>
      </w:r>
      <w:r>
        <w:t xml:space="preserve"> has been considered. The minimum excavation volume corresponds to a cylinder with a depth and diameter exceeding those of the cavity depth by 1 m. To clear the cavity of rubble, excavator must reach the bottom, limiting reach to approximately the diameter of the cavity (Fig</w:t>
      </w:r>
      <w:r w:rsidR="003C4B42">
        <w:t>. S1</w:t>
      </w:r>
      <w:r>
        <w:t>). For a cavity deeper than its diameter, a 6.0×6.0-meter working plateau must be cleared, with a ramp no steeper than 30°. The working space and ramp are re-filled during the wall construction. The wall thickness against re-filled soil is doubled to 1.0 m, and labor demand estimated according to nuclear-site superstructure [</w:t>
      </w:r>
      <w:r w:rsidR="00597BD4">
        <w:t>36</w:t>
      </w:r>
      <w:r>
        <w:t>].</w:t>
      </w:r>
    </w:p>
    <w:p w14:paraId="4294E100" w14:textId="733035F7" w:rsidR="005C506D" w:rsidRDefault="00203379" w:rsidP="005C506D">
      <w:pPr>
        <w:pStyle w:val="MDPI31text"/>
        <w:ind w:left="0" w:firstLine="84"/>
      </w:pPr>
      <w:r>
        <w:rPr>
          <w:noProof/>
        </w:rPr>
        <w:drawing>
          <wp:inline distT="0" distB="0" distL="0" distR="0" wp14:anchorId="2729179F" wp14:editId="7E65D114">
            <wp:extent cx="6480000" cy="2221537"/>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000" cy="2221537"/>
                    </a:xfrm>
                    <a:prstGeom prst="rect">
                      <a:avLst/>
                    </a:prstGeom>
                    <a:noFill/>
                    <a:ln>
                      <a:noFill/>
                    </a:ln>
                  </pic:spPr>
                </pic:pic>
              </a:graphicData>
            </a:graphic>
          </wp:inline>
        </w:drawing>
      </w:r>
    </w:p>
    <w:p w14:paraId="6488A573" w14:textId="77777777" w:rsidR="005C506D" w:rsidRPr="00A66500" w:rsidRDefault="005C506D" w:rsidP="005C506D">
      <w:pPr>
        <w:pStyle w:val="MDPI51figurecaption"/>
        <w:ind w:left="0"/>
        <w:rPr>
          <w:color w:val="FF0000"/>
        </w:rPr>
      </w:pPr>
      <w:r w:rsidRPr="00F63A9B">
        <w:rPr>
          <w:b/>
        </w:rPr>
        <w:t xml:space="preserve">Figure </w:t>
      </w:r>
      <w:r>
        <w:rPr>
          <w:b/>
        </w:rPr>
        <w:t>S1</w:t>
      </w:r>
      <w:r w:rsidRPr="00F63A9B">
        <w:rPr>
          <w:b/>
        </w:rPr>
        <w:t xml:space="preserve">. </w:t>
      </w:r>
      <w:r>
        <w:t>Pool cavity structure and excavation dimensions</w:t>
      </w:r>
      <w:r w:rsidRPr="00E33455">
        <w:t>.</w:t>
      </w:r>
      <w:r>
        <w:t xml:space="preserve"> </w:t>
      </w:r>
    </w:p>
    <w:p w14:paraId="44609DEA" w14:textId="052A6E8B" w:rsidR="006D7718" w:rsidRDefault="00161B42" w:rsidP="00161B42">
      <w:pPr>
        <w:pStyle w:val="MDPI41tablecaption"/>
      </w:pPr>
      <w:r>
        <w:rPr>
          <w:b/>
        </w:rPr>
        <w:lastRenderedPageBreak/>
        <w:t>Table S1</w:t>
      </w:r>
      <w:r w:rsidRPr="00325902">
        <w:rPr>
          <w:b/>
        </w:rPr>
        <w:t>.</w:t>
      </w:r>
      <w:r w:rsidRPr="00325902">
        <w:t xml:space="preserve"> </w:t>
      </w:r>
      <w:r>
        <w:t>Reactor pool cavity cost components</w:t>
      </w:r>
      <w:r w:rsidRPr="00325902">
        <w:t>.</w:t>
      </w:r>
    </w:p>
    <w:tbl>
      <w:tblPr>
        <w:tblW w:w="7542" w:type="dxa"/>
        <w:tblInd w:w="2608" w:type="dxa"/>
        <w:tblBorders>
          <w:top w:val="single" w:sz="8" w:space="0" w:color="auto"/>
          <w:bottom w:val="single" w:sz="8" w:space="0" w:color="auto"/>
        </w:tblBorders>
        <w:tblLayout w:type="fixed"/>
        <w:tblCellMar>
          <w:top w:w="43" w:type="dxa"/>
          <w:left w:w="0" w:type="dxa"/>
          <w:bottom w:w="28" w:type="dxa"/>
          <w:right w:w="0" w:type="dxa"/>
        </w:tblCellMar>
        <w:tblLook w:val="04A0" w:firstRow="1" w:lastRow="0" w:firstColumn="1" w:lastColumn="0" w:noHBand="0" w:noVBand="1"/>
      </w:tblPr>
      <w:tblGrid>
        <w:gridCol w:w="2212"/>
        <w:gridCol w:w="3402"/>
        <w:gridCol w:w="964"/>
        <w:gridCol w:w="964"/>
      </w:tblGrid>
      <w:tr w:rsidR="00161B42" w:rsidRPr="00661D1F" w14:paraId="35E9D723" w14:textId="77777777" w:rsidTr="00C27019">
        <w:tc>
          <w:tcPr>
            <w:tcW w:w="2212" w:type="dxa"/>
            <w:tcBorders>
              <w:bottom w:val="single" w:sz="4" w:space="0" w:color="auto"/>
            </w:tcBorders>
            <w:shd w:val="clear" w:color="auto" w:fill="auto"/>
            <w:vAlign w:val="center"/>
          </w:tcPr>
          <w:p w14:paraId="5C30FA08" w14:textId="77777777" w:rsidR="00161B42" w:rsidRPr="007F7C8C" w:rsidRDefault="00161B42" w:rsidP="00C27019">
            <w:pPr>
              <w:pStyle w:val="MDPI42tablebody"/>
              <w:spacing w:line="240" w:lineRule="auto"/>
              <w:rPr>
                <w:b/>
                <w:snapToGrid/>
              </w:rPr>
            </w:pPr>
            <w:r>
              <w:rPr>
                <w:b/>
                <w:snapToGrid/>
              </w:rPr>
              <w:t>Commodity</w:t>
            </w:r>
          </w:p>
        </w:tc>
        <w:tc>
          <w:tcPr>
            <w:tcW w:w="3402" w:type="dxa"/>
            <w:tcBorders>
              <w:bottom w:val="single" w:sz="4" w:space="0" w:color="auto"/>
            </w:tcBorders>
          </w:tcPr>
          <w:p w14:paraId="5DF4FA05" w14:textId="77777777" w:rsidR="00161B42" w:rsidRDefault="00161B42" w:rsidP="00C27019">
            <w:pPr>
              <w:pStyle w:val="MDPI42tablebody"/>
              <w:spacing w:line="240" w:lineRule="auto"/>
              <w:rPr>
                <w:b/>
                <w:snapToGrid/>
              </w:rPr>
            </w:pPr>
            <w:r>
              <w:rPr>
                <w:b/>
                <w:snapToGrid/>
              </w:rPr>
              <w:t>Property</w:t>
            </w:r>
          </w:p>
        </w:tc>
        <w:tc>
          <w:tcPr>
            <w:tcW w:w="964" w:type="dxa"/>
            <w:tcBorders>
              <w:bottom w:val="single" w:sz="4" w:space="0" w:color="auto"/>
            </w:tcBorders>
            <w:shd w:val="clear" w:color="auto" w:fill="auto"/>
            <w:vAlign w:val="center"/>
          </w:tcPr>
          <w:p w14:paraId="1A2867FD" w14:textId="77777777" w:rsidR="00161B42" w:rsidRPr="007F7C8C" w:rsidRDefault="00161B42" w:rsidP="00C27019">
            <w:pPr>
              <w:pStyle w:val="MDPI42tablebody"/>
              <w:spacing w:line="240" w:lineRule="auto"/>
              <w:rPr>
                <w:b/>
                <w:snapToGrid/>
              </w:rPr>
            </w:pPr>
            <w:r>
              <w:rPr>
                <w:b/>
                <w:snapToGrid/>
              </w:rPr>
              <w:t>Unit</w:t>
            </w:r>
          </w:p>
        </w:tc>
        <w:tc>
          <w:tcPr>
            <w:tcW w:w="964" w:type="dxa"/>
            <w:tcBorders>
              <w:bottom w:val="single" w:sz="4" w:space="0" w:color="auto"/>
            </w:tcBorders>
            <w:shd w:val="clear" w:color="auto" w:fill="auto"/>
            <w:vAlign w:val="center"/>
          </w:tcPr>
          <w:p w14:paraId="1B2A040B" w14:textId="77777777" w:rsidR="00161B42" w:rsidRPr="007F7C8C" w:rsidRDefault="00161B42" w:rsidP="00C27019">
            <w:pPr>
              <w:pStyle w:val="MDPI42tablebody"/>
              <w:spacing w:line="240" w:lineRule="auto"/>
              <w:rPr>
                <w:b/>
                <w:snapToGrid/>
              </w:rPr>
            </w:pPr>
            <w:r>
              <w:rPr>
                <w:b/>
                <w:snapToGrid/>
              </w:rPr>
              <w:t>Value</w:t>
            </w:r>
          </w:p>
        </w:tc>
      </w:tr>
      <w:tr w:rsidR="00161B42" w:rsidRPr="00661D1F" w14:paraId="5679D7F5" w14:textId="77777777" w:rsidTr="00C27019">
        <w:tc>
          <w:tcPr>
            <w:tcW w:w="2212" w:type="dxa"/>
            <w:vMerge w:val="restart"/>
            <w:shd w:val="clear" w:color="auto" w:fill="auto"/>
            <w:vAlign w:val="center"/>
          </w:tcPr>
          <w:p w14:paraId="66EF3BF2" w14:textId="77777777" w:rsidR="00161B42" w:rsidRPr="00F220D4" w:rsidRDefault="00161B42" w:rsidP="00C27019">
            <w:pPr>
              <w:pStyle w:val="MDPI42tablebody"/>
              <w:spacing w:line="240" w:lineRule="auto"/>
            </w:pPr>
            <w:r>
              <w:t>Concrete</w:t>
            </w:r>
          </w:p>
        </w:tc>
        <w:tc>
          <w:tcPr>
            <w:tcW w:w="3402" w:type="dxa"/>
            <w:vAlign w:val="center"/>
          </w:tcPr>
          <w:p w14:paraId="02DB91C7" w14:textId="77777777" w:rsidR="00161B42" w:rsidRDefault="00161B42" w:rsidP="00C27019">
            <w:pPr>
              <w:pStyle w:val="MDPI42tablebody"/>
              <w:spacing w:line="240" w:lineRule="auto"/>
            </w:pPr>
            <w:r>
              <w:t>density</w:t>
            </w:r>
          </w:p>
        </w:tc>
        <w:tc>
          <w:tcPr>
            <w:tcW w:w="964" w:type="dxa"/>
            <w:shd w:val="clear" w:color="auto" w:fill="auto"/>
            <w:vAlign w:val="center"/>
          </w:tcPr>
          <w:p w14:paraId="3C74311F" w14:textId="77777777" w:rsidR="00161B42" w:rsidRPr="00F220D4" w:rsidRDefault="00161B42" w:rsidP="00C27019">
            <w:pPr>
              <w:pStyle w:val="MDPI42tablebody"/>
              <w:spacing w:line="240" w:lineRule="auto"/>
            </w:pPr>
            <w:r>
              <w:t>kg/m</w:t>
            </w:r>
            <w:r w:rsidRPr="00A41A01">
              <w:rPr>
                <w:vertAlign w:val="superscript"/>
              </w:rPr>
              <w:t>3</w:t>
            </w:r>
          </w:p>
        </w:tc>
        <w:tc>
          <w:tcPr>
            <w:tcW w:w="964" w:type="dxa"/>
            <w:shd w:val="clear" w:color="auto" w:fill="auto"/>
            <w:vAlign w:val="center"/>
          </w:tcPr>
          <w:p w14:paraId="508D4416" w14:textId="0FB13542" w:rsidR="00161B42" w:rsidRPr="00F220D4" w:rsidRDefault="00161B42" w:rsidP="00C27019">
            <w:pPr>
              <w:pStyle w:val="MDPI42tablebody"/>
              <w:spacing w:line="240" w:lineRule="auto"/>
            </w:pPr>
            <w:r>
              <w:t>4000 [</w:t>
            </w:r>
            <w:r w:rsidR="00597BD4">
              <w:t>36</w:t>
            </w:r>
            <w:r>
              <w:t>]</w:t>
            </w:r>
          </w:p>
        </w:tc>
      </w:tr>
      <w:tr w:rsidR="00161B42" w:rsidRPr="00661D1F" w14:paraId="79EC82AF" w14:textId="77777777" w:rsidTr="00C27019">
        <w:tc>
          <w:tcPr>
            <w:tcW w:w="2212" w:type="dxa"/>
            <w:vMerge/>
            <w:shd w:val="clear" w:color="auto" w:fill="auto"/>
            <w:vAlign w:val="center"/>
          </w:tcPr>
          <w:p w14:paraId="1B5EB549" w14:textId="77777777" w:rsidR="00161B42" w:rsidRDefault="00161B42" w:rsidP="00C27019">
            <w:pPr>
              <w:pStyle w:val="MDPI42tablebody"/>
              <w:spacing w:line="240" w:lineRule="auto"/>
            </w:pPr>
          </w:p>
        </w:tc>
        <w:tc>
          <w:tcPr>
            <w:tcW w:w="3402" w:type="dxa"/>
            <w:tcBorders>
              <w:bottom w:val="nil"/>
            </w:tcBorders>
            <w:vAlign w:val="center"/>
          </w:tcPr>
          <w:p w14:paraId="1B5D7ED9" w14:textId="77777777" w:rsidR="00161B42" w:rsidRDefault="00161B42" w:rsidP="00C27019">
            <w:pPr>
              <w:pStyle w:val="MDPI42tablebody"/>
              <w:spacing w:line="240" w:lineRule="auto"/>
            </w:pPr>
            <w:r>
              <w:t>cost</w:t>
            </w:r>
          </w:p>
        </w:tc>
        <w:tc>
          <w:tcPr>
            <w:tcW w:w="964" w:type="dxa"/>
            <w:tcBorders>
              <w:bottom w:val="nil"/>
            </w:tcBorders>
            <w:shd w:val="clear" w:color="auto" w:fill="auto"/>
            <w:vAlign w:val="center"/>
          </w:tcPr>
          <w:p w14:paraId="6CD80FB0" w14:textId="77777777" w:rsidR="00161B42" w:rsidRDefault="00161B42" w:rsidP="00C27019">
            <w:pPr>
              <w:pStyle w:val="MDPI42tablebody"/>
              <w:spacing w:line="240" w:lineRule="auto"/>
            </w:pPr>
            <w:r>
              <w:t>€/m</w:t>
            </w:r>
            <w:r w:rsidRPr="00A41A01">
              <w:rPr>
                <w:vertAlign w:val="superscript"/>
              </w:rPr>
              <w:t>3</w:t>
            </w:r>
          </w:p>
        </w:tc>
        <w:tc>
          <w:tcPr>
            <w:tcW w:w="964" w:type="dxa"/>
            <w:tcBorders>
              <w:bottom w:val="nil"/>
            </w:tcBorders>
            <w:shd w:val="clear" w:color="auto" w:fill="auto"/>
            <w:vAlign w:val="center"/>
          </w:tcPr>
          <w:p w14:paraId="37DED05E" w14:textId="22930E18" w:rsidR="00161B42" w:rsidRPr="00F220D4" w:rsidRDefault="00161B42" w:rsidP="00C27019">
            <w:pPr>
              <w:pStyle w:val="MDPI42tablebody"/>
              <w:spacing w:line="240" w:lineRule="auto"/>
            </w:pPr>
            <w:r>
              <w:t>289 [</w:t>
            </w:r>
            <w:r w:rsidR="00597BD4">
              <w:t>36</w:t>
            </w:r>
            <w:r>
              <w:t>]</w:t>
            </w:r>
            <w:r w:rsidRPr="00325902">
              <w:rPr>
                <w:vertAlign w:val="superscript"/>
              </w:rPr>
              <w:t xml:space="preserve"> 1</w:t>
            </w:r>
          </w:p>
        </w:tc>
      </w:tr>
      <w:tr w:rsidR="00161B42" w:rsidRPr="00661D1F" w14:paraId="5CF58373" w14:textId="77777777" w:rsidTr="00C27019">
        <w:tc>
          <w:tcPr>
            <w:tcW w:w="2212" w:type="dxa"/>
            <w:vMerge/>
            <w:tcBorders>
              <w:bottom w:val="single" w:sz="4" w:space="0" w:color="auto"/>
            </w:tcBorders>
            <w:shd w:val="clear" w:color="auto" w:fill="auto"/>
            <w:vAlign w:val="center"/>
          </w:tcPr>
          <w:p w14:paraId="015E59EE" w14:textId="77777777" w:rsidR="00161B42" w:rsidRDefault="00161B42" w:rsidP="00C27019">
            <w:pPr>
              <w:pStyle w:val="MDPI42tablebody"/>
              <w:spacing w:line="240" w:lineRule="auto"/>
            </w:pPr>
          </w:p>
        </w:tc>
        <w:tc>
          <w:tcPr>
            <w:tcW w:w="3402" w:type="dxa"/>
            <w:tcBorders>
              <w:top w:val="nil"/>
              <w:bottom w:val="single" w:sz="4" w:space="0" w:color="auto"/>
            </w:tcBorders>
            <w:vAlign w:val="center"/>
          </w:tcPr>
          <w:p w14:paraId="1BACB7BC" w14:textId="77777777" w:rsidR="00161B42" w:rsidRDefault="00161B42" w:rsidP="00C27019">
            <w:pPr>
              <w:pStyle w:val="MDPI42tablebody"/>
              <w:spacing w:line="240" w:lineRule="auto"/>
            </w:pPr>
            <w:r>
              <w:t>cost</w:t>
            </w:r>
          </w:p>
        </w:tc>
        <w:tc>
          <w:tcPr>
            <w:tcW w:w="964" w:type="dxa"/>
            <w:tcBorders>
              <w:top w:val="nil"/>
              <w:bottom w:val="single" w:sz="4" w:space="0" w:color="auto"/>
            </w:tcBorders>
            <w:shd w:val="clear" w:color="auto" w:fill="auto"/>
            <w:vAlign w:val="center"/>
          </w:tcPr>
          <w:p w14:paraId="4C116A95" w14:textId="77777777" w:rsidR="00161B42" w:rsidRDefault="00161B42" w:rsidP="00C27019">
            <w:pPr>
              <w:pStyle w:val="MDPI42tablebody"/>
              <w:spacing w:line="240" w:lineRule="auto"/>
            </w:pPr>
            <w:r>
              <w:t>€/kg</w:t>
            </w:r>
          </w:p>
        </w:tc>
        <w:tc>
          <w:tcPr>
            <w:tcW w:w="964" w:type="dxa"/>
            <w:tcBorders>
              <w:top w:val="nil"/>
              <w:bottom w:val="single" w:sz="4" w:space="0" w:color="auto"/>
            </w:tcBorders>
            <w:shd w:val="clear" w:color="auto" w:fill="auto"/>
            <w:vAlign w:val="center"/>
          </w:tcPr>
          <w:p w14:paraId="5332BFD0" w14:textId="77777777" w:rsidR="00161B42" w:rsidRDefault="00161B42" w:rsidP="00C27019">
            <w:pPr>
              <w:pStyle w:val="MDPI42tablebody"/>
              <w:spacing w:line="240" w:lineRule="auto"/>
            </w:pPr>
            <w:r>
              <w:t xml:space="preserve">0.072 </w:t>
            </w:r>
            <w:r>
              <w:rPr>
                <w:vertAlign w:val="superscript"/>
              </w:rPr>
              <w:t>2</w:t>
            </w:r>
          </w:p>
        </w:tc>
      </w:tr>
      <w:tr w:rsidR="00161B42" w:rsidRPr="00661D1F" w14:paraId="5A6F9995" w14:textId="77777777" w:rsidTr="00C27019">
        <w:tc>
          <w:tcPr>
            <w:tcW w:w="2212" w:type="dxa"/>
            <w:vMerge w:val="restart"/>
            <w:tcBorders>
              <w:top w:val="single" w:sz="4" w:space="0" w:color="auto"/>
            </w:tcBorders>
            <w:shd w:val="clear" w:color="auto" w:fill="auto"/>
            <w:vAlign w:val="center"/>
          </w:tcPr>
          <w:p w14:paraId="51C0BA67" w14:textId="77777777" w:rsidR="00161B42" w:rsidRDefault="00161B42" w:rsidP="00C27019">
            <w:pPr>
              <w:pStyle w:val="MDPI42tablebody"/>
              <w:spacing w:line="240" w:lineRule="auto"/>
            </w:pPr>
            <w:r>
              <w:t>Rebar</w:t>
            </w:r>
          </w:p>
        </w:tc>
        <w:tc>
          <w:tcPr>
            <w:tcW w:w="3402" w:type="dxa"/>
            <w:tcBorders>
              <w:top w:val="single" w:sz="4" w:space="0" w:color="auto"/>
            </w:tcBorders>
            <w:vAlign w:val="center"/>
          </w:tcPr>
          <w:p w14:paraId="69BBE346" w14:textId="77777777" w:rsidR="00161B42" w:rsidRDefault="00161B42" w:rsidP="00C27019">
            <w:pPr>
              <w:pStyle w:val="MDPI42tablebody"/>
              <w:spacing w:line="240" w:lineRule="auto"/>
            </w:pPr>
            <w:r>
              <w:t>density</w:t>
            </w:r>
          </w:p>
        </w:tc>
        <w:tc>
          <w:tcPr>
            <w:tcW w:w="964" w:type="dxa"/>
            <w:tcBorders>
              <w:top w:val="single" w:sz="4" w:space="0" w:color="auto"/>
            </w:tcBorders>
            <w:shd w:val="clear" w:color="auto" w:fill="auto"/>
            <w:vAlign w:val="center"/>
          </w:tcPr>
          <w:p w14:paraId="680AD6CF" w14:textId="77777777" w:rsidR="00161B42" w:rsidRPr="00F220D4" w:rsidRDefault="00161B42" w:rsidP="00C27019">
            <w:pPr>
              <w:pStyle w:val="MDPI42tablebody"/>
              <w:spacing w:line="240" w:lineRule="auto"/>
            </w:pPr>
            <w:r>
              <w:t>kg/m</w:t>
            </w:r>
            <w:r w:rsidRPr="00A41A01">
              <w:rPr>
                <w:vertAlign w:val="superscript"/>
              </w:rPr>
              <w:t>3</w:t>
            </w:r>
          </w:p>
        </w:tc>
        <w:tc>
          <w:tcPr>
            <w:tcW w:w="964" w:type="dxa"/>
            <w:tcBorders>
              <w:top w:val="single" w:sz="4" w:space="0" w:color="auto"/>
            </w:tcBorders>
            <w:shd w:val="clear" w:color="auto" w:fill="auto"/>
            <w:vAlign w:val="center"/>
          </w:tcPr>
          <w:p w14:paraId="02DFB000" w14:textId="77777777" w:rsidR="00161B42" w:rsidRPr="00F220D4" w:rsidRDefault="00161B42" w:rsidP="00C27019">
            <w:pPr>
              <w:pStyle w:val="MDPI42tablebody"/>
              <w:spacing w:line="240" w:lineRule="auto"/>
            </w:pPr>
            <w:r>
              <w:t>7850</w:t>
            </w:r>
          </w:p>
        </w:tc>
      </w:tr>
      <w:tr w:rsidR="00161B42" w:rsidRPr="00661D1F" w14:paraId="4979938C" w14:textId="77777777" w:rsidTr="00C27019">
        <w:tc>
          <w:tcPr>
            <w:tcW w:w="2212" w:type="dxa"/>
            <w:vMerge/>
            <w:shd w:val="clear" w:color="auto" w:fill="auto"/>
            <w:vAlign w:val="center"/>
          </w:tcPr>
          <w:p w14:paraId="0663E212" w14:textId="77777777" w:rsidR="00161B42" w:rsidRDefault="00161B42" w:rsidP="00C27019">
            <w:pPr>
              <w:pStyle w:val="MDPI42tablebody"/>
              <w:spacing w:line="240" w:lineRule="auto"/>
            </w:pPr>
          </w:p>
        </w:tc>
        <w:tc>
          <w:tcPr>
            <w:tcW w:w="3402" w:type="dxa"/>
            <w:tcBorders>
              <w:bottom w:val="nil"/>
            </w:tcBorders>
            <w:vAlign w:val="center"/>
          </w:tcPr>
          <w:p w14:paraId="40E47719" w14:textId="77777777" w:rsidR="00161B42" w:rsidRDefault="00161B42" w:rsidP="00C27019">
            <w:pPr>
              <w:pStyle w:val="MDPI42tablebody"/>
              <w:spacing w:line="240" w:lineRule="auto"/>
            </w:pPr>
            <w:r>
              <w:t>cost</w:t>
            </w:r>
          </w:p>
        </w:tc>
        <w:tc>
          <w:tcPr>
            <w:tcW w:w="964" w:type="dxa"/>
            <w:tcBorders>
              <w:bottom w:val="nil"/>
            </w:tcBorders>
            <w:shd w:val="clear" w:color="auto" w:fill="auto"/>
            <w:vAlign w:val="center"/>
          </w:tcPr>
          <w:p w14:paraId="17B9DA84" w14:textId="77777777" w:rsidR="00161B42" w:rsidRDefault="00161B42" w:rsidP="00C27019">
            <w:pPr>
              <w:pStyle w:val="MDPI42tablebody"/>
              <w:spacing w:line="240" w:lineRule="auto"/>
            </w:pPr>
            <w:r>
              <w:t>€/t</w:t>
            </w:r>
          </w:p>
        </w:tc>
        <w:tc>
          <w:tcPr>
            <w:tcW w:w="964" w:type="dxa"/>
            <w:tcBorders>
              <w:bottom w:val="nil"/>
            </w:tcBorders>
            <w:shd w:val="clear" w:color="auto" w:fill="auto"/>
            <w:vAlign w:val="center"/>
          </w:tcPr>
          <w:p w14:paraId="5000CB06" w14:textId="7A972FCE" w:rsidR="00161B42" w:rsidRDefault="00161B42" w:rsidP="00C27019">
            <w:pPr>
              <w:pStyle w:val="MDPI42tablebody"/>
              <w:spacing w:line="240" w:lineRule="auto"/>
            </w:pPr>
            <w:r>
              <w:t>1772 [</w:t>
            </w:r>
            <w:r w:rsidR="00597BD4">
              <w:t>36</w:t>
            </w:r>
            <w:r>
              <w:t>]</w:t>
            </w:r>
            <w:r w:rsidRPr="00325902">
              <w:rPr>
                <w:vertAlign w:val="superscript"/>
              </w:rPr>
              <w:t>1</w:t>
            </w:r>
          </w:p>
        </w:tc>
      </w:tr>
      <w:tr w:rsidR="00161B42" w:rsidRPr="00661D1F" w14:paraId="33F7D500" w14:textId="77777777" w:rsidTr="00C27019">
        <w:tc>
          <w:tcPr>
            <w:tcW w:w="2212" w:type="dxa"/>
            <w:vMerge/>
            <w:tcBorders>
              <w:bottom w:val="single" w:sz="4" w:space="0" w:color="auto"/>
            </w:tcBorders>
            <w:shd w:val="clear" w:color="auto" w:fill="auto"/>
            <w:vAlign w:val="center"/>
          </w:tcPr>
          <w:p w14:paraId="581E510D" w14:textId="77777777" w:rsidR="00161B42" w:rsidRDefault="00161B42" w:rsidP="00C27019">
            <w:pPr>
              <w:pStyle w:val="MDPI42tablebody"/>
              <w:spacing w:line="240" w:lineRule="auto"/>
            </w:pPr>
          </w:p>
        </w:tc>
        <w:tc>
          <w:tcPr>
            <w:tcW w:w="3402" w:type="dxa"/>
            <w:tcBorders>
              <w:top w:val="nil"/>
              <w:bottom w:val="single" w:sz="4" w:space="0" w:color="auto"/>
            </w:tcBorders>
            <w:vAlign w:val="center"/>
          </w:tcPr>
          <w:p w14:paraId="1E184ED8" w14:textId="77777777" w:rsidR="00161B42" w:rsidRDefault="00161B42" w:rsidP="00C27019">
            <w:pPr>
              <w:pStyle w:val="MDPI42tablebody"/>
              <w:spacing w:line="240" w:lineRule="auto"/>
            </w:pPr>
            <w:r>
              <w:t>cost</w:t>
            </w:r>
          </w:p>
        </w:tc>
        <w:tc>
          <w:tcPr>
            <w:tcW w:w="964" w:type="dxa"/>
            <w:tcBorders>
              <w:top w:val="nil"/>
              <w:bottom w:val="single" w:sz="4" w:space="0" w:color="auto"/>
            </w:tcBorders>
            <w:shd w:val="clear" w:color="auto" w:fill="auto"/>
            <w:vAlign w:val="center"/>
          </w:tcPr>
          <w:p w14:paraId="25957642" w14:textId="77777777" w:rsidR="00161B42" w:rsidRDefault="00161B42" w:rsidP="00C27019">
            <w:pPr>
              <w:pStyle w:val="MDPI42tablebody"/>
              <w:spacing w:line="240" w:lineRule="auto"/>
            </w:pPr>
            <w:r>
              <w:t>€/kg</w:t>
            </w:r>
          </w:p>
        </w:tc>
        <w:tc>
          <w:tcPr>
            <w:tcW w:w="964" w:type="dxa"/>
            <w:tcBorders>
              <w:top w:val="nil"/>
              <w:bottom w:val="single" w:sz="4" w:space="0" w:color="auto"/>
            </w:tcBorders>
            <w:shd w:val="clear" w:color="auto" w:fill="auto"/>
            <w:vAlign w:val="center"/>
          </w:tcPr>
          <w:p w14:paraId="71E687E2" w14:textId="77777777" w:rsidR="00161B42" w:rsidRPr="00F220D4" w:rsidRDefault="00161B42" w:rsidP="00C27019">
            <w:pPr>
              <w:pStyle w:val="MDPI42tablebody"/>
              <w:spacing w:line="240" w:lineRule="auto"/>
            </w:pPr>
            <w:r>
              <w:t xml:space="preserve">1.77 </w:t>
            </w:r>
            <w:r>
              <w:rPr>
                <w:vertAlign w:val="superscript"/>
              </w:rPr>
              <w:t>2</w:t>
            </w:r>
          </w:p>
        </w:tc>
      </w:tr>
      <w:tr w:rsidR="00161B42" w:rsidRPr="00661D1F" w14:paraId="45F76692" w14:textId="77777777" w:rsidTr="00C27019">
        <w:tc>
          <w:tcPr>
            <w:tcW w:w="2212" w:type="dxa"/>
            <w:vMerge w:val="restart"/>
            <w:tcBorders>
              <w:top w:val="single" w:sz="4" w:space="0" w:color="auto"/>
              <w:bottom w:val="nil"/>
            </w:tcBorders>
            <w:shd w:val="clear" w:color="auto" w:fill="auto"/>
            <w:vAlign w:val="center"/>
          </w:tcPr>
          <w:p w14:paraId="45B32A0E" w14:textId="77777777" w:rsidR="00161B42" w:rsidRDefault="00161B42" w:rsidP="00C27019">
            <w:pPr>
              <w:pStyle w:val="MDPI42tablebody"/>
              <w:spacing w:line="240" w:lineRule="auto"/>
            </w:pPr>
            <w:r>
              <w:t>Reinforced concrete</w:t>
            </w:r>
          </w:p>
        </w:tc>
        <w:tc>
          <w:tcPr>
            <w:tcW w:w="3402" w:type="dxa"/>
            <w:tcBorders>
              <w:top w:val="single" w:sz="4" w:space="0" w:color="auto"/>
              <w:bottom w:val="nil"/>
            </w:tcBorders>
            <w:vAlign w:val="center"/>
          </w:tcPr>
          <w:p w14:paraId="056138C0" w14:textId="77777777" w:rsidR="00161B42" w:rsidRDefault="00161B42" w:rsidP="00C27019">
            <w:pPr>
              <w:pStyle w:val="MDPI42tablebody"/>
              <w:spacing w:line="240" w:lineRule="auto"/>
            </w:pPr>
            <w:r>
              <w:t>density</w:t>
            </w:r>
          </w:p>
        </w:tc>
        <w:tc>
          <w:tcPr>
            <w:tcW w:w="964" w:type="dxa"/>
            <w:tcBorders>
              <w:top w:val="single" w:sz="4" w:space="0" w:color="auto"/>
              <w:bottom w:val="nil"/>
            </w:tcBorders>
            <w:shd w:val="clear" w:color="auto" w:fill="auto"/>
            <w:vAlign w:val="center"/>
          </w:tcPr>
          <w:p w14:paraId="7DCAD32C" w14:textId="77777777" w:rsidR="00161B42" w:rsidRDefault="00161B42" w:rsidP="00C27019">
            <w:pPr>
              <w:pStyle w:val="MDPI42tablebody"/>
              <w:spacing w:line="240" w:lineRule="auto"/>
            </w:pPr>
            <w:r>
              <w:t>kg/m</w:t>
            </w:r>
            <w:r w:rsidRPr="00A41A01">
              <w:rPr>
                <w:vertAlign w:val="superscript"/>
              </w:rPr>
              <w:t>3</w:t>
            </w:r>
          </w:p>
        </w:tc>
        <w:tc>
          <w:tcPr>
            <w:tcW w:w="964" w:type="dxa"/>
            <w:tcBorders>
              <w:top w:val="single" w:sz="4" w:space="0" w:color="auto"/>
              <w:bottom w:val="nil"/>
            </w:tcBorders>
            <w:shd w:val="clear" w:color="auto" w:fill="auto"/>
            <w:vAlign w:val="center"/>
          </w:tcPr>
          <w:p w14:paraId="69142C61" w14:textId="77777777" w:rsidR="00161B42" w:rsidRPr="00F220D4" w:rsidRDefault="00161B42" w:rsidP="00C27019">
            <w:pPr>
              <w:pStyle w:val="MDPI42tablebody"/>
              <w:spacing w:line="240" w:lineRule="auto"/>
            </w:pPr>
            <w:r>
              <w:t xml:space="preserve">4385 </w:t>
            </w:r>
            <w:r>
              <w:rPr>
                <w:vertAlign w:val="superscript"/>
              </w:rPr>
              <w:t>2</w:t>
            </w:r>
          </w:p>
        </w:tc>
      </w:tr>
      <w:tr w:rsidR="00161B42" w:rsidRPr="00661D1F" w14:paraId="48BBCD2A" w14:textId="77777777" w:rsidTr="00C27019">
        <w:tc>
          <w:tcPr>
            <w:tcW w:w="2212" w:type="dxa"/>
            <w:vMerge/>
            <w:tcBorders>
              <w:top w:val="nil"/>
              <w:bottom w:val="nil"/>
            </w:tcBorders>
            <w:shd w:val="clear" w:color="auto" w:fill="auto"/>
            <w:vAlign w:val="center"/>
          </w:tcPr>
          <w:p w14:paraId="3F26C701" w14:textId="77777777" w:rsidR="00161B42" w:rsidRDefault="00161B42" w:rsidP="00C27019">
            <w:pPr>
              <w:pStyle w:val="MDPI42tablebody"/>
              <w:spacing w:line="240" w:lineRule="auto"/>
            </w:pPr>
          </w:p>
        </w:tc>
        <w:tc>
          <w:tcPr>
            <w:tcW w:w="3402" w:type="dxa"/>
            <w:tcBorders>
              <w:top w:val="nil"/>
              <w:bottom w:val="nil"/>
            </w:tcBorders>
            <w:vAlign w:val="center"/>
          </w:tcPr>
          <w:p w14:paraId="4DAD54A5" w14:textId="77777777" w:rsidR="00161B42" w:rsidRDefault="00161B42" w:rsidP="00C27019">
            <w:pPr>
              <w:pStyle w:val="MDPI42tablebody"/>
              <w:spacing w:line="240" w:lineRule="auto"/>
            </w:pPr>
            <w:r>
              <w:t>rebar/concrete</w:t>
            </w:r>
          </w:p>
        </w:tc>
        <w:tc>
          <w:tcPr>
            <w:tcW w:w="964" w:type="dxa"/>
            <w:tcBorders>
              <w:top w:val="nil"/>
              <w:bottom w:val="nil"/>
            </w:tcBorders>
            <w:shd w:val="clear" w:color="auto" w:fill="auto"/>
            <w:vAlign w:val="center"/>
          </w:tcPr>
          <w:p w14:paraId="0D950B45" w14:textId="77777777" w:rsidR="00161B42" w:rsidRDefault="00161B42" w:rsidP="00C27019">
            <w:pPr>
              <w:pStyle w:val="MDPI42tablebody"/>
              <w:spacing w:line="240" w:lineRule="auto"/>
            </w:pPr>
            <w:r>
              <w:t>kg/kg</w:t>
            </w:r>
          </w:p>
        </w:tc>
        <w:tc>
          <w:tcPr>
            <w:tcW w:w="964" w:type="dxa"/>
            <w:tcBorders>
              <w:top w:val="nil"/>
              <w:bottom w:val="nil"/>
            </w:tcBorders>
            <w:shd w:val="clear" w:color="auto" w:fill="auto"/>
            <w:vAlign w:val="center"/>
          </w:tcPr>
          <w:p w14:paraId="29DE1AED" w14:textId="61C1AFDA" w:rsidR="00161B42" w:rsidRPr="00F220D4" w:rsidRDefault="00161B42" w:rsidP="00C27019">
            <w:pPr>
              <w:pStyle w:val="MDPI42tablebody"/>
              <w:spacing w:line="240" w:lineRule="auto"/>
            </w:pPr>
            <w:r>
              <w:t>0.11 [</w:t>
            </w:r>
            <w:r w:rsidR="00597BD4">
              <w:t>36</w:t>
            </w:r>
            <w:r>
              <w:t>]</w:t>
            </w:r>
          </w:p>
        </w:tc>
      </w:tr>
      <w:tr w:rsidR="00161B42" w:rsidRPr="00661D1F" w14:paraId="6E4AEA86" w14:textId="77777777" w:rsidTr="00C27019">
        <w:tc>
          <w:tcPr>
            <w:tcW w:w="2212" w:type="dxa"/>
            <w:vMerge/>
            <w:tcBorders>
              <w:top w:val="nil"/>
              <w:bottom w:val="single" w:sz="4" w:space="0" w:color="auto"/>
            </w:tcBorders>
            <w:shd w:val="clear" w:color="auto" w:fill="auto"/>
            <w:vAlign w:val="center"/>
          </w:tcPr>
          <w:p w14:paraId="67BAA0A4" w14:textId="77777777" w:rsidR="00161B42" w:rsidRDefault="00161B42" w:rsidP="00C27019">
            <w:pPr>
              <w:pStyle w:val="MDPI42tablebody"/>
              <w:spacing w:line="240" w:lineRule="auto"/>
            </w:pPr>
          </w:p>
        </w:tc>
        <w:tc>
          <w:tcPr>
            <w:tcW w:w="3402" w:type="dxa"/>
            <w:tcBorders>
              <w:top w:val="nil"/>
              <w:bottom w:val="single" w:sz="4" w:space="0" w:color="auto"/>
            </w:tcBorders>
            <w:vAlign w:val="center"/>
          </w:tcPr>
          <w:p w14:paraId="7DB1B25A" w14:textId="77777777" w:rsidR="00161B42" w:rsidRDefault="00161B42" w:rsidP="00C27019">
            <w:pPr>
              <w:pStyle w:val="MDPI42tablebody"/>
              <w:spacing w:line="240" w:lineRule="auto"/>
            </w:pPr>
            <w:r>
              <w:t>cost</w:t>
            </w:r>
          </w:p>
        </w:tc>
        <w:tc>
          <w:tcPr>
            <w:tcW w:w="964" w:type="dxa"/>
            <w:tcBorders>
              <w:top w:val="nil"/>
              <w:bottom w:val="single" w:sz="4" w:space="0" w:color="auto"/>
            </w:tcBorders>
            <w:shd w:val="clear" w:color="auto" w:fill="auto"/>
            <w:vAlign w:val="center"/>
          </w:tcPr>
          <w:p w14:paraId="251433CA" w14:textId="77777777" w:rsidR="00161B42" w:rsidRDefault="00161B42" w:rsidP="00C27019">
            <w:pPr>
              <w:pStyle w:val="MDPI42tablebody"/>
              <w:spacing w:line="240" w:lineRule="auto"/>
            </w:pPr>
            <w:r>
              <w:t>€/m</w:t>
            </w:r>
            <w:r w:rsidRPr="00A41A01">
              <w:rPr>
                <w:vertAlign w:val="superscript"/>
              </w:rPr>
              <w:t>3</w:t>
            </w:r>
          </w:p>
        </w:tc>
        <w:tc>
          <w:tcPr>
            <w:tcW w:w="964" w:type="dxa"/>
            <w:tcBorders>
              <w:top w:val="nil"/>
              <w:bottom w:val="single" w:sz="4" w:space="0" w:color="auto"/>
            </w:tcBorders>
            <w:shd w:val="clear" w:color="auto" w:fill="auto"/>
            <w:vAlign w:val="center"/>
          </w:tcPr>
          <w:p w14:paraId="1313810F" w14:textId="77777777" w:rsidR="00161B42" w:rsidRPr="00F220D4" w:rsidRDefault="00161B42" w:rsidP="00C27019">
            <w:pPr>
              <w:pStyle w:val="MDPI42tablebody"/>
              <w:spacing w:line="240" w:lineRule="auto"/>
            </w:pPr>
            <w:r>
              <w:t xml:space="preserve">1012 </w:t>
            </w:r>
            <w:r>
              <w:rPr>
                <w:vertAlign w:val="superscript"/>
              </w:rPr>
              <w:t>2</w:t>
            </w:r>
          </w:p>
        </w:tc>
      </w:tr>
      <w:tr w:rsidR="00161B42" w:rsidRPr="00661D1F" w14:paraId="5281977A" w14:textId="77777777" w:rsidTr="00C27019">
        <w:tc>
          <w:tcPr>
            <w:tcW w:w="2212" w:type="dxa"/>
            <w:vMerge w:val="restart"/>
            <w:tcBorders>
              <w:top w:val="single" w:sz="4" w:space="0" w:color="auto"/>
              <w:bottom w:val="nil"/>
            </w:tcBorders>
            <w:shd w:val="clear" w:color="auto" w:fill="auto"/>
            <w:vAlign w:val="center"/>
          </w:tcPr>
          <w:p w14:paraId="4B13FADC" w14:textId="77777777" w:rsidR="00161B42" w:rsidRPr="00F220D4" w:rsidRDefault="00161B42" w:rsidP="00C27019">
            <w:pPr>
              <w:pStyle w:val="MDPI42tablebody"/>
              <w:spacing w:line="240" w:lineRule="auto"/>
            </w:pPr>
            <w:r>
              <w:t>Installation labor,</w:t>
            </w:r>
            <w:r>
              <w:br/>
              <w:t>reinforced concrete</w:t>
            </w:r>
          </w:p>
        </w:tc>
        <w:tc>
          <w:tcPr>
            <w:tcW w:w="3402" w:type="dxa"/>
            <w:tcBorders>
              <w:top w:val="single" w:sz="4" w:space="0" w:color="auto"/>
              <w:bottom w:val="nil"/>
            </w:tcBorders>
            <w:vAlign w:val="center"/>
          </w:tcPr>
          <w:p w14:paraId="588B9E37" w14:textId="77777777" w:rsidR="00161B42" w:rsidRPr="00F220D4" w:rsidRDefault="00161B42" w:rsidP="00C27019">
            <w:pPr>
              <w:pStyle w:val="MDPI42tablebody"/>
              <w:spacing w:line="240" w:lineRule="auto"/>
            </w:pPr>
            <w:r>
              <w:t>installation time, superstructure</w:t>
            </w:r>
          </w:p>
        </w:tc>
        <w:tc>
          <w:tcPr>
            <w:tcW w:w="964" w:type="dxa"/>
            <w:tcBorders>
              <w:top w:val="single" w:sz="4" w:space="0" w:color="auto"/>
              <w:bottom w:val="nil"/>
            </w:tcBorders>
            <w:shd w:val="clear" w:color="auto" w:fill="auto"/>
            <w:vAlign w:val="center"/>
          </w:tcPr>
          <w:p w14:paraId="7F418B14" w14:textId="77777777" w:rsidR="00161B42" w:rsidRPr="00F220D4" w:rsidRDefault="00161B42" w:rsidP="00C27019">
            <w:pPr>
              <w:pStyle w:val="MDPI42tablebody"/>
              <w:spacing w:line="240" w:lineRule="auto"/>
            </w:pPr>
            <w:r>
              <w:t>h/m</w:t>
            </w:r>
            <w:r w:rsidRPr="00A41A01">
              <w:rPr>
                <w:vertAlign w:val="superscript"/>
              </w:rPr>
              <w:t>3</w:t>
            </w:r>
          </w:p>
        </w:tc>
        <w:tc>
          <w:tcPr>
            <w:tcW w:w="964" w:type="dxa"/>
            <w:tcBorders>
              <w:top w:val="single" w:sz="4" w:space="0" w:color="auto"/>
              <w:bottom w:val="nil"/>
            </w:tcBorders>
            <w:shd w:val="clear" w:color="auto" w:fill="auto"/>
            <w:vAlign w:val="center"/>
          </w:tcPr>
          <w:p w14:paraId="10817C13" w14:textId="67B0C735" w:rsidR="00161B42" w:rsidRPr="00F220D4" w:rsidRDefault="00161B42" w:rsidP="00C27019">
            <w:pPr>
              <w:pStyle w:val="MDPI42tablebody"/>
              <w:spacing w:line="240" w:lineRule="auto"/>
            </w:pPr>
            <w:r>
              <w:t>5.2 [</w:t>
            </w:r>
            <w:r w:rsidR="00597BD4">
              <w:t>36</w:t>
            </w:r>
            <w:r>
              <w:t>]</w:t>
            </w:r>
          </w:p>
        </w:tc>
      </w:tr>
      <w:tr w:rsidR="00161B42" w:rsidRPr="00661D1F" w14:paraId="39601FEE" w14:textId="77777777" w:rsidTr="00C27019">
        <w:tc>
          <w:tcPr>
            <w:tcW w:w="2212" w:type="dxa"/>
            <w:vMerge/>
            <w:tcBorders>
              <w:top w:val="nil"/>
              <w:bottom w:val="nil"/>
            </w:tcBorders>
            <w:shd w:val="clear" w:color="auto" w:fill="auto"/>
            <w:vAlign w:val="center"/>
          </w:tcPr>
          <w:p w14:paraId="509D1476" w14:textId="77777777" w:rsidR="00161B42" w:rsidRDefault="00161B42" w:rsidP="00C27019">
            <w:pPr>
              <w:pStyle w:val="MDPI42tablebody"/>
              <w:spacing w:line="240" w:lineRule="auto"/>
            </w:pPr>
          </w:p>
        </w:tc>
        <w:tc>
          <w:tcPr>
            <w:tcW w:w="3402" w:type="dxa"/>
            <w:tcBorders>
              <w:top w:val="nil"/>
              <w:bottom w:val="nil"/>
            </w:tcBorders>
            <w:vAlign w:val="center"/>
          </w:tcPr>
          <w:p w14:paraId="3526D759" w14:textId="77777777" w:rsidR="00161B42" w:rsidRPr="00F220D4" w:rsidRDefault="00161B42" w:rsidP="00C27019">
            <w:pPr>
              <w:pStyle w:val="MDPI42tablebody"/>
              <w:spacing w:line="240" w:lineRule="auto"/>
            </w:pPr>
            <w:r>
              <w:t>installation time, substructure</w:t>
            </w:r>
          </w:p>
        </w:tc>
        <w:tc>
          <w:tcPr>
            <w:tcW w:w="964" w:type="dxa"/>
            <w:tcBorders>
              <w:top w:val="nil"/>
              <w:bottom w:val="nil"/>
            </w:tcBorders>
            <w:shd w:val="clear" w:color="auto" w:fill="auto"/>
            <w:vAlign w:val="center"/>
          </w:tcPr>
          <w:p w14:paraId="2E203B10" w14:textId="77777777" w:rsidR="00161B42" w:rsidRPr="00F220D4" w:rsidRDefault="00161B42" w:rsidP="00C27019">
            <w:pPr>
              <w:pStyle w:val="MDPI42tablebody"/>
              <w:spacing w:line="240" w:lineRule="auto"/>
            </w:pPr>
            <w:r>
              <w:t>h/m</w:t>
            </w:r>
            <w:r w:rsidRPr="00A41A01">
              <w:rPr>
                <w:vertAlign w:val="superscript"/>
              </w:rPr>
              <w:t>3</w:t>
            </w:r>
          </w:p>
        </w:tc>
        <w:tc>
          <w:tcPr>
            <w:tcW w:w="964" w:type="dxa"/>
            <w:tcBorders>
              <w:top w:val="nil"/>
              <w:bottom w:val="nil"/>
            </w:tcBorders>
            <w:shd w:val="clear" w:color="auto" w:fill="auto"/>
            <w:vAlign w:val="center"/>
          </w:tcPr>
          <w:p w14:paraId="2586A477" w14:textId="1532776C" w:rsidR="00161B42" w:rsidRPr="00F220D4" w:rsidRDefault="00161B42" w:rsidP="00C27019">
            <w:pPr>
              <w:pStyle w:val="MDPI42tablebody"/>
              <w:spacing w:line="240" w:lineRule="auto"/>
            </w:pPr>
            <w:r>
              <w:t>2.6 [</w:t>
            </w:r>
            <w:r w:rsidR="00597BD4">
              <w:t>36</w:t>
            </w:r>
            <w:r>
              <w:t>]</w:t>
            </w:r>
          </w:p>
        </w:tc>
      </w:tr>
      <w:tr w:rsidR="00161B42" w:rsidRPr="00661D1F" w14:paraId="319EB18D" w14:textId="77777777" w:rsidTr="00C27019">
        <w:tc>
          <w:tcPr>
            <w:tcW w:w="2212" w:type="dxa"/>
            <w:vMerge/>
            <w:tcBorders>
              <w:top w:val="nil"/>
              <w:bottom w:val="nil"/>
            </w:tcBorders>
            <w:shd w:val="clear" w:color="auto" w:fill="auto"/>
            <w:vAlign w:val="center"/>
          </w:tcPr>
          <w:p w14:paraId="37B5B7DE" w14:textId="77777777" w:rsidR="00161B42" w:rsidRDefault="00161B42" w:rsidP="00C27019">
            <w:pPr>
              <w:pStyle w:val="MDPI42tablebody"/>
              <w:spacing w:line="240" w:lineRule="auto"/>
              <w:jc w:val="both"/>
            </w:pPr>
          </w:p>
        </w:tc>
        <w:tc>
          <w:tcPr>
            <w:tcW w:w="3402" w:type="dxa"/>
            <w:tcBorders>
              <w:top w:val="nil"/>
              <w:bottom w:val="nil"/>
            </w:tcBorders>
            <w:vAlign w:val="center"/>
          </w:tcPr>
          <w:p w14:paraId="515B8149" w14:textId="77777777" w:rsidR="00161B42" w:rsidRPr="00F220D4" w:rsidRDefault="00161B42" w:rsidP="00C27019">
            <w:pPr>
              <w:pStyle w:val="MDPI42tablebody"/>
              <w:spacing w:line="240" w:lineRule="auto"/>
            </w:pPr>
            <w:r>
              <w:t>installation time, cavity wall</w:t>
            </w:r>
          </w:p>
        </w:tc>
        <w:tc>
          <w:tcPr>
            <w:tcW w:w="964" w:type="dxa"/>
            <w:tcBorders>
              <w:top w:val="nil"/>
              <w:bottom w:val="nil"/>
            </w:tcBorders>
            <w:shd w:val="clear" w:color="auto" w:fill="auto"/>
            <w:vAlign w:val="center"/>
          </w:tcPr>
          <w:p w14:paraId="3E7BABDB" w14:textId="77777777" w:rsidR="00161B42" w:rsidRPr="00F220D4" w:rsidRDefault="00161B42" w:rsidP="00C27019">
            <w:pPr>
              <w:pStyle w:val="MDPI42tablebody"/>
              <w:spacing w:line="240" w:lineRule="auto"/>
            </w:pPr>
            <w:r>
              <w:t>h/m</w:t>
            </w:r>
            <w:r w:rsidRPr="00A41A01">
              <w:rPr>
                <w:vertAlign w:val="superscript"/>
              </w:rPr>
              <w:t>3</w:t>
            </w:r>
          </w:p>
        </w:tc>
        <w:tc>
          <w:tcPr>
            <w:tcW w:w="964" w:type="dxa"/>
            <w:tcBorders>
              <w:top w:val="nil"/>
              <w:bottom w:val="nil"/>
            </w:tcBorders>
            <w:shd w:val="clear" w:color="auto" w:fill="auto"/>
            <w:vAlign w:val="center"/>
          </w:tcPr>
          <w:p w14:paraId="297CBE56" w14:textId="77777777" w:rsidR="00161B42" w:rsidRPr="00F220D4" w:rsidRDefault="00161B42" w:rsidP="00C27019">
            <w:pPr>
              <w:pStyle w:val="MDPI42tablebody"/>
              <w:spacing w:line="240" w:lineRule="auto"/>
            </w:pPr>
            <w:r>
              <w:t xml:space="preserve">3.9 </w:t>
            </w:r>
            <w:r>
              <w:rPr>
                <w:vertAlign w:val="superscript"/>
              </w:rPr>
              <w:t>2</w:t>
            </w:r>
          </w:p>
        </w:tc>
      </w:tr>
      <w:tr w:rsidR="00161B42" w:rsidRPr="00661D1F" w14:paraId="2466D357" w14:textId="77777777" w:rsidTr="00C27019">
        <w:tc>
          <w:tcPr>
            <w:tcW w:w="2212" w:type="dxa"/>
            <w:vMerge/>
            <w:tcBorders>
              <w:top w:val="nil"/>
              <w:bottom w:val="nil"/>
            </w:tcBorders>
            <w:shd w:val="clear" w:color="auto" w:fill="auto"/>
            <w:vAlign w:val="center"/>
          </w:tcPr>
          <w:p w14:paraId="300E2C90" w14:textId="77777777" w:rsidR="00161B42" w:rsidRDefault="00161B42" w:rsidP="00C27019">
            <w:pPr>
              <w:pStyle w:val="MDPI42tablebody"/>
              <w:spacing w:line="240" w:lineRule="auto"/>
              <w:jc w:val="both"/>
            </w:pPr>
          </w:p>
        </w:tc>
        <w:tc>
          <w:tcPr>
            <w:tcW w:w="3402" w:type="dxa"/>
            <w:tcBorders>
              <w:top w:val="nil"/>
              <w:bottom w:val="nil"/>
            </w:tcBorders>
            <w:vAlign w:val="center"/>
          </w:tcPr>
          <w:p w14:paraId="2AD06EF3" w14:textId="77777777" w:rsidR="00161B42" w:rsidRDefault="00161B42" w:rsidP="00C27019">
            <w:pPr>
              <w:pStyle w:val="MDPI42tablebody"/>
              <w:spacing w:line="240" w:lineRule="auto"/>
            </w:pPr>
            <w:r>
              <w:t>labor cost, total</w:t>
            </w:r>
          </w:p>
        </w:tc>
        <w:tc>
          <w:tcPr>
            <w:tcW w:w="964" w:type="dxa"/>
            <w:tcBorders>
              <w:top w:val="nil"/>
              <w:bottom w:val="nil"/>
            </w:tcBorders>
            <w:shd w:val="clear" w:color="auto" w:fill="auto"/>
            <w:vAlign w:val="center"/>
          </w:tcPr>
          <w:p w14:paraId="193D2391" w14:textId="77777777" w:rsidR="00161B42" w:rsidRDefault="00161B42" w:rsidP="00C27019">
            <w:pPr>
              <w:pStyle w:val="MDPI42tablebody"/>
              <w:spacing w:line="240" w:lineRule="auto"/>
            </w:pPr>
            <w:r>
              <w:t>€/h</w:t>
            </w:r>
          </w:p>
        </w:tc>
        <w:tc>
          <w:tcPr>
            <w:tcW w:w="964" w:type="dxa"/>
            <w:tcBorders>
              <w:top w:val="nil"/>
              <w:bottom w:val="nil"/>
            </w:tcBorders>
            <w:shd w:val="clear" w:color="auto" w:fill="auto"/>
            <w:vAlign w:val="center"/>
          </w:tcPr>
          <w:p w14:paraId="598A297F" w14:textId="77777777" w:rsidR="00161B42" w:rsidRDefault="00161B42" w:rsidP="00C27019">
            <w:pPr>
              <w:pStyle w:val="MDPI42tablebody"/>
              <w:spacing w:line="240" w:lineRule="auto"/>
            </w:pPr>
            <w:r>
              <w:t>50</w:t>
            </w:r>
          </w:p>
        </w:tc>
      </w:tr>
      <w:tr w:rsidR="00161B42" w:rsidRPr="00661D1F" w14:paraId="6C76E203" w14:textId="77777777" w:rsidTr="00C27019">
        <w:tc>
          <w:tcPr>
            <w:tcW w:w="2212" w:type="dxa"/>
            <w:vMerge/>
            <w:tcBorders>
              <w:top w:val="nil"/>
              <w:bottom w:val="single" w:sz="4" w:space="0" w:color="auto"/>
            </w:tcBorders>
            <w:shd w:val="clear" w:color="auto" w:fill="auto"/>
            <w:vAlign w:val="center"/>
          </w:tcPr>
          <w:p w14:paraId="17C68128" w14:textId="77777777" w:rsidR="00161B42" w:rsidRDefault="00161B42" w:rsidP="00C27019">
            <w:pPr>
              <w:pStyle w:val="MDPI42tablebody"/>
              <w:spacing w:line="240" w:lineRule="auto"/>
            </w:pPr>
          </w:p>
        </w:tc>
        <w:tc>
          <w:tcPr>
            <w:tcW w:w="3402" w:type="dxa"/>
            <w:tcBorders>
              <w:top w:val="nil"/>
              <w:bottom w:val="single" w:sz="4" w:space="0" w:color="auto"/>
            </w:tcBorders>
            <w:vAlign w:val="center"/>
          </w:tcPr>
          <w:p w14:paraId="35559920" w14:textId="77777777" w:rsidR="00161B42" w:rsidRPr="00F220D4" w:rsidRDefault="00161B42" w:rsidP="00C27019">
            <w:pPr>
              <w:pStyle w:val="MDPI42tablebody"/>
              <w:spacing w:line="240" w:lineRule="auto"/>
            </w:pPr>
            <w:r>
              <w:t xml:space="preserve">cost multiplier for engineering, </w:t>
            </w:r>
            <w:r>
              <w:br/>
              <w:t xml:space="preserve">supervision, inspection </w:t>
            </w:r>
          </w:p>
        </w:tc>
        <w:tc>
          <w:tcPr>
            <w:tcW w:w="964" w:type="dxa"/>
            <w:tcBorders>
              <w:top w:val="nil"/>
              <w:bottom w:val="single" w:sz="4" w:space="0" w:color="auto"/>
            </w:tcBorders>
            <w:shd w:val="clear" w:color="auto" w:fill="auto"/>
            <w:vAlign w:val="center"/>
          </w:tcPr>
          <w:p w14:paraId="2FE01FF1" w14:textId="77777777" w:rsidR="00161B42" w:rsidRPr="00F220D4" w:rsidRDefault="00161B42" w:rsidP="00C27019">
            <w:pPr>
              <w:pStyle w:val="MDPI42tablebody"/>
              <w:spacing w:line="240" w:lineRule="auto"/>
            </w:pPr>
            <w:r>
              <w:t>-</w:t>
            </w:r>
          </w:p>
        </w:tc>
        <w:tc>
          <w:tcPr>
            <w:tcW w:w="964" w:type="dxa"/>
            <w:tcBorders>
              <w:top w:val="nil"/>
              <w:bottom w:val="single" w:sz="4" w:space="0" w:color="auto"/>
            </w:tcBorders>
            <w:shd w:val="clear" w:color="auto" w:fill="auto"/>
            <w:vAlign w:val="center"/>
          </w:tcPr>
          <w:p w14:paraId="443626AF" w14:textId="77777777" w:rsidR="00161B42" w:rsidRPr="00F220D4" w:rsidRDefault="00161B42" w:rsidP="00C27019">
            <w:pPr>
              <w:pStyle w:val="MDPI42tablebody"/>
              <w:spacing w:line="240" w:lineRule="auto"/>
            </w:pPr>
            <w:r w:rsidRPr="00A250EE">
              <w:rPr>
                <w:color w:val="auto"/>
              </w:rPr>
              <w:t>1.5</w:t>
            </w:r>
          </w:p>
        </w:tc>
      </w:tr>
      <w:tr w:rsidR="00161B42" w:rsidRPr="00661D1F" w14:paraId="7ED0F388" w14:textId="77777777" w:rsidTr="00C27019">
        <w:tc>
          <w:tcPr>
            <w:tcW w:w="2212" w:type="dxa"/>
            <w:vMerge w:val="restart"/>
            <w:tcBorders>
              <w:top w:val="single" w:sz="4" w:space="0" w:color="auto"/>
              <w:bottom w:val="nil"/>
            </w:tcBorders>
            <w:shd w:val="clear" w:color="auto" w:fill="auto"/>
            <w:vAlign w:val="center"/>
          </w:tcPr>
          <w:p w14:paraId="27C97026" w14:textId="77777777" w:rsidR="00161B42" w:rsidRDefault="00161B42" w:rsidP="00C27019">
            <w:pPr>
              <w:pStyle w:val="MDPI42tablebody"/>
              <w:spacing w:line="240" w:lineRule="auto"/>
            </w:pPr>
            <w:r>
              <w:t>Steel lining</w:t>
            </w:r>
          </w:p>
        </w:tc>
        <w:tc>
          <w:tcPr>
            <w:tcW w:w="3402" w:type="dxa"/>
            <w:tcBorders>
              <w:top w:val="single" w:sz="4" w:space="0" w:color="auto"/>
              <w:bottom w:val="nil"/>
            </w:tcBorders>
            <w:vAlign w:val="center"/>
          </w:tcPr>
          <w:p w14:paraId="75E01A5F" w14:textId="77777777" w:rsidR="00161B42" w:rsidRDefault="00161B42" w:rsidP="00C27019">
            <w:pPr>
              <w:pStyle w:val="MDPI42tablebody"/>
              <w:spacing w:line="240" w:lineRule="auto"/>
            </w:pPr>
            <w:r>
              <w:t>density</w:t>
            </w:r>
          </w:p>
        </w:tc>
        <w:tc>
          <w:tcPr>
            <w:tcW w:w="964" w:type="dxa"/>
            <w:tcBorders>
              <w:top w:val="single" w:sz="4" w:space="0" w:color="auto"/>
              <w:bottom w:val="nil"/>
            </w:tcBorders>
            <w:shd w:val="clear" w:color="auto" w:fill="auto"/>
            <w:vAlign w:val="center"/>
          </w:tcPr>
          <w:p w14:paraId="3160B409" w14:textId="77777777" w:rsidR="00161B42" w:rsidRDefault="00161B42" w:rsidP="00C27019">
            <w:pPr>
              <w:pStyle w:val="MDPI42tablebody"/>
              <w:spacing w:line="240" w:lineRule="auto"/>
            </w:pPr>
            <w:r>
              <w:t>kg/m</w:t>
            </w:r>
            <w:r w:rsidRPr="00A41A01">
              <w:rPr>
                <w:vertAlign w:val="superscript"/>
              </w:rPr>
              <w:t>3</w:t>
            </w:r>
          </w:p>
        </w:tc>
        <w:tc>
          <w:tcPr>
            <w:tcW w:w="964" w:type="dxa"/>
            <w:tcBorders>
              <w:top w:val="single" w:sz="4" w:space="0" w:color="auto"/>
              <w:bottom w:val="nil"/>
            </w:tcBorders>
            <w:shd w:val="clear" w:color="auto" w:fill="auto"/>
            <w:vAlign w:val="center"/>
          </w:tcPr>
          <w:p w14:paraId="65E78B1E" w14:textId="77777777" w:rsidR="00161B42" w:rsidRDefault="00161B42" w:rsidP="00C27019">
            <w:pPr>
              <w:pStyle w:val="MDPI42tablebody"/>
              <w:spacing w:line="240" w:lineRule="auto"/>
            </w:pPr>
            <w:r>
              <w:t>7850</w:t>
            </w:r>
            <w:r>
              <w:rPr>
                <w:color w:val="000000" w:themeColor="text1"/>
              </w:rPr>
              <w:t xml:space="preserve"> </w:t>
            </w:r>
            <w:r>
              <w:rPr>
                <w:color w:val="000000" w:themeColor="text1"/>
                <w:vertAlign w:val="superscript"/>
              </w:rPr>
              <w:t>3</w:t>
            </w:r>
          </w:p>
        </w:tc>
      </w:tr>
      <w:tr w:rsidR="00161B42" w:rsidRPr="00661D1F" w14:paraId="3217C18C" w14:textId="77777777" w:rsidTr="00C27019">
        <w:tc>
          <w:tcPr>
            <w:tcW w:w="2212" w:type="dxa"/>
            <w:vMerge/>
            <w:tcBorders>
              <w:top w:val="nil"/>
              <w:bottom w:val="nil"/>
            </w:tcBorders>
            <w:shd w:val="clear" w:color="auto" w:fill="auto"/>
            <w:vAlign w:val="center"/>
          </w:tcPr>
          <w:p w14:paraId="311BAF5A" w14:textId="77777777" w:rsidR="00161B42" w:rsidRDefault="00161B42" w:rsidP="00C27019">
            <w:pPr>
              <w:pStyle w:val="MDPI42tablebody"/>
              <w:spacing w:line="240" w:lineRule="auto"/>
            </w:pPr>
          </w:p>
        </w:tc>
        <w:tc>
          <w:tcPr>
            <w:tcW w:w="3402" w:type="dxa"/>
            <w:tcBorders>
              <w:top w:val="nil"/>
              <w:bottom w:val="nil"/>
            </w:tcBorders>
            <w:vAlign w:val="center"/>
          </w:tcPr>
          <w:p w14:paraId="0E22EEC8" w14:textId="77777777" w:rsidR="00161B42" w:rsidRDefault="00161B42" w:rsidP="00C27019">
            <w:pPr>
              <w:pStyle w:val="MDPI42tablebody"/>
              <w:spacing w:line="240" w:lineRule="auto"/>
            </w:pPr>
            <w:r>
              <w:t>cost</w:t>
            </w:r>
          </w:p>
        </w:tc>
        <w:tc>
          <w:tcPr>
            <w:tcW w:w="964" w:type="dxa"/>
            <w:tcBorders>
              <w:top w:val="nil"/>
              <w:bottom w:val="nil"/>
            </w:tcBorders>
            <w:shd w:val="clear" w:color="auto" w:fill="auto"/>
            <w:vAlign w:val="center"/>
          </w:tcPr>
          <w:p w14:paraId="6D2F3563" w14:textId="77777777" w:rsidR="00161B42" w:rsidRDefault="00161B42" w:rsidP="00C27019">
            <w:pPr>
              <w:pStyle w:val="MDPI42tablebody"/>
              <w:spacing w:line="240" w:lineRule="auto"/>
            </w:pPr>
            <w:r>
              <w:t>€/kg</w:t>
            </w:r>
          </w:p>
        </w:tc>
        <w:tc>
          <w:tcPr>
            <w:tcW w:w="964" w:type="dxa"/>
            <w:tcBorders>
              <w:top w:val="nil"/>
              <w:bottom w:val="nil"/>
            </w:tcBorders>
            <w:shd w:val="clear" w:color="auto" w:fill="auto"/>
            <w:vAlign w:val="center"/>
          </w:tcPr>
          <w:p w14:paraId="472002C9" w14:textId="77777777" w:rsidR="00161B42" w:rsidRPr="00FD6222" w:rsidRDefault="00161B42" w:rsidP="00C27019">
            <w:pPr>
              <w:pStyle w:val="MDPI42tablebody"/>
              <w:spacing w:line="240" w:lineRule="auto"/>
              <w:rPr>
                <w:vertAlign w:val="superscript"/>
              </w:rPr>
            </w:pPr>
            <w:r>
              <w:rPr>
                <w:color w:val="000000" w:themeColor="text1"/>
              </w:rPr>
              <w:t xml:space="preserve">4.4 </w:t>
            </w:r>
            <w:r>
              <w:rPr>
                <w:color w:val="000000" w:themeColor="text1"/>
                <w:vertAlign w:val="superscript"/>
              </w:rPr>
              <w:t>3</w:t>
            </w:r>
          </w:p>
        </w:tc>
      </w:tr>
      <w:tr w:rsidR="00161B42" w:rsidRPr="00661D1F" w14:paraId="00795458" w14:textId="77777777" w:rsidTr="00C27019">
        <w:tc>
          <w:tcPr>
            <w:tcW w:w="2212" w:type="dxa"/>
            <w:vMerge/>
            <w:tcBorders>
              <w:top w:val="nil"/>
              <w:bottom w:val="single" w:sz="4" w:space="0" w:color="auto"/>
            </w:tcBorders>
            <w:shd w:val="clear" w:color="auto" w:fill="auto"/>
            <w:vAlign w:val="center"/>
          </w:tcPr>
          <w:p w14:paraId="5468DA3F" w14:textId="77777777" w:rsidR="00161B42" w:rsidRDefault="00161B42" w:rsidP="00C27019">
            <w:pPr>
              <w:pStyle w:val="MDPI42tablebody"/>
              <w:spacing w:line="240" w:lineRule="auto"/>
            </w:pPr>
          </w:p>
        </w:tc>
        <w:tc>
          <w:tcPr>
            <w:tcW w:w="3402" w:type="dxa"/>
            <w:tcBorders>
              <w:top w:val="nil"/>
              <w:bottom w:val="single" w:sz="4" w:space="0" w:color="auto"/>
            </w:tcBorders>
            <w:vAlign w:val="center"/>
          </w:tcPr>
          <w:p w14:paraId="55897A2D" w14:textId="77777777" w:rsidR="00161B42" w:rsidRDefault="00161B42" w:rsidP="00C27019">
            <w:pPr>
              <w:pStyle w:val="MDPI42tablebody"/>
              <w:spacing w:line="240" w:lineRule="auto"/>
            </w:pPr>
            <w:r>
              <w:t xml:space="preserve">cost multiplier for installation, </w:t>
            </w:r>
            <w:r>
              <w:br/>
              <w:t>engineering, supervision, inspection</w:t>
            </w:r>
          </w:p>
        </w:tc>
        <w:tc>
          <w:tcPr>
            <w:tcW w:w="964" w:type="dxa"/>
            <w:tcBorders>
              <w:top w:val="nil"/>
              <w:bottom w:val="single" w:sz="4" w:space="0" w:color="auto"/>
            </w:tcBorders>
            <w:shd w:val="clear" w:color="auto" w:fill="auto"/>
            <w:vAlign w:val="center"/>
          </w:tcPr>
          <w:p w14:paraId="162101A4" w14:textId="77777777" w:rsidR="00161B42" w:rsidRDefault="00161B42" w:rsidP="00C27019">
            <w:pPr>
              <w:pStyle w:val="MDPI42tablebody"/>
              <w:spacing w:line="240" w:lineRule="auto"/>
            </w:pPr>
            <w:r>
              <w:t>-</w:t>
            </w:r>
          </w:p>
        </w:tc>
        <w:tc>
          <w:tcPr>
            <w:tcW w:w="964" w:type="dxa"/>
            <w:tcBorders>
              <w:top w:val="nil"/>
              <w:bottom w:val="single" w:sz="4" w:space="0" w:color="auto"/>
            </w:tcBorders>
            <w:shd w:val="clear" w:color="auto" w:fill="auto"/>
            <w:vAlign w:val="center"/>
          </w:tcPr>
          <w:p w14:paraId="0B48BCA2" w14:textId="77777777" w:rsidR="00161B42" w:rsidRPr="00A250EE" w:rsidRDefault="00161B42" w:rsidP="00C27019">
            <w:pPr>
              <w:pStyle w:val="MDPI42tablebody"/>
              <w:spacing w:line="240" w:lineRule="auto"/>
              <w:rPr>
                <w:color w:val="auto"/>
              </w:rPr>
            </w:pPr>
            <w:r w:rsidRPr="00A250EE">
              <w:rPr>
                <w:color w:val="auto"/>
              </w:rPr>
              <w:t>3.0</w:t>
            </w:r>
          </w:p>
        </w:tc>
      </w:tr>
      <w:tr w:rsidR="00161B42" w:rsidRPr="00661D1F" w14:paraId="4927E98C" w14:textId="77777777" w:rsidTr="00C27019">
        <w:tc>
          <w:tcPr>
            <w:tcW w:w="2212" w:type="dxa"/>
            <w:tcBorders>
              <w:top w:val="single" w:sz="4" w:space="0" w:color="auto"/>
              <w:bottom w:val="nil"/>
            </w:tcBorders>
            <w:shd w:val="clear" w:color="auto" w:fill="auto"/>
            <w:vAlign w:val="center"/>
          </w:tcPr>
          <w:p w14:paraId="49A55E01" w14:textId="77777777" w:rsidR="00161B42" w:rsidRDefault="00161B42" w:rsidP="00C27019">
            <w:pPr>
              <w:pStyle w:val="MDPI42tablebody"/>
              <w:spacing w:line="240" w:lineRule="auto"/>
            </w:pPr>
            <w:r>
              <w:t>Excavation, bedrock</w:t>
            </w:r>
          </w:p>
        </w:tc>
        <w:tc>
          <w:tcPr>
            <w:tcW w:w="3402" w:type="dxa"/>
            <w:tcBorders>
              <w:top w:val="single" w:sz="4" w:space="0" w:color="auto"/>
              <w:bottom w:val="nil"/>
            </w:tcBorders>
            <w:vAlign w:val="center"/>
          </w:tcPr>
          <w:p w14:paraId="68142261" w14:textId="77777777" w:rsidR="00161B42" w:rsidRPr="00F220D4" w:rsidRDefault="00161B42" w:rsidP="00C27019">
            <w:pPr>
              <w:pStyle w:val="MDPI42tablebody"/>
              <w:spacing w:line="240" w:lineRule="auto"/>
            </w:pPr>
            <w:r>
              <w:t>cost</w:t>
            </w:r>
          </w:p>
        </w:tc>
        <w:tc>
          <w:tcPr>
            <w:tcW w:w="964" w:type="dxa"/>
            <w:tcBorders>
              <w:top w:val="single" w:sz="4" w:space="0" w:color="auto"/>
              <w:bottom w:val="nil"/>
            </w:tcBorders>
            <w:shd w:val="clear" w:color="auto" w:fill="auto"/>
            <w:vAlign w:val="center"/>
          </w:tcPr>
          <w:p w14:paraId="6777DC9F" w14:textId="77777777" w:rsidR="00161B42" w:rsidRPr="00F220D4" w:rsidRDefault="00161B42" w:rsidP="00C27019">
            <w:pPr>
              <w:pStyle w:val="MDPI42tablebody"/>
              <w:spacing w:line="240" w:lineRule="auto"/>
            </w:pPr>
            <w:r>
              <w:t>€/m</w:t>
            </w:r>
            <w:r w:rsidRPr="00A41A01">
              <w:rPr>
                <w:vertAlign w:val="superscript"/>
              </w:rPr>
              <w:t>3</w:t>
            </w:r>
          </w:p>
        </w:tc>
        <w:tc>
          <w:tcPr>
            <w:tcW w:w="964" w:type="dxa"/>
            <w:tcBorders>
              <w:top w:val="single" w:sz="4" w:space="0" w:color="auto"/>
              <w:bottom w:val="nil"/>
            </w:tcBorders>
            <w:shd w:val="clear" w:color="auto" w:fill="auto"/>
            <w:vAlign w:val="center"/>
          </w:tcPr>
          <w:p w14:paraId="7C57A37D" w14:textId="77777777" w:rsidR="00161B42" w:rsidRPr="00A250EE" w:rsidRDefault="00161B42" w:rsidP="00C27019">
            <w:pPr>
              <w:pStyle w:val="MDPI42tablebody"/>
              <w:spacing w:line="240" w:lineRule="auto"/>
              <w:rPr>
                <w:color w:val="auto"/>
              </w:rPr>
            </w:pPr>
            <w:r w:rsidRPr="00A250EE">
              <w:rPr>
                <w:color w:val="auto"/>
              </w:rPr>
              <w:t>175</w:t>
            </w:r>
          </w:p>
        </w:tc>
      </w:tr>
      <w:tr w:rsidR="00161B42" w:rsidRPr="00661D1F" w14:paraId="0624EB6A" w14:textId="77777777" w:rsidTr="00C27019">
        <w:tc>
          <w:tcPr>
            <w:tcW w:w="2212" w:type="dxa"/>
            <w:tcBorders>
              <w:top w:val="nil"/>
            </w:tcBorders>
            <w:shd w:val="clear" w:color="auto" w:fill="auto"/>
            <w:vAlign w:val="center"/>
          </w:tcPr>
          <w:p w14:paraId="1B377282" w14:textId="77777777" w:rsidR="00161B42" w:rsidRDefault="00161B42" w:rsidP="00C27019">
            <w:pPr>
              <w:pStyle w:val="MDPI42tablebody"/>
              <w:spacing w:line="240" w:lineRule="auto"/>
            </w:pPr>
            <w:r>
              <w:t>Re-filling excavated rock</w:t>
            </w:r>
          </w:p>
        </w:tc>
        <w:tc>
          <w:tcPr>
            <w:tcW w:w="3402" w:type="dxa"/>
            <w:tcBorders>
              <w:top w:val="nil"/>
            </w:tcBorders>
            <w:vAlign w:val="center"/>
          </w:tcPr>
          <w:p w14:paraId="3930A61D" w14:textId="77777777" w:rsidR="00161B42" w:rsidRDefault="00161B42" w:rsidP="00C27019">
            <w:pPr>
              <w:pStyle w:val="MDPI42tablebody"/>
              <w:spacing w:line="240" w:lineRule="auto"/>
            </w:pPr>
            <w:r>
              <w:t>cost</w:t>
            </w:r>
          </w:p>
        </w:tc>
        <w:tc>
          <w:tcPr>
            <w:tcW w:w="964" w:type="dxa"/>
            <w:tcBorders>
              <w:top w:val="nil"/>
            </w:tcBorders>
            <w:shd w:val="clear" w:color="auto" w:fill="auto"/>
            <w:vAlign w:val="center"/>
          </w:tcPr>
          <w:p w14:paraId="1A618BEA" w14:textId="77777777" w:rsidR="00161B42" w:rsidRDefault="00161B42" w:rsidP="00C27019">
            <w:pPr>
              <w:pStyle w:val="MDPI42tablebody"/>
              <w:spacing w:line="240" w:lineRule="auto"/>
            </w:pPr>
            <w:r>
              <w:t>€/m</w:t>
            </w:r>
            <w:r w:rsidRPr="00A41A01">
              <w:rPr>
                <w:vertAlign w:val="superscript"/>
              </w:rPr>
              <w:t>3</w:t>
            </w:r>
          </w:p>
        </w:tc>
        <w:tc>
          <w:tcPr>
            <w:tcW w:w="964" w:type="dxa"/>
            <w:tcBorders>
              <w:top w:val="nil"/>
            </w:tcBorders>
            <w:shd w:val="clear" w:color="auto" w:fill="auto"/>
            <w:vAlign w:val="center"/>
          </w:tcPr>
          <w:p w14:paraId="2B4160A2" w14:textId="77777777" w:rsidR="00161B42" w:rsidRPr="00A250EE" w:rsidRDefault="00161B42" w:rsidP="00C27019">
            <w:pPr>
              <w:pStyle w:val="MDPI42tablebody"/>
              <w:spacing w:line="240" w:lineRule="auto"/>
              <w:rPr>
                <w:color w:val="auto"/>
              </w:rPr>
            </w:pPr>
            <w:r w:rsidRPr="00A250EE">
              <w:rPr>
                <w:color w:val="auto"/>
              </w:rPr>
              <w:t xml:space="preserve">30 </w:t>
            </w:r>
          </w:p>
        </w:tc>
      </w:tr>
    </w:tbl>
    <w:p w14:paraId="5167FCB3" w14:textId="693F0A8A" w:rsidR="00161B42" w:rsidRDefault="00161B42" w:rsidP="00161B42">
      <w:pPr>
        <w:pStyle w:val="MDPI43tablefooter"/>
      </w:pPr>
      <w:r w:rsidRPr="00325902">
        <w:rPr>
          <w:vertAlign w:val="superscript"/>
        </w:rPr>
        <w:t>1</w:t>
      </w:r>
      <w:r w:rsidRPr="00325902">
        <w:t xml:space="preserve"> </w:t>
      </w:r>
      <w:r>
        <w:t>Index correction according to [</w:t>
      </w:r>
      <w:r w:rsidR="00597BD4">
        <w:t>37</w:t>
      </w:r>
      <w:r>
        <w:t>]</w:t>
      </w:r>
    </w:p>
    <w:p w14:paraId="1D564BE7" w14:textId="77777777" w:rsidR="00161B42" w:rsidRPr="00AC5E74" w:rsidRDefault="00161B42" w:rsidP="00161B42">
      <w:pPr>
        <w:pStyle w:val="MDPI43tablefooter"/>
      </w:pPr>
      <w:r>
        <w:rPr>
          <w:vertAlign w:val="superscript"/>
        </w:rPr>
        <w:t>2</w:t>
      </w:r>
      <w:r w:rsidRPr="00325902">
        <w:t xml:space="preserve"> </w:t>
      </w:r>
      <w:r>
        <w:t>Calculated from other values</w:t>
      </w:r>
    </w:p>
    <w:p w14:paraId="12AA8D79" w14:textId="77777777" w:rsidR="00161B42" w:rsidRPr="00AC5E74" w:rsidRDefault="00161B42" w:rsidP="00161B42">
      <w:pPr>
        <w:pStyle w:val="MDPI43tablefooter"/>
      </w:pPr>
      <w:r>
        <w:rPr>
          <w:vertAlign w:val="superscript"/>
        </w:rPr>
        <w:t>3</w:t>
      </w:r>
      <w:r w:rsidRPr="00325902">
        <w:t xml:space="preserve"> </w:t>
      </w:r>
      <w:r>
        <w:t>ASTM 304 stainless steel assumed</w:t>
      </w:r>
    </w:p>
    <w:p w14:paraId="2A07DE0D" w14:textId="77777777" w:rsidR="00161B42" w:rsidRDefault="00161B42" w:rsidP="00024080">
      <w:pPr>
        <w:pStyle w:val="MDPI31text"/>
      </w:pPr>
    </w:p>
    <w:p w14:paraId="3B1DAE74" w14:textId="77777777" w:rsidR="00FC4364" w:rsidRDefault="00FC4364" w:rsidP="00161B42">
      <w:pPr>
        <w:pStyle w:val="MDPI31text"/>
      </w:pPr>
    </w:p>
    <w:sectPr w:rsidR="00FC4364" w:rsidSect="006E1A12">
      <w:headerReference w:type="even" r:id="rId9"/>
      <w:headerReference w:type="default" r:id="rId10"/>
      <w:footerReference w:type="default" r:id="rId11"/>
      <w:headerReference w:type="first" r:id="rId12"/>
      <w:footerReference w:type="first" r:id="rId13"/>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D2DF6" w14:textId="77777777" w:rsidR="00E47A9C" w:rsidRDefault="00E47A9C">
      <w:pPr>
        <w:spacing w:line="240" w:lineRule="auto"/>
      </w:pPr>
      <w:r>
        <w:separator/>
      </w:r>
    </w:p>
  </w:endnote>
  <w:endnote w:type="continuationSeparator" w:id="0">
    <w:p w14:paraId="3EB3D14E" w14:textId="77777777" w:rsidR="00E47A9C" w:rsidRDefault="00E47A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5FDF5" w14:textId="77777777" w:rsidR="00922B1F" w:rsidRPr="00717E37" w:rsidRDefault="00922B1F" w:rsidP="00922B1F">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ACAA9" w14:textId="77777777" w:rsidR="00DE4709" w:rsidRDefault="00DE4709" w:rsidP="00EC0B89">
    <w:pPr>
      <w:pStyle w:val="MDPIfooterfirstpage"/>
      <w:pBdr>
        <w:top w:val="single" w:sz="4" w:space="0" w:color="000000"/>
      </w:pBdr>
      <w:adjustRightInd w:val="0"/>
      <w:snapToGrid w:val="0"/>
      <w:spacing w:before="480" w:line="100" w:lineRule="exact"/>
      <w:rPr>
        <w:i/>
      </w:rPr>
    </w:pPr>
  </w:p>
  <w:p w14:paraId="718D65DF" w14:textId="77777777" w:rsidR="00922B1F" w:rsidRPr="008B308E" w:rsidRDefault="00922B1F" w:rsidP="007E3D17">
    <w:pPr>
      <w:pStyle w:val="MDPIfooterfirstpage"/>
      <w:tabs>
        <w:tab w:val="clear" w:pos="8845"/>
        <w:tab w:val="right" w:pos="10466"/>
      </w:tabs>
      <w:spacing w:line="240" w:lineRule="auto"/>
      <w:jc w:val="both"/>
      <w:rPr>
        <w:lang w:val="fr-CH"/>
      </w:rPr>
    </w:pPr>
    <w:r>
      <w:rPr>
        <w:i/>
      </w:rPr>
      <w:t>Energies</w:t>
    </w:r>
    <w:r>
      <w:rPr>
        <w:iCs/>
        <w:lang w:val="fr-FR"/>
      </w:rPr>
      <w:t xml:space="preserve"> </w:t>
    </w:r>
    <w:r w:rsidR="003B36A5">
      <w:rPr>
        <w:b/>
      </w:rPr>
      <w:t>2022</w:t>
    </w:r>
    <w:r w:rsidR="00E847BE" w:rsidRPr="00E847BE">
      <w:t>,</w:t>
    </w:r>
    <w:r w:rsidR="003B36A5">
      <w:rPr>
        <w:i/>
      </w:rPr>
      <w:t xml:space="preserve"> 15</w:t>
    </w:r>
    <w:r w:rsidR="00E847BE" w:rsidRPr="00E847BE">
      <w:t xml:space="preserve">, </w:t>
    </w:r>
    <w:r w:rsidR="00487046">
      <w:t>x</w:t>
    </w:r>
    <w:r w:rsidR="00DE4709">
      <w:t>. https://doi.org/10.3390/xxxxx</w:t>
    </w:r>
    <w:r w:rsidR="007E3D17" w:rsidRPr="008B308E">
      <w:rPr>
        <w:lang w:val="fr-CH"/>
      </w:rPr>
      <w:tab/>
    </w:r>
    <w:r w:rsidRPr="008B308E">
      <w:rPr>
        <w:lang w:val="fr-CH"/>
      </w:rPr>
      <w:t>www.mdpi.com/journal/</w:t>
    </w:r>
    <w:proofErr w:type="spellStart"/>
    <w:r w:rsidRPr="004D575B">
      <w:rPr>
        <w:lang w:val="de-CH"/>
      </w:rPr>
      <w:t>energies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EEC38" w14:textId="77777777" w:rsidR="00E47A9C" w:rsidRDefault="00E47A9C">
      <w:pPr>
        <w:spacing w:line="240" w:lineRule="auto"/>
      </w:pPr>
      <w:r>
        <w:separator/>
      </w:r>
    </w:p>
  </w:footnote>
  <w:footnote w:type="continuationSeparator" w:id="0">
    <w:p w14:paraId="3373C89D" w14:textId="77777777" w:rsidR="00E47A9C" w:rsidRDefault="00E47A9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298AF" w14:textId="77777777" w:rsidR="00922B1F" w:rsidRDefault="00922B1F" w:rsidP="00922B1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78D91" w14:textId="0223B15D" w:rsidR="00DE4709" w:rsidRDefault="00922B1F" w:rsidP="007E3D17">
    <w:pPr>
      <w:tabs>
        <w:tab w:val="right" w:pos="10466"/>
      </w:tabs>
      <w:adjustRightInd w:val="0"/>
      <w:snapToGrid w:val="0"/>
      <w:spacing w:line="240" w:lineRule="auto"/>
      <w:rPr>
        <w:sz w:val="16"/>
      </w:rPr>
    </w:pPr>
    <w:r>
      <w:rPr>
        <w:i/>
        <w:sz w:val="16"/>
      </w:rPr>
      <w:t xml:space="preserve">Energies </w:t>
    </w:r>
    <w:r w:rsidR="003B36A5">
      <w:rPr>
        <w:b/>
        <w:sz w:val="16"/>
      </w:rPr>
      <w:t>2022</w:t>
    </w:r>
    <w:r w:rsidR="00E847BE" w:rsidRPr="00E847BE">
      <w:rPr>
        <w:sz w:val="16"/>
      </w:rPr>
      <w:t>,</w:t>
    </w:r>
    <w:r w:rsidR="003B36A5">
      <w:rPr>
        <w:i/>
        <w:sz w:val="16"/>
      </w:rPr>
      <w:t xml:space="preserve"> 15</w:t>
    </w:r>
    <w:r w:rsidR="00487046">
      <w:rPr>
        <w:sz w:val="16"/>
      </w:rPr>
      <w:t>, x FOR PEER REVIEW</w:t>
    </w:r>
    <w:r w:rsidR="007E3D17">
      <w:rPr>
        <w:sz w:val="16"/>
      </w:rPr>
      <w:tab/>
    </w:r>
    <w:r w:rsidR="00487046">
      <w:rPr>
        <w:sz w:val="16"/>
      </w:rPr>
      <w:fldChar w:fldCharType="begin"/>
    </w:r>
    <w:r w:rsidR="00487046">
      <w:rPr>
        <w:sz w:val="16"/>
      </w:rPr>
      <w:instrText xml:space="preserve"> PAGE   \* MERGEFORMAT </w:instrText>
    </w:r>
    <w:r w:rsidR="00487046">
      <w:rPr>
        <w:sz w:val="16"/>
      </w:rPr>
      <w:fldChar w:fldCharType="separate"/>
    </w:r>
    <w:r w:rsidR="002E351E">
      <w:rPr>
        <w:sz w:val="16"/>
      </w:rPr>
      <w:t>5</w:t>
    </w:r>
    <w:r w:rsidR="00487046">
      <w:rPr>
        <w:sz w:val="16"/>
      </w:rPr>
      <w:fldChar w:fldCharType="end"/>
    </w:r>
    <w:r w:rsidR="00487046">
      <w:rPr>
        <w:sz w:val="16"/>
      </w:rPr>
      <w:t xml:space="preserve"> of </w:t>
    </w:r>
    <w:r w:rsidR="00487046">
      <w:rPr>
        <w:sz w:val="16"/>
      </w:rPr>
      <w:fldChar w:fldCharType="begin"/>
    </w:r>
    <w:r w:rsidR="00487046">
      <w:rPr>
        <w:sz w:val="16"/>
      </w:rPr>
      <w:instrText xml:space="preserve"> NUMPAGES   \* MERGEFORMAT </w:instrText>
    </w:r>
    <w:r w:rsidR="00487046">
      <w:rPr>
        <w:sz w:val="16"/>
      </w:rPr>
      <w:fldChar w:fldCharType="separate"/>
    </w:r>
    <w:r w:rsidR="002E351E">
      <w:rPr>
        <w:sz w:val="16"/>
      </w:rPr>
      <w:t>5</w:t>
    </w:r>
    <w:r w:rsidR="00487046">
      <w:rPr>
        <w:sz w:val="16"/>
      </w:rPr>
      <w:fldChar w:fldCharType="end"/>
    </w:r>
  </w:p>
  <w:p w14:paraId="082EA369" w14:textId="77777777" w:rsidR="00922B1F" w:rsidRPr="00B913EA" w:rsidRDefault="00922B1F" w:rsidP="00EC0B89">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DE4709" w:rsidRPr="007E3D17" w14:paraId="7D815829" w14:textId="77777777" w:rsidTr="008135AD">
      <w:trPr>
        <w:trHeight w:val="686"/>
      </w:trPr>
      <w:tc>
        <w:tcPr>
          <w:tcW w:w="3679" w:type="dxa"/>
          <w:shd w:val="clear" w:color="auto" w:fill="auto"/>
          <w:vAlign w:val="center"/>
        </w:tcPr>
        <w:p w14:paraId="1949A3A5" w14:textId="77777777" w:rsidR="00DE4709" w:rsidRPr="00661D1F" w:rsidRDefault="00CB7B70" w:rsidP="007E3D17">
          <w:pPr>
            <w:pStyle w:val="Header"/>
            <w:pBdr>
              <w:bottom w:val="none" w:sz="0" w:space="0" w:color="auto"/>
            </w:pBdr>
            <w:jc w:val="left"/>
            <w:rPr>
              <w:rFonts w:eastAsia="DengXian"/>
              <w:b/>
              <w:bCs/>
            </w:rPr>
          </w:pPr>
          <w:r w:rsidRPr="00661D1F">
            <w:rPr>
              <w:rFonts w:eastAsia="DengXian"/>
              <w:b/>
              <w:bCs/>
            </w:rPr>
            <w:drawing>
              <wp:inline distT="0" distB="0" distL="0" distR="0" wp14:anchorId="67C4B796" wp14:editId="00C3D2C8">
                <wp:extent cx="1683385" cy="429260"/>
                <wp:effectExtent l="0" t="0" r="0" b="0"/>
                <wp:docPr id="14" name="Picture 3" descr="C:\Users\home\Desktop\logos\energi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energie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3385" cy="429260"/>
                        </a:xfrm>
                        <a:prstGeom prst="rect">
                          <a:avLst/>
                        </a:prstGeom>
                        <a:noFill/>
                        <a:ln>
                          <a:noFill/>
                        </a:ln>
                      </pic:spPr>
                    </pic:pic>
                  </a:graphicData>
                </a:graphic>
              </wp:inline>
            </w:drawing>
          </w:r>
        </w:p>
      </w:tc>
      <w:tc>
        <w:tcPr>
          <w:tcW w:w="4535" w:type="dxa"/>
          <w:shd w:val="clear" w:color="auto" w:fill="auto"/>
          <w:vAlign w:val="center"/>
        </w:tcPr>
        <w:p w14:paraId="3917BE45" w14:textId="77777777" w:rsidR="00DE4709" w:rsidRPr="00661D1F" w:rsidRDefault="00DE4709" w:rsidP="007E3D17">
          <w:pPr>
            <w:pStyle w:val="Header"/>
            <w:pBdr>
              <w:bottom w:val="none" w:sz="0" w:space="0" w:color="auto"/>
            </w:pBdr>
            <w:rPr>
              <w:rFonts w:eastAsia="DengXian"/>
              <w:b/>
              <w:bCs/>
            </w:rPr>
          </w:pPr>
        </w:p>
      </w:tc>
      <w:tc>
        <w:tcPr>
          <w:tcW w:w="2273" w:type="dxa"/>
          <w:shd w:val="clear" w:color="auto" w:fill="auto"/>
          <w:vAlign w:val="center"/>
        </w:tcPr>
        <w:p w14:paraId="5EEB21ED" w14:textId="77777777" w:rsidR="00DE4709" w:rsidRPr="00661D1F" w:rsidRDefault="008135AD" w:rsidP="008135AD">
          <w:pPr>
            <w:pStyle w:val="Header"/>
            <w:pBdr>
              <w:bottom w:val="none" w:sz="0" w:space="0" w:color="auto"/>
            </w:pBdr>
            <w:jc w:val="right"/>
            <w:rPr>
              <w:rFonts w:eastAsia="DengXian"/>
              <w:b/>
              <w:bCs/>
            </w:rPr>
          </w:pPr>
          <w:r>
            <w:rPr>
              <w:rFonts w:eastAsia="DengXian"/>
              <w:b/>
              <w:bCs/>
            </w:rPr>
            <w:drawing>
              <wp:inline distT="0" distB="0" distL="0" distR="0" wp14:anchorId="7379FB99" wp14:editId="29B61E96">
                <wp:extent cx="540000" cy="360000"/>
                <wp:effectExtent l="0" t="0" r="0" b="2540"/>
                <wp:docPr id="15" name="Picture 15"/>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66201FA4" w14:textId="77777777" w:rsidR="00922B1F" w:rsidRPr="00DE4709" w:rsidRDefault="00922B1F" w:rsidP="00EC0B89">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468F5"/>
    <w:multiLevelType w:val="hybridMultilevel"/>
    <w:tmpl w:val="11B4802E"/>
    <w:lvl w:ilvl="0" w:tplc="8340D3EE">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075B53"/>
    <w:multiLevelType w:val="hybridMultilevel"/>
    <w:tmpl w:val="A0DCA02E"/>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8" w15:restartNumberingAfterBreak="0">
    <w:nsid w:val="56054540"/>
    <w:multiLevelType w:val="hybridMultilevel"/>
    <w:tmpl w:val="2BFE33BC"/>
    <w:lvl w:ilvl="0" w:tplc="D9563CC2">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1E60FC"/>
    <w:multiLevelType w:val="hybridMultilevel"/>
    <w:tmpl w:val="F7C0263A"/>
    <w:lvl w:ilvl="0" w:tplc="C200EA60">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abstractNum w:abstractNumId="10"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7F3698"/>
    <w:multiLevelType w:val="multilevel"/>
    <w:tmpl w:val="2CE49E94"/>
    <w:lvl w:ilvl="0">
      <w:start w:val="1"/>
      <w:numFmt w:val="decimal"/>
      <w:pStyle w:val="Heading1"/>
      <w:lvlText w:val="%1 "/>
      <w:lvlJc w:val="left"/>
      <w:pPr>
        <w:tabs>
          <w:tab w:val="num" w:pos="1304"/>
        </w:tabs>
        <w:ind w:left="1304" w:hanging="1304"/>
      </w:pPr>
    </w:lvl>
    <w:lvl w:ilvl="1">
      <w:start w:val="1"/>
      <w:numFmt w:val="decimal"/>
      <w:pStyle w:val="Heading2"/>
      <w:lvlText w:val="%1.%2 "/>
      <w:lvlJc w:val="left"/>
      <w:pPr>
        <w:tabs>
          <w:tab w:val="num" w:pos="1304"/>
        </w:tabs>
        <w:ind w:left="1304" w:hanging="1304"/>
      </w:pPr>
    </w:lvl>
    <w:lvl w:ilvl="2">
      <w:start w:val="1"/>
      <w:numFmt w:val="decimal"/>
      <w:pStyle w:val="Heading3"/>
      <w:lvlText w:val="%1.%2.%3 "/>
      <w:lvlJc w:val="left"/>
      <w:pPr>
        <w:tabs>
          <w:tab w:val="num" w:pos="1304"/>
        </w:tabs>
        <w:ind w:left="1304" w:hanging="1304"/>
      </w:pPr>
    </w:lvl>
    <w:lvl w:ilvl="3">
      <w:start w:val="1"/>
      <w:numFmt w:val="decimal"/>
      <w:pStyle w:val="Heading4"/>
      <w:lvlText w:val="%1.%2.%3.%4 "/>
      <w:lvlJc w:val="left"/>
      <w:pPr>
        <w:tabs>
          <w:tab w:val="num" w:pos="1304"/>
        </w:tabs>
        <w:ind w:left="1304" w:hanging="1304"/>
      </w:pPr>
    </w:lvl>
    <w:lvl w:ilvl="4">
      <w:start w:val="1"/>
      <w:numFmt w:val="decimal"/>
      <w:pStyle w:val="Heading5"/>
      <w:lvlText w:val="%1.%2.%3.%4.%5 "/>
      <w:lvlJc w:val="left"/>
      <w:pPr>
        <w:tabs>
          <w:tab w:val="num" w:pos="1304"/>
        </w:tabs>
        <w:ind w:left="1304" w:hanging="1304"/>
      </w:pPr>
    </w:lvl>
    <w:lvl w:ilvl="5">
      <w:start w:val="1"/>
      <w:numFmt w:val="decimal"/>
      <w:pStyle w:val="Heading6"/>
      <w:lvlText w:val="%1.%2.%3.%4.%5.%6 "/>
      <w:lvlJc w:val="left"/>
      <w:pPr>
        <w:tabs>
          <w:tab w:val="num" w:pos="1304"/>
        </w:tabs>
        <w:ind w:left="1304" w:hanging="1304"/>
      </w:pPr>
    </w:lvl>
    <w:lvl w:ilvl="6">
      <w:start w:val="1"/>
      <w:numFmt w:val="decimal"/>
      <w:pStyle w:val="Heading7"/>
      <w:lvlText w:val="%1.%2.%3.%4.%5.%6.%7 "/>
      <w:lvlJc w:val="left"/>
      <w:pPr>
        <w:tabs>
          <w:tab w:val="num" w:pos="1304"/>
        </w:tabs>
        <w:ind w:left="1304" w:hanging="1304"/>
      </w:pPr>
    </w:lvl>
    <w:lvl w:ilvl="7">
      <w:start w:val="1"/>
      <w:numFmt w:val="decimal"/>
      <w:pStyle w:val="Heading8"/>
      <w:lvlText w:val="%1.%2.%3.%4.%5.%6.%7.%8 "/>
      <w:lvlJc w:val="left"/>
      <w:pPr>
        <w:tabs>
          <w:tab w:val="num" w:pos="1304"/>
        </w:tabs>
        <w:ind w:left="1304" w:hanging="1304"/>
      </w:pPr>
    </w:lvl>
    <w:lvl w:ilvl="8">
      <w:start w:val="1"/>
      <w:numFmt w:val="decimal"/>
      <w:pStyle w:val="Heading9"/>
      <w:lvlText w:val="%1.%2.%3.%4.%5.%6.%7.%8.%9 "/>
      <w:lvlJc w:val="left"/>
      <w:pPr>
        <w:tabs>
          <w:tab w:val="num" w:pos="1304"/>
        </w:tabs>
        <w:ind w:left="1304" w:hanging="1304"/>
      </w:pPr>
    </w:lvl>
  </w:abstractNum>
  <w:abstractNum w:abstractNumId="12" w15:restartNumberingAfterBreak="0">
    <w:nsid w:val="7F0E1980"/>
    <w:multiLevelType w:val="hybridMultilevel"/>
    <w:tmpl w:val="889A1976"/>
    <w:lvl w:ilvl="0" w:tplc="878EC844">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8174857">
    <w:abstractNumId w:val="3"/>
  </w:num>
  <w:num w:numId="2" w16cid:durableId="541019536">
    <w:abstractNumId w:val="5"/>
  </w:num>
  <w:num w:numId="3" w16cid:durableId="1777557555">
    <w:abstractNumId w:val="2"/>
  </w:num>
  <w:num w:numId="4" w16cid:durableId="1721849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88084357">
    <w:abstractNumId w:val="4"/>
  </w:num>
  <w:num w:numId="6" w16cid:durableId="1451704196">
    <w:abstractNumId w:val="7"/>
  </w:num>
  <w:num w:numId="7" w16cid:durableId="1450902553">
    <w:abstractNumId w:val="1"/>
  </w:num>
  <w:num w:numId="8" w16cid:durableId="1958295480">
    <w:abstractNumId w:val="7"/>
  </w:num>
  <w:num w:numId="9" w16cid:durableId="77216317">
    <w:abstractNumId w:val="1"/>
  </w:num>
  <w:num w:numId="10" w16cid:durableId="1919362738">
    <w:abstractNumId w:val="7"/>
  </w:num>
  <w:num w:numId="11" w16cid:durableId="1567183356">
    <w:abstractNumId w:val="1"/>
  </w:num>
  <w:num w:numId="12" w16cid:durableId="613752189">
    <w:abstractNumId w:val="10"/>
  </w:num>
  <w:num w:numId="13" w16cid:durableId="1875730217">
    <w:abstractNumId w:val="7"/>
  </w:num>
  <w:num w:numId="14" w16cid:durableId="1815753430">
    <w:abstractNumId w:val="1"/>
  </w:num>
  <w:num w:numId="15" w16cid:durableId="620763148">
    <w:abstractNumId w:val="0"/>
  </w:num>
  <w:num w:numId="16" w16cid:durableId="1890653343">
    <w:abstractNumId w:val="6"/>
  </w:num>
  <w:num w:numId="17" w16cid:durableId="703873914">
    <w:abstractNumId w:val="0"/>
  </w:num>
  <w:num w:numId="18" w16cid:durableId="1329406030">
    <w:abstractNumId w:val="7"/>
  </w:num>
  <w:num w:numId="19" w16cid:durableId="972832179">
    <w:abstractNumId w:val="1"/>
  </w:num>
  <w:num w:numId="20" w16cid:durableId="1335456609">
    <w:abstractNumId w:val="0"/>
  </w:num>
  <w:num w:numId="21" w16cid:durableId="823207777">
    <w:abstractNumId w:val="12"/>
  </w:num>
  <w:num w:numId="22" w16cid:durableId="1387756710">
    <w:abstractNumId w:val="9"/>
  </w:num>
  <w:num w:numId="23" w16cid:durableId="275135029">
    <w:abstractNumId w:val="8"/>
  </w:num>
  <w:num w:numId="24" w16cid:durableId="16006770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839"/>
    <w:rsid w:val="00010C1F"/>
    <w:rsid w:val="00024080"/>
    <w:rsid w:val="0002439D"/>
    <w:rsid w:val="00024C89"/>
    <w:rsid w:val="00027D12"/>
    <w:rsid w:val="0003236F"/>
    <w:rsid w:val="00032AA5"/>
    <w:rsid w:val="000339E8"/>
    <w:rsid w:val="0003783F"/>
    <w:rsid w:val="0004194B"/>
    <w:rsid w:val="00063BE8"/>
    <w:rsid w:val="000704BF"/>
    <w:rsid w:val="00073FDE"/>
    <w:rsid w:val="0007470B"/>
    <w:rsid w:val="00086A7C"/>
    <w:rsid w:val="0009574A"/>
    <w:rsid w:val="0009698F"/>
    <w:rsid w:val="000A0F10"/>
    <w:rsid w:val="000B3024"/>
    <w:rsid w:val="000C14BD"/>
    <w:rsid w:val="000C42C6"/>
    <w:rsid w:val="000D2E99"/>
    <w:rsid w:val="000E389D"/>
    <w:rsid w:val="000E684A"/>
    <w:rsid w:val="000E7078"/>
    <w:rsid w:val="000F3875"/>
    <w:rsid w:val="000F52FB"/>
    <w:rsid w:val="000F671A"/>
    <w:rsid w:val="000F7881"/>
    <w:rsid w:val="00110EB0"/>
    <w:rsid w:val="001114A7"/>
    <w:rsid w:val="00112020"/>
    <w:rsid w:val="00112BEF"/>
    <w:rsid w:val="00120EB7"/>
    <w:rsid w:val="00121DB2"/>
    <w:rsid w:val="001225DA"/>
    <w:rsid w:val="00125C1E"/>
    <w:rsid w:val="00133CA3"/>
    <w:rsid w:val="001369A5"/>
    <w:rsid w:val="001461D6"/>
    <w:rsid w:val="00146F28"/>
    <w:rsid w:val="00150392"/>
    <w:rsid w:val="00152483"/>
    <w:rsid w:val="00154704"/>
    <w:rsid w:val="00161B42"/>
    <w:rsid w:val="00165A3F"/>
    <w:rsid w:val="00172552"/>
    <w:rsid w:val="001734B6"/>
    <w:rsid w:val="00176D8E"/>
    <w:rsid w:val="0017780F"/>
    <w:rsid w:val="00194DB1"/>
    <w:rsid w:val="00195EA7"/>
    <w:rsid w:val="001A463B"/>
    <w:rsid w:val="001C1E24"/>
    <w:rsid w:val="001C341E"/>
    <w:rsid w:val="001C3A2C"/>
    <w:rsid w:val="001C7392"/>
    <w:rsid w:val="001C7DB5"/>
    <w:rsid w:val="001D3076"/>
    <w:rsid w:val="001E2AEB"/>
    <w:rsid w:val="001E4A8E"/>
    <w:rsid w:val="001E5418"/>
    <w:rsid w:val="001E561B"/>
    <w:rsid w:val="001E597E"/>
    <w:rsid w:val="001E65E5"/>
    <w:rsid w:val="001E66B7"/>
    <w:rsid w:val="001F4817"/>
    <w:rsid w:val="0020058A"/>
    <w:rsid w:val="0020256E"/>
    <w:rsid w:val="00203379"/>
    <w:rsid w:val="0022792B"/>
    <w:rsid w:val="0023425B"/>
    <w:rsid w:val="00247E05"/>
    <w:rsid w:val="00261940"/>
    <w:rsid w:val="00263932"/>
    <w:rsid w:val="002749FA"/>
    <w:rsid w:val="00276068"/>
    <w:rsid w:val="00290E61"/>
    <w:rsid w:val="00295ADF"/>
    <w:rsid w:val="002A14E6"/>
    <w:rsid w:val="002A3220"/>
    <w:rsid w:val="002A49D8"/>
    <w:rsid w:val="002A6081"/>
    <w:rsid w:val="002A648E"/>
    <w:rsid w:val="002A6908"/>
    <w:rsid w:val="002D68D5"/>
    <w:rsid w:val="002E351E"/>
    <w:rsid w:val="002E35F1"/>
    <w:rsid w:val="002F2C89"/>
    <w:rsid w:val="00306464"/>
    <w:rsid w:val="00321D23"/>
    <w:rsid w:val="00326141"/>
    <w:rsid w:val="00344ABA"/>
    <w:rsid w:val="003470F6"/>
    <w:rsid w:val="00353E47"/>
    <w:rsid w:val="003549E3"/>
    <w:rsid w:val="003557EE"/>
    <w:rsid w:val="00362AD1"/>
    <w:rsid w:val="0037218F"/>
    <w:rsid w:val="00380350"/>
    <w:rsid w:val="00385C99"/>
    <w:rsid w:val="003B0223"/>
    <w:rsid w:val="003B30BE"/>
    <w:rsid w:val="003B36A5"/>
    <w:rsid w:val="003B5494"/>
    <w:rsid w:val="003C20B6"/>
    <w:rsid w:val="003C4B42"/>
    <w:rsid w:val="003D0EA6"/>
    <w:rsid w:val="003D1580"/>
    <w:rsid w:val="003D1B58"/>
    <w:rsid w:val="003D6DF0"/>
    <w:rsid w:val="003E0E98"/>
    <w:rsid w:val="003E19EA"/>
    <w:rsid w:val="003E4D6F"/>
    <w:rsid w:val="003F6A86"/>
    <w:rsid w:val="00401240"/>
    <w:rsid w:val="00401D30"/>
    <w:rsid w:val="00403CE5"/>
    <w:rsid w:val="004079A3"/>
    <w:rsid w:val="00412976"/>
    <w:rsid w:val="00414CCF"/>
    <w:rsid w:val="00420678"/>
    <w:rsid w:val="0042737D"/>
    <w:rsid w:val="004276FF"/>
    <w:rsid w:val="00441138"/>
    <w:rsid w:val="00447C33"/>
    <w:rsid w:val="004515CB"/>
    <w:rsid w:val="004519AD"/>
    <w:rsid w:val="00455B3A"/>
    <w:rsid w:val="004731B3"/>
    <w:rsid w:val="0047731A"/>
    <w:rsid w:val="00487046"/>
    <w:rsid w:val="00490D16"/>
    <w:rsid w:val="0049705B"/>
    <w:rsid w:val="004A45D4"/>
    <w:rsid w:val="004A55B2"/>
    <w:rsid w:val="004A7781"/>
    <w:rsid w:val="004B113A"/>
    <w:rsid w:val="004C74D9"/>
    <w:rsid w:val="004D7F77"/>
    <w:rsid w:val="004E5A43"/>
    <w:rsid w:val="004F4A2F"/>
    <w:rsid w:val="00502E4F"/>
    <w:rsid w:val="00521633"/>
    <w:rsid w:val="00533112"/>
    <w:rsid w:val="00537F58"/>
    <w:rsid w:val="00541FA5"/>
    <w:rsid w:val="005433DA"/>
    <w:rsid w:val="00544F4C"/>
    <w:rsid w:val="00547F6C"/>
    <w:rsid w:val="00564209"/>
    <w:rsid w:val="00567523"/>
    <w:rsid w:val="005701D4"/>
    <w:rsid w:val="00580080"/>
    <w:rsid w:val="005954B0"/>
    <w:rsid w:val="00597BD4"/>
    <w:rsid w:val="005A732E"/>
    <w:rsid w:val="005B44D1"/>
    <w:rsid w:val="005C181D"/>
    <w:rsid w:val="005C506D"/>
    <w:rsid w:val="005D059B"/>
    <w:rsid w:val="005D4B8D"/>
    <w:rsid w:val="005E0ED6"/>
    <w:rsid w:val="005E161E"/>
    <w:rsid w:val="005E2C13"/>
    <w:rsid w:val="005F35AE"/>
    <w:rsid w:val="00601648"/>
    <w:rsid w:val="00602973"/>
    <w:rsid w:val="00602FC7"/>
    <w:rsid w:val="006154AA"/>
    <w:rsid w:val="006168CD"/>
    <w:rsid w:val="0061718D"/>
    <w:rsid w:val="00617338"/>
    <w:rsid w:val="006322E6"/>
    <w:rsid w:val="0063343E"/>
    <w:rsid w:val="0064489E"/>
    <w:rsid w:val="00645908"/>
    <w:rsid w:val="006554E6"/>
    <w:rsid w:val="00655EE0"/>
    <w:rsid w:val="00661D1F"/>
    <w:rsid w:val="00670931"/>
    <w:rsid w:val="00671D70"/>
    <w:rsid w:val="0067243D"/>
    <w:rsid w:val="00674B6D"/>
    <w:rsid w:val="00675E6D"/>
    <w:rsid w:val="0068706A"/>
    <w:rsid w:val="00692393"/>
    <w:rsid w:val="00693B68"/>
    <w:rsid w:val="0069636B"/>
    <w:rsid w:val="006A0B3A"/>
    <w:rsid w:val="006A335B"/>
    <w:rsid w:val="006A575E"/>
    <w:rsid w:val="006A68CB"/>
    <w:rsid w:val="006B23B5"/>
    <w:rsid w:val="006B250B"/>
    <w:rsid w:val="006B47E9"/>
    <w:rsid w:val="006B7624"/>
    <w:rsid w:val="006C08F3"/>
    <w:rsid w:val="006D5E71"/>
    <w:rsid w:val="006D7718"/>
    <w:rsid w:val="006E1A12"/>
    <w:rsid w:val="006E78C2"/>
    <w:rsid w:val="006F55D5"/>
    <w:rsid w:val="00703448"/>
    <w:rsid w:val="00714D8E"/>
    <w:rsid w:val="007154F9"/>
    <w:rsid w:val="0072053C"/>
    <w:rsid w:val="0072450E"/>
    <w:rsid w:val="00725863"/>
    <w:rsid w:val="00734508"/>
    <w:rsid w:val="00740D51"/>
    <w:rsid w:val="00756FFA"/>
    <w:rsid w:val="007632D8"/>
    <w:rsid w:val="0076513B"/>
    <w:rsid w:val="00765368"/>
    <w:rsid w:val="00766E28"/>
    <w:rsid w:val="007707A8"/>
    <w:rsid w:val="00770839"/>
    <w:rsid w:val="00780297"/>
    <w:rsid w:val="00786B20"/>
    <w:rsid w:val="00794B9A"/>
    <w:rsid w:val="007A3143"/>
    <w:rsid w:val="007A3F04"/>
    <w:rsid w:val="007A5543"/>
    <w:rsid w:val="007B6BDC"/>
    <w:rsid w:val="007B72A2"/>
    <w:rsid w:val="007D0EF6"/>
    <w:rsid w:val="007E3B01"/>
    <w:rsid w:val="007E3D17"/>
    <w:rsid w:val="007F4D77"/>
    <w:rsid w:val="007F64E4"/>
    <w:rsid w:val="00802C73"/>
    <w:rsid w:val="00810FF1"/>
    <w:rsid w:val="008131ED"/>
    <w:rsid w:val="008135AD"/>
    <w:rsid w:val="00813755"/>
    <w:rsid w:val="00816867"/>
    <w:rsid w:val="00835D3F"/>
    <w:rsid w:val="0083730C"/>
    <w:rsid w:val="008410F7"/>
    <w:rsid w:val="0084234D"/>
    <w:rsid w:val="00842A1D"/>
    <w:rsid w:val="008450CF"/>
    <w:rsid w:val="008475B4"/>
    <w:rsid w:val="0085417C"/>
    <w:rsid w:val="00863D11"/>
    <w:rsid w:val="00884C9F"/>
    <w:rsid w:val="008C3A1F"/>
    <w:rsid w:val="008D7832"/>
    <w:rsid w:val="008E21A5"/>
    <w:rsid w:val="008E30A6"/>
    <w:rsid w:val="008E5535"/>
    <w:rsid w:val="008E798D"/>
    <w:rsid w:val="008F7826"/>
    <w:rsid w:val="008F7E73"/>
    <w:rsid w:val="00900352"/>
    <w:rsid w:val="00915095"/>
    <w:rsid w:val="00922B1F"/>
    <w:rsid w:val="0092430E"/>
    <w:rsid w:val="00931711"/>
    <w:rsid w:val="00933951"/>
    <w:rsid w:val="009466A4"/>
    <w:rsid w:val="0095254E"/>
    <w:rsid w:val="00953728"/>
    <w:rsid w:val="00955AAA"/>
    <w:rsid w:val="009640CF"/>
    <w:rsid w:val="00971147"/>
    <w:rsid w:val="0097352E"/>
    <w:rsid w:val="009839B5"/>
    <w:rsid w:val="009848BE"/>
    <w:rsid w:val="00990D85"/>
    <w:rsid w:val="00992B11"/>
    <w:rsid w:val="009A3367"/>
    <w:rsid w:val="009B2EF7"/>
    <w:rsid w:val="009B333E"/>
    <w:rsid w:val="009B688A"/>
    <w:rsid w:val="009C2A35"/>
    <w:rsid w:val="009C69D7"/>
    <w:rsid w:val="009D5330"/>
    <w:rsid w:val="009E18F7"/>
    <w:rsid w:val="009F189E"/>
    <w:rsid w:val="009F2CA0"/>
    <w:rsid w:val="009F5055"/>
    <w:rsid w:val="009F70E6"/>
    <w:rsid w:val="009F76F8"/>
    <w:rsid w:val="00A02B71"/>
    <w:rsid w:val="00A07C02"/>
    <w:rsid w:val="00A25839"/>
    <w:rsid w:val="00A3261A"/>
    <w:rsid w:val="00A40599"/>
    <w:rsid w:val="00A41A01"/>
    <w:rsid w:val="00A46855"/>
    <w:rsid w:val="00A62D6C"/>
    <w:rsid w:val="00A644EE"/>
    <w:rsid w:val="00A73E8E"/>
    <w:rsid w:val="00A801A4"/>
    <w:rsid w:val="00A80FD1"/>
    <w:rsid w:val="00A812AE"/>
    <w:rsid w:val="00A86E84"/>
    <w:rsid w:val="00A918B7"/>
    <w:rsid w:val="00A93222"/>
    <w:rsid w:val="00AA5D7B"/>
    <w:rsid w:val="00AB221C"/>
    <w:rsid w:val="00AB611F"/>
    <w:rsid w:val="00AC359D"/>
    <w:rsid w:val="00AD1237"/>
    <w:rsid w:val="00AD22B9"/>
    <w:rsid w:val="00AD3808"/>
    <w:rsid w:val="00AD49D0"/>
    <w:rsid w:val="00AE32BD"/>
    <w:rsid w:val="00AE7FF2"/>
    <w:rsid w:val="00AF511D"/>
    <w:rsid w:val="00B0031C"/>
    <w:rsid w:val="00B04AE2"/>
    <w:rsid w:val="00B05F31"/>
    <w:rsid w:val="00B10686"/>
    <w:rsid w:val="00B1489B"/>
    <w:rsid w:val="00B27BBC"/>
    <w:rsid w:val="00B31353"/>
    <w:rsid w:val="00B402AB"/>
    <w:rsid w:val="00B4374E"/>
    <w:rsid w:val="00B44028"/>
    <w:rsid w:val="00B479F5"/>
    <w:rsid w:val="00B51241"/>
    <w:rsid w:val="00B54764"/>
    <w:rsid w:val="00B76A8D"/>
    <w:rsid w:val="00B85566"/>
    <w:rsid w:val="00B865DB"/>
    <w:rsid w:val="00B90E91"/>
    <w:rsid w:val="00B974C7"/>
    <w:rsid w:val="00BA4693"/>
    <w:rsid w:val="00BA6453"/>
    <w:rsid w:val="00BB29DD"/>
    <w:rsid w:val="00BB3081"/>
    <w:rsid w:val="00BB5780"/>
    <w:rsid w:val="00BB67D1"/>
    <w:rsid w:val="00BD26C3"/>
    <w:rsid w:val="00BD3A5E"/>
    <w:rsid w:val="00BE6091"/>
    <w:rsid w:val="00BF02FA"/>
    <w:rsid w:val="00BF3700"/>
    <w:rsid w:val="00C0011C"/>
    <w:rsid w:val="00C07A21"/>
    <w:rsid w:val="00C07D94"/>
    <w:rsid w:val="00C136CE"/>
    <w:rsid w:val="00C14295"/>
    <w:rsid w:val="00C20E1A"/>
    <w:rsid w:val="00C2154E"/>
    <w:rsid w:val="00C216D1"/>
    <w:rsid w:val="00C42F79"/>
    <w:rsid w:val="00C442C0"/>
    <w:rsid w:val="00C4522C"/>
    <w:rsid w:val="00C469C2"/>
    <w:rsid w:val="00C57B91"/>
    <w:rsid w:val="00C60B9E"/>
    <w:rsid w:val="00C66536"/>
    <w:rsid w:val="00C91554"/>
    <w:rsid w:val="00C9290D"/>
    <w:rsid w:val="00C9685C"/>
    <w:rsid w:val="00CA01CD"/>
    <w:rsid w:val="00CA18D6"/>
    <w:rsid w:val="00CB7B70"/>
    <w:rsid w:val="00CC13CE"/>
    <w:rsid w:val="00CD0E05"/>
    <w:rsid w:val="00CD124F"/>
    <w:rsid w:val="00CD34F5"/>
    <w:rsid w:val="00CE059F"/>
    <w:rsid w:val="00CE1040"/>
    <w:rsid w:val="00D072FD"/>
    <w:rsid w:val="00D315A0"/>
    <w:rsid w:val="00D44E90"/>
    <w:rsid w:val="00D558ED"/>
    <w:rsid w:val="00D62216"/>
    <w:rsid w:val="00D66F40"/>
    <w:rsid w:val="00D84C38"/>
    <w:rsid w:val="00D87BF7"/>
    <w:rsid w:val="00D9069C"/>
    <w:rsid w:val="00DA2144"/>
    <w:rsid w:val="00DA31F8"/>
    <w:rsid w:val="00DA4EDB"/>
    <w:rsid w:val="00DB4DA3"/>
    <w:rsid w:val="00DB7EFE"/>
    <w:rsid w:val="00DC351F"/>
    <w:rsid w:val="00DC3AAB"/>
    <w:rsid w:val="00DC4FC1"/>
    <w:rsid w:val="00DD3C63"/>
    <w:rsid w:val="00DE34CD"/>
    <w:rsid w:val="00DE4709"/>
    <w:rsid w:val="00DE6980"/>
    <w:rsid w:val="00DF2D49"/>
    <w:rsid w:val="00E048FA"/>
    <w:rsid w:val="00E10158"/>
    <w:rsid w:val="00E13BD1"/>
    <w:rsid w:val="00E206C7"/>
    <w:rsid w:val="00E24431"/>
    <w:rsid w:val="00E27A85"/>
    <w:rsid w:val="00E3323C"/>
    <w:rsid w:val="00E34A03"/>
    <w:rsid w:val="00E34B9A"/>
    <w:rsid w:val="00E411C7"/>
    <w:rsid w:val="00E47A9C"/>
    <w:rsid w:val="00E53152"/>
    <w:rsid w:val="00E569F2"/>
    <w:rsid w:val="00E66140"/>
    <w:rsid w:val="00E83281"/>
    <w:rsid w:val="00E847BE"/>
    <w:rsid w:val="00E92650"/>
    <w:rsid w:val="00E95DA2"/>
    <w:rsid w:val="00EB200C"/>
    <w:rsid w:val="00EB4287"/>
    <w:rsid w:val="00EB7859"/>
    <w:rsid w:val="00EC0B89"/>
    <w:rsid w:val="00EC1818"/>
    <w:rsid w:val="00EC6910"/>
    <w:rsid w:val="00EC6BE9"/>
    <w:rsid w:val="00EE07D5"/>
    <w:rsid w:val="00EE6362"/>
    <w:rsid w:val="00EF4704"/>
    <w:rsid w:val="00EF79D8"/>
    <w:rsid w:val="00F0027A"/>
    <w:rsid w:val="00F17094"/>
    <w:rsid w:val="00F24E72"/>
    <w:rsid w:val="00F3132B"/>
    <w:rsid w:val="00F40642"/>
    <w:rsid w:val="00F474FB"/>
    <w:rsid w:val="00F6429D"/>
    <w:rsid w:val="00F77F37"/>
    <w:rsid w:val="00F83E4A"/>
    <w:rsid w:val="00F92617"/>
    <w:rsid w:val="00F954D5"/>
    <w:rsid w:val="00F973D8"/>
    <w:rsid w:val="00F97593"/>
    <w:rsid w:val="00FA3EA4"/>
    <w:rsid w:val="00FA56E8"/>
    <w:rsid w:val="00FB62CB"/>
    <w:rsid w:val="00FC31BA"/>
    <w:rsid w:val="00FC4364"/>
    <w:rsid w:val="00FD397A"/>
    <w:rsid w:val="00FE24F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600505"/>
  <w15:chartTrackingRefBased/>
  <w15:docId w15:val="{1EE5C3E7-3DEA-4C32-815D-34FAB1CEA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90D"/>
    <w:pPr>
      <w:spacing w:line="260" w:lineRule="atLeast"/>
      <w:jc w:val="both"/>
    </w:pPr>
    <w:rPr>
      <w:rFonts w:ascii="Palatino Linotype" w:hAnsi="Palatino Linotype"/>
      <w:noProof/>
      <w:color w:val="000000"/>
    </w:rPr>
  </w:style>
  <w:style w:type="paragraph" w:styleId="Heading1">
    <w:name w:val="heading 1"/>
    <w:basedOn w:val="Normal"/>
    <w:next w:val="Normal"/>
    <w:link w:val="Heading1Char"/>
    <w:uiPriority w:val="9"/>
    <w:qFormat/>
    <w:rsid w:val="000F7881"/>
    <w:pPr>
      <w:keepNext/>
      <w:keepLines/>
      <w:numPr>
        <w:numId w:val="24"/>
      </w:numPr>
      <w:spacing w:before="240" w:after="180" w:line="276" w:lineRule="auto"/>
      <w:outlineLvl w:val="0"/>
    </w:pPr>
    <w:rPr>
      <w:rFonts w:ascii="Arial" w:eastAsiaTheme="majorEastAsia" w:hAnsi="Arial" w:cstheme="majorBidi"/>
      <w:b/>
      <w:noProof w:val="0"/>
      <w:color w:val="auto"/>
      <w:sz w:val="32"/>
      <w:szCs w:val="32"/>
      <w:lang w:eastAsia="en-US"/>
    </w:rPr>
  </w:style>
  <w:style w:type="paragraph" w:styleId="Heading2">
    <w:name w:val="heading 2"/>
    <w:basedOn w:val="Normal"/>
    <w:next w:val="Normal"/>
    <w:link w:val="Heading2Char"/>
    <w:uiPriority w:val="9"/>
    <w:unhideWhenUsed/>
    <w:qFormat/>
    <w:rsid w:val="000F7881"/>
    <w:pPr>
      <w:keepNext/>
      <w:keepLines/>
      <w:numPr>
        <w:ilvl w:val="1"/>
        <w:numId w:val="24"/>
      </w:numPr>
      <w:tabs>
        <w:tab w:val="clear" w:pos="1304"/>
        <w:tab w:val="num" w:pos="709"/>
      </w:tabs>
      <w:spacing w:before="40" w:line="276" w:lineRule="auto"/>
      <w:outlineLvl w:val="1"/>
    </w:pPr>
    <w:rPr>
      <w:rFonts w:asciiTheme="majorHAnsi" w:eastAsiaTheme="majorEastAsia" w:hAnsiTheme="majorHAnsi" w:cstheme="majorBidi"/>
      <w:b/>
      <w:bCs/>
      <w:noProof w:val="0"/>
      <w:color w:val="auto"/>
      <w:sz w:val="26"/>
      <w:szCs w:val="26"/>
      <w:lang w:eastAsia="en-US"/>
    </w:rPr>
  </w:style>
  <w:style w:type="paragraph" w:styleId="Heading3">
    <w:name w:val="heading 3"/>
    <w:basedOn w:val="Normal"/>
    <w:next w:val="Normal"/>
    <w:link w:val="Heading3Char"/>
    <w:uiPriority w:val="9"/>
    <w:unhideWhenUsed/>
    <w:qFormat/>
    <w:rsid w:val="000F7881"/>
    <w:pPr>
      <w:keepNext/>
      <w:keepLines/>
      <w:numPr>
        <w:ilvl w:val="2"/>
        <w:numId w:val="24"/>
      </w:numPr>
      <w:tabs>
        <w:tab w:val="clear" w:pos="1304"/>
        <w:tab w:val="num" w:pos="709"/>
      </w:tabs>
      <w:spacing w:before="40" w:after="120" w:line="276" w:lineRule="auto"/>
      <w:outlineLvl w:val="2"/>
    </w:pPr>
    <w:rPr>
      <w:rFonts w:asciiTheme="majorHAnsi" w:eastAsiaTheme="majorEastAsia" w:hAnsiTheme="majorHAnsi" w:cstheme="majorBidi"/>
      <w:b/>
      <w:bCs/>
      <w:noProof w:val="0"/>
      <w:color w:val="auto"/>
      <w:sz w:val="24"/>
      <w:szCs w:val="24"/>
      <w:lang w:eastAsia="en-US"/>
    </w:rPr>
  </w:style>
  <w:style w:type="paragraph" w:styleId="Heading4">
    <w:name w:val="heading 4"/>
    <w:basedOn w:val="Normal"/>
    <w:next w:val="Normal"/>
    <w:link w:val="Heading4Char"/>
    <w:uiPriority w:val="9"/>
    <w:semiHidden/>
    <w:unhideWhenUsed/>
    <w:qFormat/>
    <w:rsid w:val="000F7881"/>
    <w:pPr>
      <w:keepNext/>
      <w:keepLines/>
      <w:numPr>
        <w:ilvl w:val="3"/>
        <w:numId w:val="24"/>
      </w:numPr>
      <w:spacing w:before="40" w:line="276" w:lineRule="auto"/>
      <w:outlineLvl w:val="3"/>
    </w:pPr>
    <w:rPr>
      <w:rFonts w:asciiTheme="majorHAnsi" w:eastAsiaTheme="majorEastAsia" w:hAnsiTheme="majorHAnsi" w:cstheme="majorBidi"/>
      <w:i/>
      <w:iCs/>
      <w:noProof w:val="0"/>
      <w:color w:val="2F5496" w:themeColor="accent1" w:themeShade="BF"/>
      <w:sz w:val="24"/>
      <w:lang w:eastAsia="en-US"/>
    </w:rPr>
  </w:style>
  <w:style w:type="paragraph" w:styleId="Heading5">
    <w:name w:val="heading 5"/>
    <w:basedOn w:val="Normal"/>
    <w:next w:val="Normal"/>
    <w:link w:val="Heading5Char"/>
    <w:uiPriority w:val="9"/>
    <w:semiHidden/>
    <w:unhideWhenUsed/>
    <w:qFormat/>
    <w:rsid w:val="000F7881"/>
    <w:pPr>
      <w:keepNext/>
      <w:keepLines/>
      <w:numPr>
        <w:ilvl w:val="4"/>
        <w:numId w:val="24"/>
      </w:numPr>
      <w:spacing w:before="40" w:line="276" w:lineRule="auto"/>
      <w:outlineLvl w:val="4"/>
    </w:pPr>
    <w:rPr>
      <w:rFonts w:asciiTheme="majorHAnsi" w:eastAsiaTheme="majorEastAsia" w:hAnsiTheme="majorHAnsi" w:cstheme="majorBidi"/>
      <w:noProof w:val="0"/>
      <w:color w:val="2F5496" w:themeColor="accent1" w:themeShade="BF"/>
      <w:sz w:val="24"/>
      <w:lang w:eastAsia="en-US"/>
    </w:rPr>
  </w:style>
  <w:style w:type="paragraph" w:styleId="Heading6">
    <w:name w:val="heading 6"/>
    <w:basedOn w:val="Normal"/>
    <w:next w:val="Normal"/>
    <w:link w:val="Heading6Char"/>
    <w:uiPriority w:val="9"/>
    <w:semiHidden/>
    <w:unhideWhenUsed/>
    <w:qFormat/>
    <w:rsid w:val="000F7881"/>
    <w:pPr>
      <w:keepNext/>
      <w:keepLines/>
      <w:numPr>
        <w:ilvl w:val="5"/>
        <w:numId w:val="24"/>
      </w:numPr>
      <w:spacing w:before="40" w:line="276" w:lineRule="auto"/>
      <w:outlineLvl w:val="5"/>
    </w:pPr>
    <w:rPr>
      <w:rFonts w:asciiTheme="majorHAnsi" w:eastAsiaTheme="majorEastAsia" w:hAnsiTheme="majorHAnsi" w:cstheme="majorBidi"/>
      <w:noProof w:val="0"/>
      <w:color w:val="1F3763" w:themeColor="accent1" w:themeShade="7F"/>
      <w:sz w:val="24"/>
      <w:lang w:eastAsia="en-US"/>
    </w:rPr>
  </w:style>
  <w:style w:type="paragraph" w:styleId="Heading7">
    <w:name w:val="heading 7"/>
    <w:basedOn w:val="Normal"/>
    <w:next w:val="Normal"/>
    <w:link w:val="Heading7Char"/>
    <w:uiPriority w:val="9"/>
    <w:semiHidden/>
    <w:unhideWhenUsed/>
    <w:qFormat/>
    <w:rsid w:val="000F7881"/>
    <w:pPr>
      <w:keepNext/>
      <w:keepLines/>
      <w:numPr>
        <w:ilvl w:val="6"/>
        <w:numId w:val="24"/>
      </w:numPr>
      <w:spacing w:before="40" w:line="276" w:lineRule="auto"/>
      <w:outlineLvl w:val="6"/>
    </w:pPr>
    <w:rPr>
      <w:rFonts w:asciiTheme="majorHAnsi" w:eastAsiaTheme="majorEastAsia" w:hAnsiTheme="majorHAnsi" w:cstheme="majorBidi"/>
      <w:i/>
      <w:iCs/>
      <w:noProof w:val="0"/>
      <w:color w:val="1F3763" w:themeColor="accent1" w:themeShade="7F"/>
      <w:sz w:val="24"/>
      <w:lang w:eastAsia="en-US"/>
    </w:rPr>
  </w:style>
  <w:style w:type="paragraph" w:styleId="Heading8">
    <w:name w:val="heading 8"/>
    <w:basedOn w:val="Normal"/>
    <w:next w:val="Normal"/>
    <w:link w:val="Heading8Char"/>
    <w:uiPriority w:val="9"/>
    <w:semiHidden/>
    <w:unhideWhenUsed/>
    <w:qFormat/>
    <w:rsid w:val="000F7881"/>
    <w:pPr>
      <w:keepNext/>
      <w:keepLines/>
      <w:numPr>
        <w:ilvl w:val="7"/>
        <w:numId w:val="24"/>
      </w:numPr>
      <w:spacing w:before="40" w:line="276" w:lineRule="auto"/>
      <w:outlineLvl w:val="7"/>
    </w:pPr>
    <w:rPr>
      <w:rFonts w:asciiTheme="majorHAnsi" w:eastAsiaTheme="majorEastAsia" w:hAnsiTheme="majorHAnsi" w:cstheme="majorBidi"/>
      <w:noProof w:val="0"/>
      <w:color w:val="272727" w:themeColor="text1" w:themeTint="D8"/>
      <w:sz w:val="21"/>
      <w:szCs w:val="21"/>
      <w:lang w:eastAsia="en-US"/>
    </w:rPr>
  </w:style>
  <w:style w:type="paragraph" w:styleId="Heading9">
    <w:name w:val="heading 9"/>
    <w:basedOn w:val="Normal"/>
    <w:next w:val="Normal"/>
    <w:link w:val="Heading9Char"/>
    <w:uiPriority w:val="9"/>
    <w:semiHidden/>
    <w:unhideWhenUsed/>
    <w:qFormat/>
    <w:rsid w:val="000F7881"/>
    <w:pPr>
      <w:keepNext/>
      <w:keepLines/>
      <w:numPr>
        <w:ilvl w:val="8"/>
        <w:numId w:val="24"/>
      </w:numPr>
      <w:spacing w:before="40" w:line="276" w:lineRule="auto"/>
      <w:outlineLvl w:val="8"/>
    </w:pPr>
    <w:rPr>
      <w:rFonts w:asciiTheme="majorHAnsi" w:eastAsiaTheme="majorEastAsia" w:hAnsiTheme="majorHAnsi" w:cstheme="majorBidi"/>
      <w:i/>
      <w:iCs/>
      <w:noProof w:val="0"/>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C9290D"/>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C9290D"/>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C9290D"/>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C9290D"/>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C9290D"/>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C9290D"/>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C9290D"/>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C9290D"/>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paragraph" w:styleId="Footer">
    <w:name w:val="footer"/>
    <w:basedOn w:val="Normal"/>
    <w:link w:val="FooterChar"/>
    <w:uiPriority w:val="99"/>
    <w:rsid w:val="00C9290D"/>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C9290D"/>
    <w:rPr>
      <w:rFonts w:ascii="Palatino Linotype" w:hAnsi="Palatino Linotype"/>
      <w:noProof/>
      <w:color w:val="000000"/>
      <w:szCs w:val="18"/>
    </w:rPr>
  </w:style>
  <w:style w:type="paragraph" w:styleId="Header">
    <w:name w:val="header"/>
    <w:basedOn w:val="Normal"/>
    <w:link w:val="HeaderChar"/>
    <w:uiPriority w:val="99"/>
    <w:rsid w:val="00C9290D"/>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C9290D"/>
    <w:rPr>
      <w:rFonts w:ascii="Palatino Linotype" w:hAnsi="Palatino Linotype"/>
      <w:noProof/>
      <w:color w:val="000000"/>
      <w:szCs w:val="18"/>
    </w:rPr>
  </w:style>
  <w:style w:type="paragraph" w:customStyle="1" w:styleId="MDPIheaderjournallogo">
    <w:name w:val="MDPI_header_journal_logo"/>
    <w:qFormat/>
    <w:rsid w:val="00C9290D"/>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C9290D"/>
    <w:pPr>
      <w:ind w:firstLine="0"/>
    </w:pPr>
  </w:style>
  <w:style w:type="paragraph" w:customStyle="1" w:styleId="MDPI31text">
    <w:name w:val="MDPI_3.1_text"/>
    <w:qFormat/>
    <w:rsid w:val="00BB5780"/>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C9290D"/>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C9290D"/>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C9290D"/>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C9290D"/>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8135AD"/>
    <w:pPr>
      <w:numPr>
        <w:numId w:val="22"/>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8135AD"/>
    <w:pPr>
      <w:numPr>
        <w:numId w:val="20"/>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C9290D"/>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C9290D"/>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C9290D"/>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B865DB"/>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C9290D"/>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C9290D"/>
    <w:pPr>
      <w:adjustRightInd w:val="0"/>
      <w:snapToGrid w:val="0"/>
      <w:spacing w:before="120" w:after="240" w:line="228" w:lineRule="auto"/>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C9290D"/>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C9290D"/>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C9290D"/>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C9290D"/>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C9290D"/>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C9290D"/>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C9290D"/>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1D3076"/>
    <w:pPr>
      <w:numPr>
        <w:numId w:val="23"/>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C9290D"/>
    <w:rPr>
      <w:rFonts w:cs="Tahoma"/>
      <w:szCs w:val="18"/>
    </w:rPr>
  </w:style>
  <w:style w:type="character" w:customStyle="1" w:styleId="BalloonTextChar">
    <w:name w:val="Balloon Text Char"/>
    <w:link w:val="BalloonText"/>
    <w:uiPriority w:val="99"/>
    <w:rsid w:val="00C9290D"/>
    <w:rPr>
      <w:rFonts w:ascii="Palatino Linotype" w:hAnsi="Palatino Linotype" w:cs="Tahoma"/>
      <w:noProof/>
      <w:color w:val="000000"/>
      <w:szCs w:val="18"/>
    </w:rPr>
  </w:style>
  <w:style w:type="character" w:styleId="LineNumber">
    <w:name w:val="line number"/>
    <w:uiPriority w:val="99"/>
    <w:rsid w:val="006E1A12"/>
    <w:rPr>
      <w:rFonts w:ascii="Palatino Linotype" w:hAnsi="Palatino Linotype"/>
      <w:sz w:val="16"/>
    </w:rPr>
  </w:style>
  <w:style w:type="table" w:customStyle="1" w:styleId="MDPI41threelinetable">
    <w:name w:val="MDPI_4.1_three_line_table"/>
    <w:basedOn w:val="TableNormal"/>
    <w:uiPriority w:val="99"/>
    <w:rsid w:val="00C9290D"/>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C9290D"/>
    <w:rPr>
      <w:color w:val="0000FF"/>
      <w:u w:val="single"/>
    </w:rPr>
  </w:style>
  <w:style w:type="character" w:styleId="UnresolvedMention">
    <w:name w:val="Unresolved Mention"/>
    <w:uiPriority w:val="99"/>
    <w:semiHidden/>
    <w:unhideWhenUsed/>
    <w:rsid w:val="00FB62CB"/>
    <w:rPr>
      <w:color w:val="605E5C"/>
      <w:shd w:val="clear" w:color="auto" w:fill="E1DFDD"/>
    </w:rPr>
  </w:style>
  <w:style w:type="table" w:styleId="TableGrid">
    <w:name w:val="Table Grid"/>
    <w:basedOn w:val="TableNormal"/>
    <w:uiPriority w:val="59"/>
    <w:rsid w:val="00C9290D"/>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E847B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C9290D"/>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C9290D"/>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C9290D"/>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3B36A5"/>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C9290D"/>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C9290D"/>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C9290D"/>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C9290D"/>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C9290D"/>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C9290D"/>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C9290D"/>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C9290D"/>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C9290D"/>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C9290D"/>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C9290D"/>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C9290D"/>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C9290D"/>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C9290D"/>
  </w:style>
  <w:style w:type="paragraph" w:styleId="Bibliography">
    <w:name w:val="Bibliography"/>
    <w:basedOn w:val="Normal"/>
    <w:next w:val="Normal"/>
    <w:uiPriority w:val="37"/>
    <w:semiHidden/>
    <w:unhideWhenUsed/>
    <w:rsid w:val="00C9290D"/>
  </w:style>
  <w:style w:type="paragraph" w:styleId="BodyText">
    <w:name w:val="Body Text"/>
    <w:link w:val="BodyTextChar"/>
    <w:rsid w:val="00C9290D"/>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C9290D"/>
    <w:rPr>
      <w:rFonts w:ascii="Palatino Linotype" w:hAnsi="Palatino Linotype"/>
      <w:color w:val="000000"/>
      <w:sz w:val="24"/>
      <w:lang w:eastAsia="de-DE"/>
    </w:rPr>
  </w:style>
  <w:style w:type="character" w:styleId="CommentReference">
    <w:name w:val="annotation reference"/>
    <w:rsid w:val="00C9290D"/>
    <w:rPr>
      <w:sz w:val="21"/>
      <w:szCs w:val="21"/>
    </w:rPr>
  </w:style>
  <w:style w:type="paragraph" w:styleId="CommentText">
    <w:name w:val="annotation text"/>
    <w:basedOn w:val="Normal"/>
    <w:link w:val="CommentTextChar"/>
    <w:rsid w:val="00C9290D"/>
  </w:style>
  <w:style w:type="character" w:customStyle="1" w:styleId="CommentTextChar">
    <w:name w:val="Comment Text Char"/>
    <w:link w:val="CommentText"/>
    <w:rsid w:val="00C9290D"/>
    <w:rPr>
      <w:rFonts w:ascii="Palatino Linotype" w:hAnsi="Palatino Linotype"/>
      <w:noProof/>
      <w:color w:val="000000"/>
    </w:rPr>
  </w:style>
  <w:style w:type="paragraph" w:styleId="CommentSubject">
    <w:name w:val="annotation subject"/>
    <w:basedOn w:val="CommentText"/>
    <w:next w:val="CommentText"/>
    <w:link w:val="CommentSubjectChar"/>
    <w:rsid w:val="00C9290D"/>
    <w:rPr>
      <w:b/>
      <w:bCs/>
    </w:rPr>
  </w:style>
  <w:style w:type="character" w:customStyle="1" w:styleId="CommentSubjectChar">
    <w:name w:val="Comment Subject Char"/>
    <w:link w:val="CommentSubject"/>
    <w:rsid w:val="00C9290D"/>
    <w:rPr>
      <w:rFonts w:ascii="Palatino Linotype" w:hAnsi="Palatino Linotype"/>
      <w:b/>
      <w:bCs/>
      <w:noProof/>
      <w:color w:val="000000"/>
    </w:rPr>
  </w:style>
  <w:style w:type="character" w:styleId="EndnoteReference">
    <w:name w:val="endnote reference"/>
    <w:rsid w:val="00C9290D"/>
    <w:rPr>
      <w:vertAlign w:val="superscript"/>
    </w:rPr>
  </w:style>
  <w:style w:type="paragraph" w:styleId="EndnoteText">
    <w:name w:val="endnote text"/>
    <w:basedOn w:val="Normal"/>
    <w:link w:val="EndnoteTextChar"/>
    <w:semiHidden/>
    <w:unhideWhenUsed/>
    <w:rsid w:val="00C9290D"/>
    <w:pPr>
      <w:spacing w:line="240" w:lineRule="auto"/>
    </w:pPr>
  </w:style>
  <w:style w:type="character" w:customStyle="1" w:styleId="EndnoteTextChar">
    <w:name w:val="Endnote Text Char"/>
    <w:link w:val="EndnoteText"/>
    <w:semiHidden/>
    <w:rsid w:val="00C9290D"/>
    <w:rPr>
      <w:rFonts w:ascii="Palatino Linotype" w:hAnsi="Palatino Linotype"/>
      <w:noProof/>
      <w:color w:val="000000"/>
    </w:rPr>
  </w:style>
  <w:style w:type="character" w:styleId="FollowedHyperlink">
    <w:name w:val="FollowedHyperlink"/>
    <w:rsid w:val="00C9290D"/>
    <w:rPr>
      <w:color w:val="954F72"/>
      <w:u w:val="single"/>
    </w:rPr>
  </w:style>
  <w:style w:type="paragraph" w:styleId="FootnoteText">
    <w:name w:val="footnote text"/>
    <w:basedOn w:val="Normal"/>
    <w:link w:val="FootnoteTextChar"/>
    <w:semiHidden/>
    <w:unhideWhenUsed/>
    <w:rsid w:val="00C9290D"/>
    <w:pPr>
      <w:spacing w:line="240" w:lineRule="auto"/>
    </w:pPr>
  </w:style>
  <w:style w:type="character" w:customStyle="1" w:styleId="FootnoteTextChar">
    <w:name w:val="Footnote Text Char"/>
    <w:link w:val="FootnoteText"/>
    <w:semiHidden/>
    <w:rsid w:val="00C9290D"/>
    <w:rPr>
      <w:rFonts w:ascii="Palatino Linotype" w:hAnsi="Palatino Linotype"/>
      <w:noProof/>
      <w:color w:val="000000"/>
    </w:rPr>
  </w:style>
  <w:style w:type="paragraph" w:styleId="NormalWeb">
    <w:name w:val="Normal (Web)"/>
    <w:basedOn w:val="Normal"/>
    <w:uiPriority w:val="99"/>
    <w:rsid w:val="00C9290D"/>
    <w:rPr>
      <w:szCs w:val="24"/>
    </w:rPr>
  </w:style>
  <w:style w:type="paragraph" w:customStyle="1" w:styleId="MsoFootnoteText0">
    <w:name w:val="MsoFootnoteText"/>
    <w:basedOn w:val="NormalWeb"/>
    <w:qFormat/>
    <w:rsid w:val="00C9290D"/>
    <w:rPr>
      <w:rFonts w:ascii="Times New Roman" w:hAnsi="Times New Roman"/>
    </w:rPr>
  </w:style>
  <w:style w:type="character" w:styleId="PageNumber">
    <w:name w:val="page number"/>
    <w:rsid w:val="00C9290D"/>
  </w:style>
  <w:style w:type="character" w:styleId="PlaceholderText">
    <w:name w:val="Placeholder Text"/>
    <w:uiPriority w:val="99"/>
    <w:semiHidden/>
    <w:rsid w:val="00C9290D"/>
    <w:rPr>
      <w:color w:val="808080"/>
    </w:rPr>
  </w:style>
  <w:style w:type="paragraph" w:customStyle="1" w:styleId="MDPI71FootNotes">
    <w:name w:val="MDPI_7.1_FootNotes"/>
    <w:qFormat/>
    <w:rsid w:val="00FD397A"/>
    <w:pPr>
      <w:numPr>
        <w:numId w:val="21"/>
      </w:numPr>
      <w:adjustRightInd w:val="0"/>
      <w:snapToGrid w:val="0"/>
      <w:spacing w:line="228" w:lineRule="auto"/>
    </w:pPr>
    <w:rPr>
      <w:rFonts w:ascii="Palatino Linotype" w:eastAsiaTheme="minorEastAsia" w:hAnsi="Palatino Linotype"/>
      <w:noProof/>
      <w:color w:val="000000"/>
      <w:sz w:val="18"/>
    </w:rPr>
  </w:style>
  <w:style w:type="character" w:customStyle="1" w:styleId="Heading1Char">
    <w:name w:val="Heading 1 Char"/>
    <w:basedOn w:val="DefaultParagraphFont"/>
    <w:link w:val="Heading1"/>
    <w:uiPriority w:val="9"/>
    <w:rsid w:val="000F7881"/>
    <w:rPr>
      <w:rFonts w:ascii="Arial" w:eastAsiaTheme="majorEastAsia" w:hAnsi="Arial" w:cstheme="majorBidi"/>
      <w:b/>
      <w:sz w:val="32"/>
      <w:szCs w:val="32"/>
      <w:lang w:eastAsia="en-US"/>
    </w:rPr>
  </w:style>
  <w:style w:type="character" w:customStyle="1" w:styleId="Heading2Char">
    <w:name w:val="Heading 2 Char"/>
    <w:basedOn w:val="DefaultParagraphFont"/>
    <w:link w:val="Heading2"/>
    <w:uiPriority w:val="9"/>
    <w:rsid w:val="000F7881"/>
    <w:rPr>
      <w:rFonts w:asciiTheme="majorHAnsi" w:eastAsiaTheme="majorEastAsia" w:hAnsiTheme="majorHAnsi" w:cstheme="majorBidi"/>
      <w:b/>
      <w:bCs/>
      <w:sz w:val="26"/>
      <w:szCs w:val="26"/>
      <w:lang w:eastAsia="en-US"/>
    </w:rPr>
  </w:style>
  <w:style w:type="character" w:customStyle="1" w:styleId="Heading3Char">
    <w:name w:val="Heading 3 Char"/>
    <w:basedOn w:val="DefaultParagraphFont"/>
    <w:link w:val="Heading3"/>
    <w:uiPriority w:val="9"/>
    <w:rsid w:val="000F7881"/>
    <w:rPr>
      <w:rFonts w:asciiTheme="majorHAnsi" w:eastAsiaTheme="majorEastAsia" w:hAnsiTheme="majorHAnsi" w:cstheme="majorBidi"/>
      <w:b/>
      <w:bCs/>
      <w:sz w:val="24"/>
      <w:szCs w:val="24"/>
      <w:lang w:eastAsia="en-US"/>
    </w:rPr>
  </w:style>
  <w:style w:type="character" w:customStyle="1" w:styleId="Heading4Char">
    <w:name w:val="Heading 4 Char"/>
    <w:basedOn w:val="DefaultParagraphFont"/>
    <w:link w:val="Heading4"/>
    <w:uiPriority w:val="9"/>
    <w:semiHidden/>
    <w:rsid w:val="000F7881"/>
    <w:rPr>
      <w:rFonts w:asciiTheme="majorHAnsi" w:eastAsiaTheme="majorEastAsia" w:hAnsiTheme="majorHAnsi" w:cstheme="majorBidi"/>
      <w:i/>
      <w:iCs/>
      <w:color w:val="2F5496" w:themeColor="accent1" w:themeShade="BF"/>
      <w:sz w:val="24"/>
      <w:lang w:eastAsia="en-US"/>
    </w:rPr>
  </w:style>
  <w:style w:type="character" w:customStyle="1" w:styleId="Heading5Char">
    <w:name w:val="Heading 5 Char"/>
    <w:basedOn w:val="DefaultParagraphFont"/>
    <w:link w:val="Heading5"/>
    <w:uiPriority w:val="9"/>
    <w:semiHidden/>
    <w:rsid w:val="000F7881"/>
    <w:rPr>
      <w:rFonts w:asciiTheme="majorHAnsi" w:eastAsiaTheme="majorEastAsia" w:hAnsiTheme="majorHAnsi" w:cstheme="majorBidi"/>
      <w:color w:val="2F5496" w:themeColor="accent1" w:themeShade="BF"/>
      <w:sz w:val="24"/>
      <w:lang w:eastAsia="en-US"/>
    </w:rPr>
  </w:style>
  <w:style w:type="character" w:customStyle="1" w:styleId="Heading6Char">
    <w:name w:val="Heading 6 Char"/>
    <w:basedOn w:val="DefaultParagraphFont"/>
    <w:link w:val="Heading6"/>
    <w:uiPriority w:val="9"/>
    <w:semiHidden/>
    <w:rsid w:val="000F7881"/>
    <w:rPr>
      <w:rFonts w:asciiTheme="majorHAnsi" w:eastAsiaTheme="majorEastAsia" w:hAnsiTheme="majorHAnsi" w:cstheme="majorBidi"/>
      <w:color w:val="1F3763" w:themeColor="accent1" w:themeShade="7F"/>
      <w:sz w:val="24"/>
      <w:lang w:eastAsia="en-US"/>
    </w:rPr>
  </w:style>
  <w:style w:type="character" w:customStyle="1" w:styleId="Heading7Char">
    <w:name w:val="Heading 7 Char"/>
    <w:basedOn w:val="DefaultParagraphFont"/>
    <w:link w:val="Heading7"/>
    <w:uiPriority w:val="9"/>
    <w:semiHidden/>
    <w:rsid w:val="000F7881"/>
    <w:rPr>
      <w:rFonts w:asciiTheme="majorHAnsi" w:eastAsiaTheme="majorEastAsia" w:hAnsiTheme="majorHAnsi" w:cstheme="majorBidi"/>
      <w:i/>
      <w:iCs/>
      <w:color w:val="1F3763" w:themeColor="accent1" w:themeShade="7F"/>
      <w:sz w:val="24"/>
      <w:lang w:eastAsia="en-US"/>
    </w:rPr>
  </w:style>
  <w:style w:type="character" w:customStyle="1" w:styleId="Heading8Char">
    <w:name w:val="Heading 8 Char"/>
    <w:basedOn w:val="DefaultParagraphFont"/>
    <w:link w:val="Heading8"/>
    <w:uiPriority w:val="9"/>
    <w:semiHidden/>
    <w:rsid w:val="000F7881"/>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0F7881"/>
    <w:rPr>
      <w:rFonts w:asciiTheme="majorHAnsi" w:eastAsiaTheme="majorEastAsia" w:hAnsiTheme="majorHAnsi" w:cstheme="majorBidi"/>
      <w:i/>
      <w:iCs/>
      <w:color w:val="272727" w:themeColor="text1" w:themeTint="D8"/>
      <w:sz w:val="21"/>
      <w:szCs w:val="21"/>
      <w:lang w:eastAsia="en-US"/>
    </w:rPr>
  </w:style>
  <w:style w:type="table" w:customStyle="1" w:styleId="LightShading1">
    <w:name w:val="Light Shading1"/>
    <w:basedOn w:val="TableNormal"/>
    <w:uiPriority w:val="60"/>
    <w:rsid w:val="0063343E"/>
    <w:rPr>
      <w:rFonts w:eastAsia="Times New Roman"/>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740042">
      <w:bodyDiv w:val="1"/>
      <w:marLeft w:val="0"/>
      <w:marRight w:val="0"/>
      <w:marTop w:val="0"/>
      <w:marBottom w:val="0"/>
      <w:divBdr>
        <w:top w:val="none" w:sz="0" w:space="0" w:color="auto"/>
        <w:left w:val="none" w:sz="0" w:space="0" w:color="auto"/>
        <w:bottom w:val="none" w:sz="0" w:space="0" w:color="auto"/>
        <w:right w:val="none" w:sz="0" w:space="0" w:color="auto"/>
      </w:divBdr>
      <w:divsChild>
        <w:div w:id="950471752">
          <w:marLeft w:val="0"/>
          <w:marRight w:val="0"/>
          <w:marTop w:val="0"/>
          <w:marBottom w:val="0"/>
          <w:divBdr>
            <w:top w:val="none" w:sz="0" w:space="0" w:color="auto"/>
            <w:left w:val="none" w:sz="0" w:space="0" w:color="auto"/>
            <w:bottom w:val="none" w:sz="0" w:space="0" w:color="auto"/>
            <w:right w:val="none" w:sz="0" w:space="0" w:color="auto"/>
          </w:divBdr>
          <w:divsChild>
            <w:div w:id="729957842">
              <w:marLeft w:val="0"/>
              <w:marRight w:val="0"/>
              <w:marTop w:val="0"/>
              <w:marBottom w:val="0"/>
              <w:divBdr>
                <w:top w:val="none" w:sz="0" w:space="0" w:color="auto"/>
                <w:left w:val="none" w:sz="0" w:space="0" w:color="auto"/>
                <w:bottom w:val="none" w:sz="0" w:space="0" w:color="auto"/>
                <w:right w:val="none" w:sz="0" w:space="0" w:color="auto"/>
              </w:divBdr>
            </w:div>
          </w:divsChild>
        </w:div>
        <w:div w:id="516189689">
          <w:marLeft w:val="0"/>
          <w:marRight w:val="0"/>
          <w:marTop w:val="0"/>
          <w:marBottom w:val="0"/>
          <w:divBdr>
            <w:top w:val="none" w:sz="0" w:space="0" w:color="auto"/>
            <w:left w:val="none" w:sz="0" w:space="0" w:color="auto"/>
            <w:bottom w:val="none" w:sz="0" w:space="0" w:color="auto"/>
            <w:right w:val="none" w:sz="0" w:space="0" w:color="auto"/>
          </w:divBdr>
        </w:div>
        <w:div w:id="298531651">
          <w:marLeft w:val="0"/>
          <w:marRight w:val="0"/>
          <w:marTop w:val="0"/>
          <w:marBottom w:val="0"/>
          <w:divBdr>
            <w:top w:val="none" w:sz="0" w:space="0" w:color="auto"/>
            <w:left w:val="none" w:sz="0" w:space="0" w:color="auto"/>
            <w:bottom w:val="none" w:sz="0" w:space="0" w:color="auto"/>
            <w:right w:val="none" w:sz="0" w:space="0" w:color="auto"/>
          </w:divBdr>
        </w:div>
      </w:divsChild>
    </w:div>
    <w:div w:id="1922982793">
      <w:bodyDiv w:val="1"/>
      <w:marLeft w:val="0"/>
      <w:marRight w:val="0"/>
      <w:marTop w:val="0"/>
      <w:marBottom w:val="0"/>
      <w:divBdr>
        <w:top w:val="none" w:sz="0" w:space="0" w:color="auto"/>
        <w:left w:val="none" w:sz="0" w:space="0" w:color="auto"/>
        <w:bottom w:val="none" w:sz="0" w:space="0" w:color="auto"/>
        <w:right w:val="none" w:sz="0" w:space="0" w:color="auto"/>
      </w:divBdr>
      <w:divsChild>
        <w:div w:id="135146649">
          <w:marLeft w:val="0"/>
          <w:marRight w:val="0"/>
          <w:marTop w:val="0"/>
          <w:marBottom w:val="0"/>
          <w:divBdr>
            <w:top w:val="none" w:sz="0" w:space="0" w:color="auto"/>
            <w:left w:val="none" w:sz="0" w:space="0" w:color="auto"/>
            <w:bottom w:val="none" w:sz="0" w:space="0" w:color="auto"/>
            <w:right w:val="none" w:sz="0" w:space="0" w:color="auto"/>
          </w:divBdr>
          <w:divsChild>
            <w:div w:id="149172925">
              <w:marLeft w:val="0"/>
              <w:marRight w:val="0"/>
              <w:marTop w:val="0"/>
              <w:marBottom w:val="0"/>
              <w:divBdr>
                <w:top w:val="none" w:sz="0" w:space="0" w:color="auto"/>
                <w:left w:val="none" w:sz="0" w:space="0" w:color="auto"/>
                <w:bottom w:val="none" w:sz="0" w:space="0" w:color="auto"/>
                <w:right w:val="none" w:sz="0" w:space="0" w:color="auto"/>
              </w:divBdr>
            </w:div>
          </w:divsChild>
        </w:div>
        <w:div w:id="1926912316">
          <w:marLeft w:val="0"/>
          <w:marRight w:val="0"/>
          <w:marTop w:val="0"/>
          <w:marBottom w:val="0"/>
          <w:divBdr>
            <w:top w:val="none" w:sz="0" w:space="0" w:color="auto"/>
            <w:left w:val="none" w:sz="0" w:space="0" w:color="auto"/>
            <w:bottom w:val="none" w:sz="0" w:space="0" w:color="auto"/>
            <w:right w:val="none" w:sz="0" w:space="0" w:color="auto"/>
          </w:divBdr>
        </w:div>
      </w:divsChild>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ari\Downloads\energies-template(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2421B-BDE4-4A5B-9650-9161AA5C0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energies-template(2).dot</Template>
  <TotalTime>413</TotalTime>
  <Pages>2</Pages>
  <Words>354</Words>
  <Characters>2869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Jussi Saari</dc:creator>
  <cp:keywords/>
  <dc:description/>
  <cp:lastModifiedBy>Jussi Saari</cp:lastModifiedBy>
  <cp:revision>5</cp:revision>
  <cp:lastPrinted>2023-03-08T23:19:00Z</cp:lastPrinted>
  <dcterms:created xsi:type="dcterms:W3CDTF">2023-02-17T20:09:00Z</dcterms:created>
  <dcterms:modified xsi:type="dcterms:W3CDTF">2023-03-11T14:28:00Z</dcterms:modified>
</cp:coreProperties>
</file>