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250E2" w14:textId="77777777" w:rsidR="004D6954" w:rsidRPr="008228BD" w:rsidRDefault="004D6954" w:rsidP="004D6954">
      <w:pPr>
        <w:pStyle w:val="MDPI11articletype"/>
        <w:rPr>
          <w:color w:val="auto"/>
        </w:rPr>
      </w:pPr>
      <w:bookmarkStart w:id="0" w:name="OLE_LINK3"/>
      <w:r w:rsidRPr="008228BD">
        <w:rPr>
          <w:color w:val="auto"/>
        </w:rPr>
        <w:t>Article</w:t>
      </w:r>
    </w:p>
    <w:p w14:paraId="5095B775" w14:textId="77777777" w:rsidR="004D6954" w:rsidRPr="008228BD" w:rsidRDefault="004D6954" w:rsidP="004D6954">
      <w:pPr>
        <w:pStyle w:val="MDPI13authornames"/>
        <w:rPr>
          <w:snapToGrid w:val="0"/>
          <w:color w:val="auto"/>
          <w:sz w:val="36"/>
          <w:szCs w:val="20"/>
        </w:rPr>
      </w:pPr>
      <w:r w:rsidRPr="008228BD">
        <w:rPr>
          <w:snapToGrid w:val="0"/>
          <w:color w:val="auto"/>
          <w:sz w:val="36"/>
          <w:szCs w:val="20"/>
        </w:rPr>
        <w:t>Electrophoresis Assembly of Novel Superhydrophobic Molybdenum Trioxide (MoO</w:t>
      </w:r>
      <w:r w:rsidRPr="008228BD">
        <w:rPr>
          <w:snapToGrid w:val="0"/>
          <w:color w:val="auto"/>
          <w:sz w:val="36"/>
          <w:szCs w:val="20"/>
          <w:vertAlign w:val="subscript"/>
        </w:rPr>
        <w:t>3</w:t>
      </w:r>
      <w:r w:rsidRPr="008228BD">
        <w:rPr>
          <w:snapToGrid w:val="0"/>
          <w:color w:val="auto"/>
          <w:sz w:val="36"/>
          <w:szCs w:val="20"/>
        </w:rPr>
        <w:t>) Films with Great Stability</w:t>
      </w:r>
    </w:p>
    <w:p w14:paraId="1AABD6AD" w14:textId="77777777" w:rsidR="004D6954" w:rsidRPr="00F24562" w:rsidRDefault="004D6954" w:rsidP="004D6954">
      <w:pPr>
        <w:pStyle w:val="MDPI13authornames"/>
        <w:rPr>
          <w:color w:val="auto"/>
        </w:rPr>
      </w:pPr>
      <w:proofErr w:type="spellStart"/>
      <w:r w:rsidRPr="00F24562">
        <w:rPr>
          <w:color w:val="auto"/>
        </w:rPr>
        <w:t>Xiaogang</w:t>
      </w:r>
      <w:proofErr w:type="spellEnd"/>
      <w:r w:rsidRPr="00F24562">
        <w:rPr>
          <w:color w:val="auto"/>
        </w:rPr>
        <w:t xml:space="preserve"> Guo </w:t>
      </w:r>
      <w:r w:rsidRPr="00F24562">
        <w:rPr>
          <w:rFonts w:eastAsia="宋体" w:cs="宋体" w:hint="eastAsia"/>
          <w:color w:val="auto"/>
          <w:vertAlign w:val="superscript"/>
          <w:lang w:eastAsia="zh-CN"/>
        </w:rPr>
        <w:t>1</w:t>
      </w:r>
      <w:r w:rsidRPr="00F24562">
        <w:rPr>
          <w:color w:val="auto"/>
          <w:vertAlign w:val="superscript"/>
        </w:rPr>
        <w:t>,</w:t>
      </w:r>
      <w:proofErr w:type="gramStart"/>
      <w:r w:rsidRPr="00F24562">
        <w:rPr>
          <w:color w:val="auto"/>
          <w:vertAlign w:val="superscript"/>
        </w:rPr>
        <w:t>2,</w:t>
      </w:r>
      <w:r w:rsidRPr="00F24562">
        <w:rPr>
          <w:color w:val="auto"/>
        </w:rPr>
        <w:t>*</w:t>
      </w:r>
      <w:proofErr w:type="gramEnd"/>
      <w:r w:rsidRPr="00F24562">
        <w:rPr>
          <w:color w:val="auto"/>
        </w:rPr>
        <w:t xml:space="preserve"> </w:t>
      </w:r>
      <w:r w:rsidRPr="00F24562">
        <w:rPr>
          <w:rFonts w:eastAsiaTheme="minorEastAsia"/>
          <w:color w:val="auto"/>
          <w:lang w:eastAsia="zh-CN"/>
        </w:rPr>
        <w:t>and</w:t>
      </w:r>
      <w:r w:rsidRPr="00F24562">
        <w:rPr>
          <w:color w:val="auto"/>
        </w:rPr>
        <w:t xml:space="preserve"> </w:t>
      </w:r>
      <w:proofErr w:type="spellStart"/>
      <w:r w:rsidRPr="00F24562">
        <w:rPr>
          <w:color w:val="auto"/>
        </w:rPr>
        <w:t>Taotao</w:t>
      </w:r>
      <w:proofErr w:type="spellEnd"/>
      <w:r w:rsidRPr="00F24562">
        <w:rPr>
          <w:color w:val="auto"/>
        </w:rPr>
        <w:t xml:space="preserve"> Liang </w:t>
      </w:r>
      <w:r w:rsidRPr="00F24562">
        <w:rPr>
          <w:color w:val="auto"/>
          <w:vertAlign w:val="superscript"/>
        </w:rPr>
        <w:t>3</w:t>
      </w:r>
    </w:p>
    <w:p w14:paraId="4D577626" w14:textId="77777777" w:rsidR="004D6954" w:rsidRPr="008228BD" w:rsidRDefault="004D6954" w:rsidP="004D6954">
      <w:pPr>
        <w:pStyle w:val="MDPI16affiliation"/>
      </w:pPr>
      <w:r w:rsidRPr="00B762E5">
        <w:rPr>
          <w:vertAlign w:val="superscript"/>
        </w:rPr>
        <w:t>1</w:t>
      </w:r>
      <w:r w:rsidRPr="00B762E5">
        <w:tab/>
      </w:r>
      <w:r w:rsidRPr="008228BD">
        <w:t>Chongqing Key Laboratory of Inorganic Special Functional Materials, College of Chemistry and Chemical Engineering, Yangtze Normal University, Chongqing 408100, China</w:t>
      </w:r>
    </w:p>
    <w:p w14:paraId="2F5C7EB3" w14:textId="77777777" w:rsidR="004D6954" w:rsidRPr="008228BD" w:rsidRDefault="004D6954" w:rsidP="004D6954">
      <w:pPr>
        <w:pStyle w:val="MDPI16affiliation"/>
      </w:pPr>
      <w:r w:rsidRPr="00B762E5">
        <w:rPr>
          <w:vertAlign w:val="superscript"/>
        </w:rPr>
        <w:t>2</w:t>
      </w:r>
      <w:r w:rsidRPr="00B762E5">
        <w:tab/>
      </w:r>
      <w:r w:rsidRPr="008228BD">
        <w:t>College of Chemistry and Environmental Engineering, Institute of Functional Materials, Material Corrosion and Protection Key Laboratory of Sichuan Province, Sichuan University of Science and Engineering, Zigong 643000, China</w:t>
      </w:r>
    </w:p>
    <w:p w14:paraId="0A756C47" w14:textId="20D08F7F" w:rsidR="004D6954" w:rsidRPr="00B762E5" w:rsidRDefault="004D6954" w:rsidP="004D6954">
      <w:pPr>
        <w:pStyle w:val="MDPI16affiliation"/>
        <w:rPr>
          <w:lang w:eastAsia="zh-CN"/>
        </w:rPr>
      </w:pPr>
      <w:r w:rsidRPr="00B762E5">
        <w:rPr>
          <w:vertAlign w:val="superscript"/>
        </w:rPr>
        <w:t>3</w:t>
      </w:r>
      <w:r w:rsidRPr="00B762E5">
        <w:tab/>
      </w:r>
      <w:r w:rsidRPr="008228BD">
        <w:t>Faculty of Materials and Energy, Southwest University, Chongqing</w:t>
      </w:r>
      <w:bookmarkStart w:id="1" w:name="_GoBack"/>
      <w:bookmarkEnd w:id="1"/>
      <w:r w:rsidRPr="008228BD">
        <w:t xml:space="preserve"> 400715, China</w:t>
      </w:r>
      <w:r>
        <w:rPr>
          <w:rFonts w:eastAsia="宋体" w:cs="宋体"/>
          <w:lang w:eastAsia="zh-CN"/>
        </w:rPr>
        <w:t xml:space="preserve">; </w:t>
      </w:r>
      <w:r w:rsidRPr="00B762E5">
        <w:rPr>
          <w:rFonts w:eastAsia="宋体" w:cs="宋体"/>
          <w:lang w:eastAsia="zh-CN"/>
        </w:rPr>
        <w:t>liangtaotao@email.swu.edu.cn</w:t>
      </w:r>
    </w:p>
    <w:p w14:paraId="55C78BB3" w14:textId="77777777" w:rsidR="004D6954" w:rsidRPr="008228BD" w:rsidRDefault="004D6954" w:rsidP="004D6954">
      <w:pPr>
        <w:pStyle w:val="MDPI16affiliation"/>
      </w:pPr>
      <w:r w:rsidRPr="00B762E5">
        <w:rPr>
          <w:b/>
        </w:rPr>
        <w:t>*</w:t>
      </w:r>
      <w:r w:rsidRPr="00B762E5">
        <w:tab/>
        <w:t>Correspondence:</w:t>
      </w:r>
      <w:r w:rsidRPr="008228BD">
        <w:tab/>
        <w:t>guoxiaogang0528@126.com</w:t>
      </w:r>
    </w:p>
    <w:p w14:paraId="63473CCC" w14:textId="77777777" w:rsidR="004D6954" w:rsidRPr="008228BD" w:rsidRDefault="004D6954" w:rsidP="004D6954">
      <w:pPr>
        <w:pStyle w:val="MDPI14history"/>
        <w:rPr>
          <w:color w:val="auto"/>
        </w:rPr>
      </w:pPr>
      <w:r w:rsidRPr="008228BD">
        <w:rPr>
          <w:color w:val="auto"/>
        </w:rPr>
        <w:t xml:space="preserve">Received: </w:t>
      </w:r>
      <w:r w:rsidRPr="00B762E5">
        <w:rPr>
          <w:color w:val="auto"/>
        </w:rPr>
        <w:t>5 December 2018</w:t>
      </w:r>
      <w:r w:rsidRPr="008228BD">
        <w:rPr>
          <w:color w:val="auto"/>
        </w:rPr>
        <w:t xml:space="preserve">; Accepted: </w:t>
      </w:r>
      <w:r w:rsidRPr="00B762E5">
        <w:rPr>
          <w:color w:val="auto"/>
        </w:rPr>
        <w:t>2 January 2019</w:t>
      </w:r>
      <w:r w:rsidRPr="008228BD">
        <w:rPr>
          <w:color w:val="auto"/>
        </w:rPr>
        <w:t xml:space="preserve">; Published: </w:t>
      </w:r>
      <w:r>
        <w:rPr>
          <w:color w:val="auto"/>
        </w:rPr>
        <w:t>22</w:t>
      </w:r>
      <w:r w:rsidRPr="00B762E5">
        <w:rPr>
          <w:color w:val="auto"/>
        </w:rPr>
        <w:t xml:space="preserve"> January 2019</w:t>
      </w:r>
    </w:p>
    <w:p w14:paraId="70188160" w14:textId="0587EA89" w:rsidR="00C22A7C" w:rsidRPr="00DD33DC" w:rsidRDefault="00DD33DC" w:rsidP="00DD33DC">
      <w:pPr>
        <w:pStyle w:val="MDPI41tablecaption"/>
        <w:jc w:val="center"/>
        <w:rPr>
          <w:rFonts w:eastAsia="等线"/>
          <w:b/>
          <w:sz w:val="24"/>
          <w:lang w:val="en-GB"/>
        </w:rPr>
      </w:pPr>
      <w:r w:rsidRPr="00DD33DC">
        <w:rPr>
          <w:rFonts w:eastAsia="等线"/>
          <w:b/>
          <w:sz w:val="20"/>
          <w:lang w:val="en-GB"/>
        </w:rPr>
        <w:t xml:space="preserve">Table </w:t>
      </w:r>
      <w:r w:rsidR="004430F9">
        <w:rPr>
          <w:rFonts w:eastAsia="等线"/>
          <w:b/>
          <w:sz w:val="20"/>
          <w:lang w:val="en-GB"/>
        </w:rPr>
        <w:t>S</w:t>
      </w:r>
      <w:r w:rsidRPr="00DD33DC">
        <w:rPr>
          <w:rFonts w:eastAsia="等线"/>
          <w:b/>
          <w:sz w:val="20"/>
          <w:lang w:val="en-GB"/>
        </w:rPr>
        <w:t>1.</w:t>
      </w:r>
      <w:r w:rsidR="00C22A7C" w:rsidRPr="00DD33DC">
        <w:rPr>
          <w:rFonts w:eastAsia="等线"/>
          <w:b/>
          <w:sz w:val="20"/>
          <w:lang w:val="en-GB"/>
        </w:rPr>
        <w:t xml:space="preserve"> </w:t>
      </w:r>
      <w:r w:rsidR="00C22A7C" w:rsidRPr="00DD33DC">
        <w:rPr>
          <w:rFonts w:eastAsia="MS Mincho"/>
          <w:sz w:val="20"/>
          <w:lang w:val="en-GB" w:eastAsia="ja-JP"/>
        </w:rPr>
        <w:t xml:space="preserve">The detailed data of XRD main peaks for </w:t>
      </w:r>
      <w:r w:rsidR="00C22A7C" w:rsidRPr="00DD33DC">
        <w:rPr>
          <w:rFonts w:eastAsia="MS Mincho"/>
          <w:sz w:val="20"/>
          <w:lang w:eastAsia="ja-JP"/>
        </w:rPr>
        <w:t>schistose MoO</w:t>
      </w:r>
      <w:r w:rsidR="00C22A7C" w:rsidRPr="00DD33DC">
        <w:rPr>
          <w:rFonts w:eastAsia="MS Mincho"/>
          <w:sz w:val="20"/>
          <w:vertAlign w:val="subscript"/>
          <w:lang w:eastAsia="ja-JP"/>
        </w:rPr>
        <w:t>3</w:t>
      </w:r>
      <w:r w:rsidR="00C22A7C" w:rsidRPr="00DD33DC">
        <w:rPr>
          <w:rFonts w:eastAsia="MS Mincho"/>
          <w:sz w:val="20"/>
          <w:lang w:eastAsia="ja-JP"/>
        </w:rPr>
        <w:t xml:space="preserve"> powders and SMFs.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2028"/>
        <w:gridCol w:w="328"/>
        <w:gridCol w:w="328"/>
        <w:gridCol w:w="316"/>
      </w:tblGrid>
      <w:tr w:rsidR="00C22A7C" w:rsidRPr="00C22A7C" w14:paraId="033F0B7C" w14:textId="77777777" w:rsidTr="00C22A7C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8355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(2θ)</w:t>
            </w:r>
          </w:p>
          <w:p w14:paraId="5C94036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2-Theta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47A4A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The diffraction plane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42ED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6C72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k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2E81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 w:val="20"/>
                <w:szCs w:val="21"/>
                <w:lang w:val="en-GB"/>
              </w:rPr>
            </w:pPr>
            <w:r w:rsidRPr="00C22A7C">
              <w:rPr>
                <w:rFonts w:eastAsia="等线"/>
                <w:b/>
                <w:sz w:val="20"/>
                <w:szCs w:val="21"/>
                <w:lang w:val="en-GB"/>
              </w:rPr>
              <w:t>l</w:t>
            </w:r>
          </w:p>
        </w:tc>
      </w:tr>
      <w:tr w:rsidR="00C22A7C" w:rsidRPr="00C22A7C" w14:paraId="5147882E" w14:textId="77777777" w:rsidTr="00C22A7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460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12.78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33F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44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857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C62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63FF48F4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03E8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23.339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B978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0479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76551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698C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41F76FAF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EA9D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25.879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7220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06C5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8EF4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FDD3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7AAC8B1D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4767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27.339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0E68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7BCB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F170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49A3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355D2FF0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1C9A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29.679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1D7B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D95B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49E0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0A1D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5F0CDA06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4CF9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33.119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BF58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6D53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EA06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B9DA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24D828A8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512D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33.759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082D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86FE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A168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E636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6F2EF590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C7E6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35.499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96F2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95D0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2516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A767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29D706E5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F82B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38.559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63B1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5930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6842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8BBB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1A624D46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052B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38.979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2E47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29D5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AE7B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88B3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042BA0C0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B2D3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39.659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1F54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AEF3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8160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2E15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5CAC00CB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286A5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45.759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437D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E188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FD78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BF96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6BD908D4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748E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46.319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3D77A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E20D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E907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87C6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080257C4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49A91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49.259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A4F5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3A6C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33D6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64E3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71AFE48F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DA2E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50.059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ED08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1D03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E72C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6F69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17D9112F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0480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52.799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6D9D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F6BD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8D811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5F08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2ECAC7F2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4FD01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54.119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B13C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1F82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ADC7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8C6A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1FB29535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5546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55.199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2A8F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8C72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CD83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FA6E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4E399441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2C8F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57.678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4030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5A4F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7A8F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A263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0CE9817C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94DE5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58.839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DFA3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520B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5F02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B5E9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6FC00C4F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91A6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61.618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7EA7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BB96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508F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52C4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</w:tr>
      <w:tr w:rsidR="00C22A7C" w:rsidRPr="00C22A7C" w14:paraId="50FD1EF4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52A3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62.838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128A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1F3C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2C47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887C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7C6F1C53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94BB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64.518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958A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A137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8D90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AA88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5B5F1831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E969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64.998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3CAD6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9657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7158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26AF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6C447A15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FF70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67.138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5931A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91D12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D001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9A0A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7FA5F39F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C74E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69.478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DDD18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7C26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8C300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DC6F1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004F2025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0266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72.838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F139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05D15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FA999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A2A8C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</w:tr>
      <w:tr w:rsidR="00C22A7C" w:rsidRPr="00C22A7C" w14:paraId="75BBBA65" w14:textId="77777777" w:rsidTr="00C22A7C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0D267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76.518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4A4A5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D0D1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CA35E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42FD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1</w:t>
            </w:r>
          </w:p>
        </w:tc>
      </w:tr>
      <w:tr w:rsidR="00C22A7C" w:rsidRPr="00C22A7C" w14:paraId="423ABC06" w14:textId="77777777" w:rsidTr="00C22A7C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AA17D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78.838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2085B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023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783FF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F87B4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5FBD3" w14:textId="77777777" w:rsidR="00C22A7C" w:rsidRPr="00C22A7C" w:rsidRDefault="00C22A7C" w:rsidP="00C22A7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  <w:r w:rsidRPr="00C22A7C">
              <w:rPr>
                <w:sz w:val="20"/>
              </w:rPr>
              <w:t>3</w:t>
            </w:r>
          </w:p>
        </w:tc>
      </w:tr>
    </w:tbl>
    <w:p w14:paraId="17EC4AB8" w14:textId="10798DC1" w:rsidR="00C22A7C" w:rsidRPr="00DD33DC" w:rsidRDefault="00C22A7C" w:rsidP="00C22A7C">
      <w:pPr>
        <w:pStyle w:val="MDPI51figurecaption"/>
        <w:rPr>
          <w:rFonts w:eastAsia="MS Mincho"/>
          <w:b/>
          <w:sz w:val="20"/>
          <w:lang w:val="en-GB" w:eastAsia="ja-JP"/>
        </w:rPr>
      </w:pPr>
      <w:r w:rsidRPr="00DD33DC">
        <w:rPr>
          <w:rFonts w:eastAsia="MS Mincho"/>
          <w:b/>
          <w:sz w:val="20"/>
          <w:lang w:val="en-GB" w:eastAsia="ja-JP"/>
        </w:rPr>
        <w:t>Video S</w:t>
      </w:r>
      <w:r w:rsidR="004F1AF5">
        <w:rPr>
          <w:rFonts w:eastAsia="MS Mincho"/>
          <w:b/>
          <w:sz w:val="20"/>
          <w:lang w:val="en-GB" w:eastAsia="ja-JP"/>
        </w:rPr>
        <w:t>1</w:t>
      </w:r>
      <w:r w:rsidRPr="00DD33DC">
        <w:rPr>
          <w:rFonts w:eastAsia="MS Mincho"/>
          <w:b/>
          <w:sz w:val="20"/>
          <w:lang w:val="en-GB" w:eastAsia="ja-JP"/>
        </w:rPr>
        <w:t xml:space="preserve">: The immersion test process of </w:t>
      </w:r>
      <w:bookmarkStart w:id="2" w:name="OLE_LINK13"/>
      <w:bookmarkStart w:id="3" w:name="OLE_LINK14"/>
      <w:r w:rsidRPr="00DD33DC">
        <w:rPr>
          <w:rFonts w:eastAsia="MS Mincho"/>
          <w:b/>
          <w:sz w:val="20"/>
          <w:lang w:val="en-GB" w:eastAsia="ja-JP"/>
        </w:rPr>
        <w:t>SMFs</w:t>
      </w:r>
      <w:bookmarkEnd w:id="2"/>
      <w:bookmarkEnd w:id="3"/>
      <w:r w:rsidRPr="00DD33DC">
        <w:rPr>
          <w:rFonts w:eastAsia="MS Mincho"/>
          <w:b/>
          <w:sz w:val="20"/>
          <w:lang w:val="en-GB" w:eastAsia="ja-JP"/>
        </w:rPr>
        <w:t xml:space="preserve"> into aqueous solution in 100 mL beaker, the surface of samples can’t be wetted suggesting the great </w:t>
      </w:r>
      <w:proofErr w:type="spellStart"/>
      <w:r w:rsidRPr="00DD33DC">
        <w:rPr>
          <w:rFonts w:eastAsia="MS Mincho"/>
          <w:b/>
          <w:sz w:val="20"/>
          <w:lang w:val="en-GB" w:eastAsia="ja-JP"/>
        </w:rPr>
        <w:t>superhydrophobicity</w:t>
      </w:r>
      <w:proofErr w:type="spellEnd"/>
      <w:r w:rsidRPr="00DD33DC">
        <w:rPr>
          <w:rFonts w:eastAsia="MS Mincho"/>
          <w:b/>
          <w:sz w:val="20"/>
          <w:lang w:val="en-GB" w:eastAsia="ja-JP"/>
        </w:rPr>
        <w:t xml:space="preserve"> of SMFs.</w:t>
      </w:r>
    </w:p>
    <w:p w14:paraId="5EFB3282" w14:textId="098F8610" w:rsidR="00C22A7C" w:rsidRPr="00DD33DC" w:rsidRDefault="00C22A7C" w:rsidP="00C22A7C">
      <w:pPr>
        <w:pStyle w:val="MDPI51figurecaption"/>
        <w:rPr>
          <w:rFonts w:eastAsia="MS Mincho"/>
          <w:b/>
          <w:sz w:val="20"/>
          <w:lang w:val="en-GB" w:eastAsia="ja-JP"/>
        </w:rPr>
      </w:pPr>
      <w:r w:rsidRPr="00DD33DC">
        <w:rPr>
          <w:rFonts w:eastAsia="MS Mincho"/>
          <w:b/>
          <w:sz w:val="20"/>
          <w:lang w:val="en-GB" w:eastAsia="ja-JP"/>
        </w:rPr>
        <w:lastRenderedPageBreak/>
        <w:t>Video S</w:t>
      </w:r>
      <w:r w:rsidR="004F1AF5">
        <w:rPr>
          <w:rFonts w:eastAsia="MS Mincho"/>
          <w:b/>
          <w:sz w:val="20"/>
          <w:lang w:val="en-GB" w:eastAsia="ja-JP"/>
        </w:rPr>
        <w:t>2</w:t>
      </w:r>
      <w:r w:rsidRPr="00DD33DC">
        <w:rPr>
          <w:rFonts w:eastAsia="MS Mincho"/>
          <w:b/>
          <w:sz w:val="20"/>
          <w:lang w:val="en-GB" w:eastAsia="ja-JP"/>
        </w:rPr>
        <w:t xml:space="preserve">: The droplet impacting experiment of SMFs </w:t>
      </w:r>
      <w:r w:rsidRPr="00DD33DC">
        <w:rPr>
          <w:rFonts w:eastAsia="MS Mincho"/>
          <w:b/>
          <w:sz w:val="20"/>
          <w:lang w:eastAsia="ja-JP"/>
        </w:rPr>
        <w:t>with a negligible angle or an almost flat state</w:t>
      </w:r>
      <w:r w:rsidRPr="00DD33DC">
        <w:rPr>
          <w:rFonts w:eastAsia="MS Mincho"/>
          <w:b/>
          <w:sz w:val="20"/>
          <w:lang w:val="en-GB" w:eastAsia="ja-JP"/>
        </w:rPr>
        <w:t xml:space="preserve"> fixed by using a tweezer.</w:t>
      </w:r>
    </w:p>
    <w:bookmarkEnd w:id="0"/>
    <w:p w14:paraId="50E2AD3A" w14:textId="77777777" w:rsidR="00DE59A2" w:rsidRPr="004D7CED" w:rsidRDefault="00DE59A2" w:rsidP="00DE59A2">
      <w:pPr>
        <w:adjustRightInd w:val="0"/>
        <w:snapToGrid w:val="0"/>
        <w:spacing w:before="240" w:line="260" w:lineRule="atLeast"/>
        <w:jc w:val="left"/>
        <w:rPr>
          <w:rFonts w:ascii="Palatino Linotype" w:eastAsia="宋体" w:hAnsi="Palatino Linotype"/>
          <w:sz w:val="18"/>
        </w:rPr>
      </w:pPr>
      <w:r w:rsidRPr="00C425E8">
        <w:rPr>
          <w:rFonts w:ascii="Palatino Linotype" w:hAnsi="Palatino Linotype"/>
          <w:noProof/>
          <w:sz w:val="18"/>
          <w:szCs w:val="18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231C79DE" wp14:editId="2C8A30FD">
            <wp:simplePos x="0" y="0"/>
            <wp:positionH relativeFrom="margin">
              <wp:align>left</wp:align>
            </wp:positionH>
            <wp:positionV relativeFrom="paragraph">
              <wp:posOffset>13887</wp:posOffset>
            </wp:positionV>
            <wp:extent cx="100076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5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t>© 2019 by the authors. Licensee MDPI, Basel, Switzerland. This article is an open access article distributed under the terms and conditions of the Creative Commons Attribution (CC BY) license (http://creativecommons.org/licenses/by/4.0/).</w:t>
      </w:r>
    </w:p>
    <w:sectPr w:rsidR="00DE59A2" w:rsidRPr="004D7CED" w:rsidSect="00C22A7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81E01" w14:textId="77777777" w:rsidR="001C1797" w:rsidRDefault="001C1797">
      <w:pPr>
        <w:spacing w:line="240" w:lineRule="auto"/>
      </w:pPr>
      <w:r>
        <w:separator/>
      </w:r>
    </w:p>
  </w:endnote>
  <w:endnote w:type="continuationSeparator" w:id="0">
    <w:p w14:paraId="28897116" w14:textId="77777777" w:rsidR="001C1797" w:rsidRDefault="001C1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992CB" w14:textId="77777777" w:rsidR="00975B88" w:rsidRPr="00EE5642" w:rsidRDefault="00975B88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8A2A4" w14:textId="14CD3E02" w:rsidR="00975B88" w:rsidRPr="008B308E" w:rsidRDefault="00975B88" w:rsidP="00975B88">
    <w:pPr>
      <w:pStyle w:val="MDPIfooterfirstpage"/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>
      <w:rPr>
        <w:b/>
      </w:rPr>
      <w:t>201</w:t>
    </w:r>
    <w:r w:rsidR="00DE59A2">
      <w:rPr>
        <w:b/>
      </w:rPr>
      <w:t>9</w:t>
    </w:r>
    <w:r w:rsidRPr="00B615DC">
      <w:t>,</w:t>
    </w:r>
    <w:r>
      <w:t xml:space="preserve"> </w:t>
    </w:r>
    <w:r>
      <w:rPr>
        <w:i/>
      </w:rPr>
      <w:t>1</w:t>
    </w:r>
    <w:r w:rsidR="00DE59A2">
      <w:rPr>
        <w:i/>
      </w:rPr>
      <w:t>2</w:t>
    </w:r>
    <w:r w:rsidRPr="004127E0">
      <w:rPr>
        <w:rFonts w:eastAsia="宋体"/>
        <w:lang w:eastAsia="zh-CN"/>
      </w:rPr>
      <w:t>,</w:t>
    </w:r>
    <w:r w:rsidRPr="004127E0">
      <w:rPr>
        <w:lang w:val="fr-CH"/>
      </w:rPr>
      <w:t xml:space="preserve"> </w:t>
    </w:r>
    <w:r w:rsidR="00DE59A2">
      <w:rPr>
        <w:lang w:val="fr-CH"/>
      </w:rPr>
      <w:t>336</w:t>
    </w:r>
    <w:r w:rsidRPr="008B308E">
      <w:rPr>
        <w:lang w:val="fr-CH"/>
      </w:rPr>
      <w:t xml:space="preserve">; </w:t>
    </w:r>
    <w:r w:rsidR="00DE59A2" w:rsidRPr="00DE59A2">
      <w:rPr>
        <w:lang w:val="fr-CH"/>
      </w:rPr>
      <w:t>doi:10.3390/ma12030336</w:t>
    </w:r>
    <w:r w:rsidRPr="008B308E">
      <w:rPr>
        <w:lang w:val="fr-CH"/>
      </w:rPr>
      <w:tab/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DD582" w14:textId="77777777" w:rsidR="001C1797" w:rsidRDefault="001C1797">
      <w:pPr>
        <w:spacing w:line="240" w:lineRule="auto"/>
      </w:pPr>
      <w:r>
        <w:separator/>
      </w:r>
    </w:p>
  </w:footnote>
  <w:footnote w:type="continuationSeparator" w:id="0">
    <w:p w14:paraId="5C66872C" w14:textId="77777777" w:rsidR="001C1797" w:rsidRDefault="001C17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AA5C7" w14:textId="77777777" w:rsidR="00975B88" w:rsidRDefault="00975B88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DD0E2" w14:textId="17B1800A" w:rsidR="00975B88" w:rsidRPr="00636F25" w:rsidRDefault="00975B88" w:rsidP="00F42E7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Materials </w:t>
    </w:r>
    <w:r>
      <w:rPr>
        <w:rFonts w:ascii="Palatino Linotype" w:hAnsi="Palatino Linotype"/>
        <w:b/>
        <w:sz w:val="16"/>
      </w:rPr>
      <w:t>201</w:t>
    </w:r>
    <w:r w:rsidR="00DE59A2">
      <w:rPr>
        <w:rFonts w:ascii="Palatino Linotype" w:hAnsi="Palatino Linotype"/>
        <w:b/>
        <w:sz w:val="16"/>
      </w:rPr>
      <w:t>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</w:t>
    </w:r>
    <w:r w:rsidR="00DE59A2"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 xml:space="preserve">, </w:t>
    </w:r>
    <w:r w:rsidR="00DE59A2">
      <w:rPr>
        <w:rFonts w:ascii="Palatino Linotype" w:hAnsi="Palatino Linotype"/>
        <w:sz w:val="16"/>
      </w:rPr>
      <w:t>336</w:t>
    </w:r>
    <w:r>
      <w:rPr>
        <w:rFonts w:ascii="Palatino Linotype" w:hAnsi="Palatino Linotype"/>
        <w:sz w:val="16"/>
      </w:rPr>
      <w:t xml:space="preserve"> </w:t>
    </w:r>
    <w:r w:rsidR="00F42E7B"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53A88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853A88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64C8" w14:textId="1513EE43" w:rsidR="00975B88" w:rsidRDefault="00C22A7C" w:rsidP="00975B88">
    <w:pPr>
      <w:pStyle w:val="MDPIheaderjournallogo"/>
    </w:pPr>
    <w:r w:rsidRPr="006D4209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3867C24" wp14:editId="3DDE529C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0DE0B3" w14:textId="699AB737" w:rsidR="00975B88" w:rsidRDefault="00C22A7C" w:rsidP="00975B8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F42E7B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D3E5312" wp14:editId="4CC2D60E">
                                <wp:extent cx="540385" cy="357505"/>
                                <wp:effectExtent l="0" t="0" r="0" b="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67C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090DE0B3" w14:textId="699AB737" w:rsidR="00975B88" w:rsidRDefault="00C22A7C" w:rsidP="00975B8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F42E7B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D3E5312" wp14:editId="4CC2D60E">
                          <wp:extent cx="540385" cy="357505"/>
                          <wp:effectExtent l="0" t="0" r="0" b="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695550E9" wp14:editId="0A0DD179">
          <wp:extent cx="1630045" cy="429260"/>
          <wp:effectExtent l="0" t="0" r="0" b="0"/>
          <wp:docPr id="4" name="Picture 7" descr="C:\Users\home\Desktop\logos\materials-logo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materials-logo 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04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7C"/>
    <w:rsid w:val="00041F31"/>
    <w:rsid w:val="000B5E01"/>
    <w:rsid w:val="000F124F"/>
    <w:rsid w:val="000F5859"/>
    <w:rsid w:val="00131B3F"/>
    <w:rsid w:val="001723E4"/>
    <w:rsid w:val="001A2DAD"/>
    <w:rsid w:val="001C1797"/>
    <w:rsid w:val="001E2AEB"/>
    <w:rsid w:val="002167C7"/>
    <w:rsid w:val="00326141"/>
    <w:rsid w:val="003C7549"/>
    <w:rsid w:val="00401D30"/>
    <w:rsid w:val="004430F9"/>
    <w:rsid w:val="004903F6"/>
    <w:rsid w:val="004D6954"/>
    <w:rsid w:val="004F1AF5"/>
    <w:rsid w:val="00503D54"/>
    <w:rsid w:val="005527B4"/>
    <w:rsid w:val="005706C7"/>
    <w:rsid w:val="00571190"/>
    <w:rsid w:val="006369E9"/>
    <w:rsid w:val="00683D05"/>
    <w:rsid w:val="00692393"/>
    <w:rsid w:val="006C6493"/>
    <w:rsid w:val="006E4318"/>
    <w:rsid w:val="006F438F"/>
    <w:rsid w:val="00741743"/>
    <w:rsid w:val="00750DBC"/>
    <w:rsid w:val="00804F18"/>
    <w:rsid w:val="00812FAE"/>
    <w:rsid w:val="00825910"/>
    <w:rsid w:val="00831FA2"/>
    <w:rsid w:val="00832398"/>
    <w:rsid w:val="00832912"/>
    <w:rsid w:val="00853A88"/>
    <w:rsid w:val="00884EEA"/>
    <w:rsid w:val="008A669C"/>
    <w:rsid w:val="009725CB"/>
    <w:rsid w:val="00975B88"/>
    <w:rsid w:val="0099195D"/>
    <w:rsid w:val="009F20C1"/>
    <w:rsid w:val="009F70E6"/>
    <w:rsid w:val="00A010C5"/>
    <w:rsid w:val="00A05AA8"/>
    <w:rsid w:val="00A26316"/>
    <w:rsid w:val="00A51DD4"/>
    <w:rsid w:val="00B0301E"/>
    <w:rsid w:val="00B548E2"/>
    <w:rsid w:val="00BE5097"/>
    <w:rsid w:val="00C22A7C"/>
    <w:rsid w:val="00D75011"/>
    <w:rsid w:val="00DC37F2"/>
    <w:rsid w:val="00DD33DC"/>
    <w:rsid w:val="00DE3510"/>
    <w:rsid w:val="00DE59A2"/>
    <w:rsid w:val="00E45A72"/>
    <w:rsid w:val="00E52996"/>
    <w:rsid w:val="00E94043"/>
    <w:rsid w:val="00F324A8"/>
    <w:rsid w:val="00F42E7B"/>
    <w:rsid w:val="00F77B30"/>
    <w:rsid w:val="00FE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9558D"/>
  <w15:chartTrackingRefBased/>
  <w15:docId w15:val="{DD0BDA41-1D1E-4CFF-8878-C05D440A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E7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42E7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42E7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F42E7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F42E7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42E7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42E7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F42E7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42E7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F42E7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42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F4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F42E7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42E7B"/>
    <w:pPr>
      <w:ind w:firstLine="0"/>
    </w:pPr>
  </w:style>
  <w:style w:type="paragraph" w:customStyle="1" w:styleId="MDPI33textspaceafter">
    <w:name w:val="MDPI_3.3_text_space_after"/>
    <w:basedOn w:val="MDPI31text"/>
    <w:qFormat/>
    <w:rsid w:val="00F42E7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F42E7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F42E7B"/>
    <w:pPr>
      <w:spacing w:after="120"/>
    </w:pPr>
  </w:style>
  <w:style w:type="paragraph" w:customStyle="1" w:styleId="MDPI36textafterlist">
    <w:name w:val="MDPI_3.6_text_after_list"/>
    <w:basedOn w:val="MDPI31text"/>
    <w:qFormat/>
    <w:rsid w:val="00F42E7B"/>
    <w:pPr>
      <w:spacing w:before="120"/>
    </w:pPr>
  </w:style>
  <w:style w:type="paragraph" w:customStyle="1" w:styleId="MDPI37itemize">
    <w:name w:val="MDPI_3.7_itemize"/>
    <w:basedOn w:val="MDPI31text"/>
    <w:qFormat/>
    <w:rsid w:val="00F42E7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42E7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42E7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42E7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42E7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F42E7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A010C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42E7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42E7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42E7B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F42E7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42E7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42E7B"/>
  </w:style>
  <w:style w:type="paragraph" w:customStyle="1" w:styleId="MDPI81theorem">
    <w:name w:val="MDPI_8.1_theorem"/>
    <w:basedOn w:val="MDPI32textnoindent"/>
    <w:qFormat/>
    <w:rsid w:val="00F42E7B"/>
    <w:rPr>
      <w:i/>
    </w:rPr>
  </w:style>
  <w:style w:type="paragraph" w:customStyle="1" w:styleId="MDPI82proof">
    <w:name w:val="MDPI_8.2_proof"/>
    <w:basedOn w:val="MDPI32textnoindent"/>
    <w:qFormat/>
    <w:rsid w:val="00F42E7B"/>
  </w:style>
  <w:style w:type="paragraph" w:customStyle="1" w:styleId="MDPIfooterfirstpage">
    <w:name w:val="MDPI_footer_firstpage"/>
    <w:basedOn w:val="Normal"/>
    <w:qFormat/>
    <w:rsid w:val="00F42E7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F42E7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F42E7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42E7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F42E7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F42E7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E7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F42E7B"/>
  </w:style>
  <w:style w:type="table" w:customStyle="1" w:styleId="MDPI41threelinetable">
    <w:name w:val="MDPI_4.1_three_line_table"/>
    <w:basedOn w:val="TableNormal"/>
    <w:uiPriority w:val="99"/>
    <w:rsid w:val="00A010C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9195D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C22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2A7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A7C"/>
    <w:rPr>
      <w:rFonts w:ascii="Times New Roman" w:eastAsia="Times New Roman" w:hAnsi="Times New Roman"/>
      <w:color w:val="000000"/>
      <w:lang w:eastAsia="de-DE"/>
    </w:rPr>
  </w:style>
  <w:style w:type="paragraph" w:customStyle="1" w:styleId="p0">
    <w:name w:val="p0"/>
    <w:basedOn w:val="Normal"/>
    <w:rsid w:val="00C22A7C"/>
    <w:pPr>
      <w:spacing w:line="240" w:lineRule="auto"/>
    </w:pPr>
    <w:rPr>
      <w:rFonts w:eastAsia="宋体"/>
      <w:color w:val="auto"/>
      <w:sz w:val="21"/>
      <w:szCs w:val="21"/>
      <w:lang w:eastAsia="zh-CN"/>
    </w:rPr>
  </w:style>
  <w:style w:type="paragraph" w:customStyle="1" w:styleId="Authors">
    <w:name w:val="Authors"/>
    <w:basedOn w:val="Normal"/>
    <w:qFormat/>
    <w:rsid w:val="00C22A7C"/>
    <w:pPr>
      <w:spacing w:before="120" w:after="120" w:line="320" w:lineRule="exact"/>
      <w:jc w:val="left"/>
    </w:pPr>
    <w:rPr>
      <w:rFonts w:ascii="Arial" w:eastAsia="MS Mincho" w:hAnsi="Arial"/>
      <w:color w:val="auto"/>
      <w:sz w:val="22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nuscripts\materi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materials-template.dot</Template>
  <TotalTime>8</TotalTime>
  <Pages>2</Pages>
  <Words>346</Words>
  <Characters>1587</Characters>
  <Application>Microsoft Office Word</Application>
  <DocSecurity>0</DocSecurity>
  <Lines>173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6</cp:revision>
  <dcterms:created xsi:type="dcterms:W3CDTF">2019-01-05T01:27:00Z</dcterms:created>
  <dcterms:modified xsi:type="dcterms:W3CDTF">2019-01-22T09:27:00Z</dcterms:modified>
</cp:coreProperties>
</file>