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693BF9" w14:textId="39B0E2EE" w:rsidR="00F42E7B" w:rsidRPr="00921C85" w:rsidRDefault="004254DC" w:rsidP="00921C85">
      <w:pPr>
        <w:pStyle w:val="MDPI11articletype"/>
        <w:jc w:val="center"/>
        <w:rPr>
          <w:b/>
          <w:bCs/>
          <w:sz w:val="48"/>
          <w:szCs w:val="48"/>
        </w:rPr>
      </w:pPr>
      <w:r w:rsidRPr="00921C85">
        <w:rPr>
          <w:b/>
          <w:bCs/>
          <w:sz w:val="48"/>
          <w:szCs w:val="48"/>
        </w:rPr>
        <w:t>Supplementary Material</w:t>
      </w:r>
    </w:p>
    <w:p w14:paraId="27C4BB1E" w14:textId="77777777" w:rsidR="00FE0E93" w:rsidRPr="008C14A2" w:rsidRDefault="00FE0E93" w:rsidP="00FE0E93">
      <w:pPr>
        <w:pStyle w:val="MDPI12title"/>
      </w:pPr>
      <w:r w:rsidRPr="008C14A2">
        <w:t>Bottom Contact Metal Oxide Interface Modification Improving the Efficiency of Organic Light Emitting Diodes</w:t>
      </w:r>
    </w:p>
    <w:p w14:paraId="414B27D1" w14:textId="77777777" w:rsidR="00FE0E93" w:rsidRPr="0000622D" w:rsidRDefault="00FE0E93" w:rsidP="00FE0E93">
      <w:pPr>
        <w:pStyle w:val="MDPI13authornames"/>
      </w:pPr>
      <w:r w:rsidRPr="00FE788B">
        <w:t xml:space="preserve">Sergey M. </w:t>
      </w:r>
      <w:proofErr w:type="spellStart"/>
      <w:r w:rsidRPr="00FE788B">
        <w:t>Pozov</w:t>
      </w:r>
      <w:proofErr w:type="spellEnd"/>
      <w:r w:rsidRPr="00FE788B">
        <w:t xml:space="preserve"> </w:t>
      </w:r>
      <w:r w:rsidRPr="00FE788B">
        <w:rPr>
          <w:vertAlign w:val="superscript"/>
        </w:rPr>
        <w:t>1</w:t>
      </w:r>
      <w:r w:rsidRPr="00FE788B">
        <w:t>,</w:t>
      </w:r>
      <w:r w:rsidRPr="0000622D">
        <w:t xml:space="preserve"> Apostolos </w:t>
      </w:r>
      <w:proofErr w:type="spellStart"/>
      <w:r w:rsidRPr="0000622D">
        <w:t>Ioakeimidis</w:t>
      </w:r>
      <w:proofErr w:type="spellEnd"/>
      <w:r>
        <w:t xml:space="preserve"> </w:t>
      </w:r>
      <w:r w:rsidRPr="0000622D">
        <w:rPr>
          <w:vertAlign w:val="superscript"/>
        </w:rPr>
        <w:t>1</w:t>
      </w:r>
      <w:r w:rsidRPr="0000622D">
        <w:t>, Ioannis T. Papadas</w:t>
      </w:r>
      <w:r>
        <w:t xml:space="preserve"> </w:t>
      </w:r>
      <w:r w:rsidRPr="0000622D">
        <w:rPr>
          <w:vertAlign w:val="superscript"/>
        </w:rPr>
        <w:t>1</w:t>
      </w:r>
      <w:r w:rsidRPr="0000622D">
        <w:t>, Chen Sun</w:t>
      </w:r>
      <w:r>
        <w:t xml:space="preserve"> </w:t>
      </w:r>
      <w:r w:rsidRPr="0000622D">
        <w:rPr>
          <w:vertAlign w:val="superscript"/>
        </w:rPr>
        <w:t>2</w:t>
      </w:r>
      <w:r w:rsidRPr="0000622D">
        <w:t xml:space="preserve">, </w:t>
      </w:r>
      <w:r>
        <w:br/>
      </w:r>
      <w:r w:rsidRPr="0000622D">
        <w:t xml:space="preserve">Alexandra Z. </w:t>
      </w:r>
      <w:proofErr w:type="spellStart"/>
      <w:r w:rsidRPr="0000622D">
        <w:t>Chrusou</w:t>
      </w:r>
      <w:proofErr w:type="spellEnd"/>
      <w:r>
        <w:t xml:space="preserve"> </w:t>
      </w:r>
      <w:r w:rsidRPr="0000622D">
        <w:rPr>
          <w:vertAlign w:val="superscript"/>
        </w:rPr>
        <w:t>1</w:t>
      </w:r>
      <w:r w:rsidRPr="0000622D">
        <w:t xml:space="preserve">, </w:t>
      </w:r>
      <w:proofErr w:type="spellStart"/>
      <w:r w:rsidRPr="0000622D">
        <w:t>Donal</w:t>
      </w:r>
      <w:proofErr w:type="spellEnd"/>
      <w:r w:rsidRPr="0000622D">
        <w:t xml:space="preserve"> D. C. Bradley</w:t>
      </w:r>
      <w:r>
        <w:t xml:space="preserve"> </w:t>
      </w:r>
      <w:r w:rsidRPr="0000622D">
        <w:rPr>
          <w:vertAlign w:val="superscript"/>
        </w:rPr>
        <w:t>2,3</w:t>
      </w:r>
      <w:r w:rsidRPr="00E7524E">
        <w:t xml:space="preserve"> </w:t>
      </w:r>
      <w:r w:rsidRPr="0000622D">
        <w:t>and Stelios A. Choulis</w:t>
      </w:r>
      <w:r>
        <w:t xml:space="preserve"> </w:t>
      </w:r>
      <w:proofErr w:type="gramStart"/>
      <w:r w:rsidRPr="0000622D">
        <w:rPr>
          <w:vertAlign w:val="superscript"/>
        </w:rPr>
        <w:t>1</w:t>
      </w:r>
      <w:r>
        <w:rPr>
          <w:vertAlign w:val="superscript"/>
        </w:rPr>
        <w:t>,</w:t>
      </w:r>
      <w:r w:rsidRPr="00E7524E">
        <w:t>*</w:t>
      </w:r>
      <w:proofErr w:type="gramEnd"/>
    </w:p>
    <w:p w14:paraId="7B43666C" w14:textId="77777777" w:rsidR="00FE0E93" w:rsidRPr="008C14A2" w:rsidRDefault="00FE0E93" w:rsidP="00FE0E93">
      <w:pPr>
        <w:pStyle w:val="MDPI16affiliation"/>
      </w:pPr>
      <w:r w:rsidRPr="008C14A2">
        <w:rPr>
          <w:vertAlign w:val="superscript"/>
        </w:rPr>
        <w:t>1</w:t>
      </w:r>
      <w:r w:rsidRPr="008C14A2">
        <w:tab/>
        <w:t>Department of Mechanical Engineering and Materials Science and Engineering</w:t>
      </w:r>
      <w:r>
        <w:t>,</w:t>
      </w:r>
      <w:r w:rsidRPr="008C14A2">
        <w:t xml:space="preserve"> Molecular Electronics and Photonics Research Unit, Cyprus University of Technology, Limassol 3603, Cyprus</w:t>
      </w:r>
      <w:r>
        <w:t xml:space="preserve">; </w:t>
      </w:r>
      <w:r w:rsidRPr="00EE77C1">
        <w:t>sergey.pozov@cut.ac.cy</w:t>
      </w:r>
      <w:r w:rsidRPr="00E7524E">
        <w:rPr>
          <w:color w:val="auto"/>
        </w:rPr>
        <w:t xml:space="preserve"> (S.M.P.); </w:t>
      </w:r>
      <w:r w:rsidRPr="00EE77C1">
        <w:t>a.ioakeimidis@cut.ac.cy</w:t>
      </w:r>
      <w:r w:rsidRPr="00E7524E">
        <w:rPr>
          <w:color w:val="auto"/>
        </w:rPr>
        <w:t xml:space="preserve"> (A.I.); </w:t>
      </w:r>
      <w:r w:rsidRPr="00EE77C1">
        <w:t>ioannis.papadas@cut.ac.cy</w:t>
      </w:r>
      <w:r w:rsidRPr="00E7524E">
        <w:rPr>
          <w:color w:val="auto"/>
        </w:rPr>
        <w:t xml:space="preserve"> (I.T.P.); </w:t>
      </w:r>
      <w:r w:rsidRPr="00EE77C1">
        <w:t>az.chrusou@cut.ac.cy</w:t>
      </w:r>
      <w:r w:rsidRPr="00E7524E">
        <w:rPr>
          <w:color w:val="auto"/>
        </w:rPr>
        <w:t xml:space="preserve"> (A.Z.C.)</w:t>
      </w:r>
    </w:p>
    <w:p w14:paraId="63BD33D8" w14:textId="77777777" w:rsidR="00FE0E93" w:rsidRPr="00E7524E" w:rsidRDefault="00FE0E93" w:rsidP="00FE0E93">
      <w:pPr>
        <w:pStyle w:val="MDPI16affiliation"/>
        <w:rPr>
          <w:color w:val="auto"/>
        </w:rPr>
      </w:pPr>
      <w:r w:rsidRPr="008C14A2">
        <w:rPr>
          <w:vertAlign w:val="superscript"/>
        </w:rPr>
        <w:t>2</w:t>
      </w:r>
      <w:r w:rsidRPr="008C14A2">
        <w:tab/>
        <w:t>Department of Physics, Clarendon Laboratory</w:t>
      </w:r>
      <w:r>
        <w:t>,</w:t>
      </w:r>
      <w:r w:rsidRPr="008C14A2">
        <w:t xml:space="preserve"> University of Oxford, Parks Rd, Oxford OX1 3PU, UK</w:t>
      </w:r>
      <w:r>
        <w:t xml:space="preserve">; </w:t>
      </w:r>
      <w:r w:rsidRPr="00EE77C1">
        <w:t>chen.sun@physics.ox.ac.uk</w:t>
      </w:r>
      <w:r w:rsidRPr="00E7524E">
        <w:rPr>
          <w:color w:val="auto"/>
        </w:rPr>
        <w:t xml:space="preserve"> (C.S.); </w:t>
      </w:r>
      <w:r w:rsidRPr="00EE77C1">
        <w:t>donal.bradley@kaust.edu.sa</w:t>
      </w:r>
      <w:r w:rsidRPr="00E7524E">
        <w:rPr>
          <w:color w:val="auto"/>
        </w:rPr>
        <w:t xml:space="preserve"> (D.D.C.B.)</w:t>
      </w:r>
    </w:p>
    <w:p w14:paraId="6C7AD3FC" w14:textId="77777777" w:rsidR="00FE0E93" w:rsidRPr="008C14A2" w:rsidRDefault="00FE0E93" w:rsidP="00FE0E93">
      <w:pPr>
        <w:pStyle w:val="MDPI16affiliation"/>
      </w:pPr>
      <w:r w:rsidRPr="008C14A2">
        <w:rPr>
          <w:vertAlign w:val="superscript"/>
        </w:rPr>
        <w:t>3</w:t>
      </w:r>
      <w:r w:rsidRPr="008C14A2">
        <w:tab/>
        <w:t xml:space="preserve">Physical Science and Engineering Division, King Abdullah University of Science and Technology (KAUST), </w:t>
      </w:r>
      <w:proofErr w:type="spellStart"/>
      <w:r w:rsidRPr="008C14A2">
        <w:t>Thuwal</w:t>
      </w:r>
      <w:proofErr w:type="spellEnd"/>
      <w:r w:rsidRPr="008C14A2">
        <w:t xml:space="preserve"> 23955</w:t>
      </w:r>
      <w:r>
        <w:t>-</w:t>
      </w:r>
      <w:r w:rsidRPr="008C14A2">
        <w:t>6900, Saudi Arabia</w:t>
      </w:r>
    </w:p>
    <w:p w14:paraId="3F2367AD" w14:textId="77777777" w:rsidR="00FE0E93" w:rsidRPr="00E7524E" w:rsidRDefault="00FE0E93" w:rsidP="00FE0E93">
      <w:pPr>
        <w:pStyle w:val="MDPI16affiliation"/>
        <w:rPr>
          <w:color w:val="auto"/>
        </w:rPr>
      </w:pPr>
      <w:r w:rsidRPr="008C14A2">
        <w:rPr>
          <w:b/>
        </w:rPr>
        <w:t>*</w:t>
      </w:r>
      <w:r w:rsidRPr="008C14A2">
        <w:tab/>
        <w:t xml:space="preserve">Correspondence: </w:t>
      </w:r>
      <w:r w:rsidRPr="00EE77C1">
        <w:t>stelios.choulis@cut.ac.cy</w:t>
      </w:r>
    </w:p>
    <w:p w14:paraId="4C4D3EE0" w14:textId="77777777" w:rsidR="00FE0E93" w:rsidRPr="008C14A2" w:rsidRDefault="00FE0E93" w:rsidP="00FE0E93">
      <w:pPr>
        <w:pStyle w:val="MDPI14history"/>
      </w:pPr>
      <w:r w:rsidRPr="008C14A2">
        <w:t xml:space="preserve">Received: </w:t>
      </w:r>
      <w:r w:rsidRPr="00877B89">
        <w:t>11 October 2020</w:t>
      </w:r>
      <w:r w:rsidRPr="008C14A2">
        <w:t xml:space="preserve">; Accepted: </w:t>
      </w:r>
      <w:r w:rsidRPr="00877B89">
        <w:t>9 November 2020</w:t>
      </w:r>
      <w:r w:rsidRPr="008C14A2">
        <w:t>; Published: date</w:t>
      </w:r>
    </w:p>
    <w:p w14:paraId="088C6F26" w14:textId="77777777" w:rsidR="00FD4FD9" w:rsidRDefault="00351835" w:rsidP="00FE0E93">
      <w:pPr>
        <w:pStyle w:val="MDPI52figure"/>
      </w:pPr>
      <w:r>
        <w:rPr>
          <w:noProof/>
          <w:lang w:eastAsia="en-US" w:bidi="ar-SA"/>
        </w:rPr>
        <w:drawing>
          <wp:inline distT="0" distB="0" distL="0" distR="0" wp14:anchorId="322E56CB" wp14:editId="3D50ABA4">
            <wp:extent cx="4102169" cy="972000"/>
            <wp:effectExtent l="0" t="0" r="0" b="0"/>
            <wp:docPr id="13" name="Picture 13" descr="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02169" cy="972000"/>
                    </a:xfrm>
                    <a:prstGeom prst="rect">
                      <a:avLst/>
                    </a:prstGeom>
                    <a:noFill/>
                    <a:ln>
                      <a:noFill/>
                    </a:ln>
                  </pic:spPr>
                </pic:pic>
              </a:graphicData>
            </a:graphic>
          </wp:inline>
        </w:drawing>
      </w:r>
    </w:p>
    <w:p w14:paraId="390A5DA3" w14:textId="68E58899" w:rsidR="007B7C12" w:rsidRPr="007505F7" w:rsidRDefault="00FE0E93" w:rsidP="00FE0E93">
      <w:pPr>
        <w:pStyle w:val="MDPI51figurecaption"/>
      </w:pPr>
      <w:r w:rsidRPr="00FE0E93">
        <w:rPr>
          <w:b/>
          <w:bCs/>
        </w:rPr>
        <w:t xml:space="preserve">Figure </w:t>
      </w:r>
      <w:r>
        <w:rPr>
          <w:b/>
          <w:bCs/>
        </w:rPr>
        <w:t>S</w:t>
      </w:r>
      <w:r w:rsidRPr="00FE0E93">
        <w:rPr>
          <w:b/>
          <w:bCs/>
        </w:rPr>
        <w:t>1.</w:t>
      </w:r>
      <w:r w:rsidR="00FD4FD9" w:rsidRPr="00FE0E93">
        <w:rPr>
          <w:b/>
        </w:rPr>
        <w:t xml:space="preserve"> </w:t>
      </w:r>
      <w:bookmarkStart w:id="0" w:name="_Hlk53223775"/>
      <w:r w:rsidR="00FD4FD9" w:rsidRPr="007505F7">
        <w:t xml:space="preserve">Static contact angle of </w:t>
      </w:r>
      <w:r w:rsidR="00A42BFD">
        <w:t xml:space="preserve">deionized </w:t>
      </w:r>
      <w:r w:rsidR="00FD4FD9" w:rsidRPr="007505F7">
        <w:t xml:space="preserve">water droplet images on </w:t>
      </w:r>
      <w:r w:rsidR="003F37C3">
        <w:t>solution combustion synthesized (</w:t>
      </w:r>
      <w:r w:rsidR="00FD4FD9" w:rsidRPr="007505F7">
        <w:t>SCS</w:t>
      </w:r>
      <w:r w:rsidR="003F37C3">
        <w:t>)</w:t>
      </w:r>
      <w:r w:rsidR="00FD4FD9" w:rsidRPr="007505F7">
        <w:t xml:space="preserve"> metal oxide substrates, a) ITO/Cu:NiO</w:t>
      </w:r>
      <w:r w:rsidR="00FD4FD9" w:rsidRPr="007505F7">
        <w:rPr>
          <w:vertAlign w:val="subscript"/>
        </w:rPr>
        <w:t>x</w:t>
      </w:r>
      <w:r w:rsidR="00FD4FD9" w:rsidRPr="007505F7">
        <w:t xml:space="preserve"> and b) ITO/CuO</w:t>
      </w:r>
      <w:r w:rsidR="00FD4FD9" w:rsidRPr="007505F7">
        <w:rPr>
          <w:vertAlign w:val="subscript"/>
        </w:rPr>
        <w:t>x</w:t>
      </w:r>
      <w:r w:rsidR="00FD4FD9" w:rsidRPr="007505F7">
        <w:t>.</w:t>
      </w:r>
    </w:p>
    <w:p w14:paraId="3B9E7EF3" w14:textId="0FF57D77" w:rsidR="003E7190" w:rsidRDefault="00FE0E93" w:rsidP="00FE0E93">
      <w:pPr>
        <w:pStyle w:val="MDPI41tablecaption"/>
      </w:pPr>
      <w:bookmarkStart w:id="1" w:name="_Hlk53223841"/>
      <w:bookmarkEnd w:id="0"/>
      <w:r w:rsidRPr="00FE0E93">
        <w:rPr>
          <w:b/>
          <w:bCs/>
        </w:rPr>
        <w:t xml:space="preserve">Table </w:t>
      </w:r>
      <w:r>
        <w:rPr>
          <w:b/>
          <w:bCs/>
        </w:rPr>
        <w:t>S</w:t>
      </w:r>
      <w:r w:rsidRPr="00FE0E93">
        <w:rPr>
          <w:b/>
          <w:bCs/>
        </w:rPr>
        <w:t>1.</w:t>
      </w:r>
      <w:r w:rsidR="00FD4FD9" w:rsidRPr="00FE0E93">
        <w:rPr>
          <w:b/>
        </w:rPr>
        <w:t xml:space="preserve"> </w:t>
      </w:r>
      <w:r w:rsidR="00FD4FD9" w:rsidRPr="007505F7">
        <w:t>Statistical analysis of electroluminescence performance of lab-scale 9 mm</w:t>
      </w:r>
      <w:r w:rsidR="00FD4FD9" w:rsidRPr="00FE0E93">
        <w:rPr>
          <w:vertAlign w:val="superscript"/>
        </w:rPr>
        <w:t>2</w:t>
      </w:r>
      <w:r w:rsidR="00FD4FD9" w:rsidRPr="007505F7">
        <w:t xml:space="preserve"> </w:t>
      </w:r>
      <w:r w:rsidR="00B84FE8">
        <w:t>organic light emitting (</w:t>
      </w:r>
      <w:r w:rsidR="00FD4FD9" w:rsidRPr="007505F7">
        <w:t>OLED</w:t>
      </w:r>
      <w:r w:rsidR="00B84FE8">
        <w:t>)</w:t>
      </w:r>
      <w:r w:rsidR="00FD4FD9" w:rsidRPr="007505F7">
        <w:t xml:space="preserve"> devices investigating the effect of spinel film thickness. Statistic sample size of 8 different devices was used to present average values, together with standard deviation, and maximum values in brackets.</w:t>
      </w:r>
    </w:p>
    <w:tbl>
      <w:tblPr>
        <w:tblW w:w="0" w:type="auto"/>
        <w:jc w:val="center"/>
        <w:tblBorders>
          <w:top w:val="single" w:sz="8" w:space="0" w:color="auto"/>
          <w:bottom w:val="single" w:sz="8" w:space="0" w:color="auto"/>
        </w:tblBorders>
        <w:tblLook w:val="04A0" w:firstRow="1" w:lastRow="0" w:firstColumn="1" w:lastColumn="0" w:noHBand="0" w:noVBand="1"/>
      </w:tblPr>
      <w:tblGrid>
        <w:gridCol w:w="2899"/>
        <w:gridCol w:w="1672"/>
        <w:gridCol w:w="1237"/>
        <w:gridCol w:w="1450"/>
        <w:gridCol w:w="1350"/>
      </w:tblGrid>
      <w:tr w:rsidR="00FD4FD9" w:rsidRPr="00FE0E93" w14:paraId="201ED63A" w14:textId="77777777" w:rsidTr="00FE0E93">
        <w:trPr>
          <w:jc w:val="center"/>
        </w:trPr>
        <w:tc>
          <w:tcPr>
            <w:tcW w:w="0" w:type="auto"/>
            <w:tcBorders>
              <w:top w:val="single" w:sz="8" w:space="0" w:color="auto"/>
              <w:bottom w:val="single" w:sz="4" w:space="0" w:color="auto"/>
            </w:tcBorders>
            <w:shd w:val="clear" w:color="auto" w:fill="auto"/>
            <w:vAlign w:val="center"/>
          </w:tcPr>
          <w:bookmarkEnd w:id="1"/>
          <w:p w14:paraId="313C0AE5" w14:textId="34CD137E" w:rsidR="00FD4FD9" w:rsidRPr="00FE0E93" w:rsidRDefault="00FD4FD9" w:rsidP="00FE0E93">
            <w:pPr>
              <w:pStyle w:val="MDPI42tablebody"/>
              <w:autoSpaceDE w:val="0"/>
              <w:autoSpaceDN w:val="0"/>
              <w:spacing w:line="240" w:lineRule="auto"/>
              <w:rPr>
                <w:b/>
                <w:lang w:val="en-GB"/>
              </w:rPr>
            </w:pPr>
            <w:r w:rsidRPr="00FE0E93">
              <w:rPr>
                <w:b/>
                <w:lang w:val="en-GB"/>
              </w:rPr>
              <w:t>Anode Electrode</w:t>
            </w:r>
          </w:p>
        </w:tc>
        <w:tc>
          <w:tcPr>
            <w:tcW w:w="0" w:type="auto"/>
            <w:tcBorders>
              <w:top w:val="single" w:sz="8" w:space="0" w:color="auto"/>
              <w:bottom w:val="single" w:sz="4" w:space="0" w:color="auto"/>
            </w:tcBorders>
            <w:shd w:val="clear" w:color="auto" w:fill="auto"/>
            <w:vAlign w:val="center"/>
          </w:tcPr>
          <w:p w14:paraId="3AC8FEAF" w14:textId="77777777" w:rsidR="00FD4FD9" w:rsidRPr="00FE0E93" w:rsidRDefault="00FD4FD9" w:rsidP="00FE0E93">
            <w:pPr>
              <w:pStyle w:val="MDPI42tablebody"/>
              <w:autoSpaceDE w:val="0"/>
              <w:autoSpaceDN w:val="0"/>
              <w:spacing w:line="240" w:lineRule="auto"/>
              <w:rPr>
                <w:b/>
              </w:rPr>
            </w:pPr>
            <w:r w:rsidRPr="00FE0E93">
              <w:rPr>
                <w:b/>
              </w:rPr>
              <w:t xml:space="preserve">Turn on voltage </w:t>
            </w:r>
          </w:p>
          <w:p w14:paraId="48903B03" w14:textId="77777777" w:rsidR="00FD4FD9" w:rsidRPr="00FE0E93" w:rsidRDefault="00FD4FD9" w:rsidP="00FE0E93">
            <w:pPr>
              <w:pStyle w:val="MDPI42tablebody"/>
              <w:autoSpaceDE w:val="0"/>
              <w:autoSpaceDN w:val="0"/>
              <w:spacing w:line="240" w:lineRule="auto"/>
              <w:rPr>
                <w:b/>
              </w:rPr>
            </w:pPr>
            <w:r w:rsidRPr="00FE0E93">
              <w:rPr>
                <w:b/>
              </w:rPr>
              <w:t>(at ~10 cd/m</w:t>
            </w:r>
            <w:r w:rsidRPr="00FE0E93">
              <w:rPr>
                <w:b/>
                <w:vertAlign w:val="superscript"/>
              </w:rPr>
              <w:t>2</w:t>
            </w:r>
            <w:r w:rsidRPr="00FE0E93">
              <w:rPr>
                <w:b/>
              </w:rPr>
              <w:t>)</w:t>
            </w:r>
          </w:p>
          <w:p w14:paraId="7948EDD6" w14:textId="4DE0EA7A" w:rsidR="00FD4FD9" w:rsidRPr="00FE0E93" w:rsidRDefault="00FD4FD9" w:rsidP="00FE0E93">
            <w:pPr>
              <w:pStyle w:val="MDPI42tablebody"/>
              <w:autoSpaceDE w:val="0"/>
              <w:autoSpaceDN w:val="0"/>
              <w:spacing w:line="240" w:lineRule="auto"/>
              <w:rPr>
                <w:b/>
              </w:rPr>
            </w:pPr>
            <w:r w:rsidRPr="00FE0E93">
              <w:rPr>
                <w:b/>
              </w:rPr>
              <w:t>[V]</w:t>
            </w:r>
          </w:p>
        </w:tc>
        <w:tc>
          <w:tcPr>
            <w:tcW w:w="0" w:type="auto"/>
            <w:tcBorders>
              <w:top w:val="single" w:sz="8" w:space="0" w:color="auto"/>
              <w:bottom w:val="single" w:sz="4" w:space="0" w:color="auto"/>
            </w:tcBorders>
            <w:shd w:val="clear" w:color="auto" w:fill="auto"/>
            <w:vAlign w:val="center"/>
          </w:tcPr>
          <w:p w14:paraId="7DD93249" w14:textId="77777777" w:rsidR="00FD4FD9" w:rsidRPr="00FE0E93" w:rsidRDefault="00FD4FD9" w:rsidP="00FE0E93">
            <w:pPr>
              <w:autoSpaceDE w:val="0"/>
              <w:autoSpaceDN w:val="0"/>
              <w:adjustRightInd w:val="0"/>
              <w:snapToGrid w:val="0"/>
              <w:spacing w:line="240" w:lineRule="auto"/>
              <w:jc w:val="center"/>
              <w:rPr>
                <w:rFonts w:ascii="Palatino Linotype" w:eastAsia="Calibri" w:hAnsi="Palatino Linotype"/>
                <w:b/>
                <w:bCs/>
                <w:color w:val="000000" w:themeColor="text1"/>
                <w:kern w:val="24"/>
                <w:sz w:val="20"/>
                <w:szCs w:val="18"/>
              </w:rPr>
            </w:pPr>
            <w:r w:rsidRPr="00FE0E93">
              <w:rPr>
                <w:rFonts w:ascii="Palatino Linotype" w:eastAsia="Calibri" w:hAnsi="Palatino Linotype"/>
                <w:b/>
                <w:bCs/>
                <w:color w:val="000000" w:themeColor="text1"/>
                <w:kern w:val="24"/>
                <w:sz w:val="20"/>
                <w:szCs w:val="18"/>
              </w:rPr>
              <w:t xml:space="preserve">Max. </w:t>
            </w:r>
          </w:p>
          <w:p w14:paraId="5F975BC4" w14:textId="77777777" w:rsidR="00FD4FD9" w:rsidRPr="00FE0E93" w:rsidRDefault="00FD4FD9" w:rsidP="00FE0E93">
            <w:pPr>
              <w:autoSpaceDE w:val="0"/>
              <w:autoSpaceDN w:val="0"/>
              <w:adjustRightInd w:val="0"/>
              <w:snapToGrid w:val="0"/>
              <w:spacing w:line="240" w:lineRule="auto"/>
              <w:jc w:val="center"/>
              <w:rPr>
                <w:rFonts w:ascii="Palatino Linotype" w:eastAsia="Calibri" w:hAnsi="Palatino Linotype"/>
                <w:b/>
                <w:bCs/>
                <w:color w:val="000000" w:themeColor="text1"/>
                <w:kern w:val="24"/>
                <w:sz w:val="20"/>
                <w:szCs w:val="18"/>
              </w:rPr>
            </w:pPr>
            <w:r w:rsidRPr="00FE0E93">
              <w:rPr>
                <w:rFonts w:ascii="Palatino Linotype" w:eastAsia="Calibri" w:hAnsi="Palatino Linotype"/>
                <w:b/>
                <w:bCs/>
                <w:color w:val="000000" w:themeColor="text1"/>
                <w:kern w:val="24"/>
                <w:sz w:val="20"/>
                <w:szCs w:val="18"/>
              </w:rPr>
              <w:t>Luminance</w:t>
            </w:r>
          </w:p>
          <w:p w14:paraId="7591581C" w14:textId="25E865D5" w:rsidR="00FD4FD9" w:rsidRPr="00FE0E93" w:rsidRDefault="00FD4FD9" w:rsidP="00FE0E93">
            <w:pPr>
              <w:autoSpaceDE w:val="0"/>
              <w:autoSpaceDN w:val="0"/>
              <w:adjustRightInd w:val="0"/>
              <w:snapToGrid w:val="0"/>
              <w:spacing w:line="240" w:lineRule="auto"/>
              <w:jc w:val="center"/>
              <w:rPr>
                <w:rFonts w:ascii="Palatino Linotype" w:eastAsia="Calibri" w:hAnsi="Palatino Linotype"/>
                <w:b/>
                <w:bCs/>
                <w:color w:val="000000" w:themeColor="text1"/>
                <w:kern w:val="24"/>
                <w:sz w:val="20"/>
                <w:szCs w:val="18"/>
              </w:rPr>
            </w:pPr>
            <w:r w:rsidRPr="00FE0E93">
              <w:rPr>
                <w:rFonts w:ascii="Palatino Linotype" w:eastAsia="Calibri" w:hAnsi="Palatino Linotype"/>
                <w:b/>
                <w:bCs/>
                <w:color w:val="000000" w:themeColor="text1"/>
                <w:kern w:val="24"/>
                <w:sz w:val="20"/>
                <w:szCs w:val="18"/>
              </w:rPr>
              <w:t>[cd/m</w:t>
            </w:r>
            <w:r w:rsidRPr="00FE0E93">
              <w:rPr>
                <w:rFonts w:ascii="Palatino Linotype" w:eastAsia="Calibri" w:hAnsi="Palatino Linotype"/>
                <w:b/>
                <w:bCs/>
                <w:color w:val="000000" w:themeColor="text1"/>
                <w:kern w:val="24"/>
                <w:sz w:val="20"/>
                <w:szCs w:val="18"/>
                <w:vertAlign w:val="superscript"/>
              </w:rPr>
              <w:t>2</w:t>
            </w:r>
            <w:r w:rsidRPr="00FE0E93">
              <w:rPr>
                <w:rFonts w:ascii="Palatino Linotype" w:eastAsia="Calibri" w:hAnsi="Palatino Linotype"/>
                <w:b/>
                <w:bCs/>
                <w:color w:val="000000" w:themeColor="text1"/>
                <w:kern w:val="24"/>
                <w:sz w:val="20"/>
                <w:szCs w:val="18"/>
              </w:rPr>
              <w:t>]</w:t>
            </w:r>
          </w:p>
        </w:tc>
        <w:tc>
          <w:tcPr>
            <w:tcW w:w="0" w:type="auto"/>
            <w:tcBorders>
              <w:top w:val="single" w:sz="8" w:space="0" w:color="auto"/>
              <w:bottom w:val="single" w:sz="4" w:space="0" w:color="auto"/>
            </w:tcBorders>
            <w:shd w:val="clear" w:color="auto" w:fill="auto"/>
            <w:vAlign w:val="center"/>
          </w:tcPr>
          <w:p w14:paraId="63EE1FF5" w14:textId="77777777" w:rsidR="00FD4FD9" w:rsidRPr="00FE0E93" w:rsidRDefault="00FD4FD9" w:rsidP="00FE0E93">
            <w:pPr>
              <w:autoSpaceDE w:val="0"/>
              <w:autoSpaceDN w:val="0"/>
              <w:adjustRightInd w:val="0"/>
              <w:snapToGrid w:val="0"/>
              <w:spacing w:line="240" w:lineRule="auto"/>
              <w:jc w:val="center"/>
              <w:rPr>
                <w:rFonts w:ascii="Palatino Linotype" w:eastAsia="Calibri" w:hAnsi="Palatino Linotype"/>
                <w:b/>
                <w:bCs/>
                <w:color w:val="000000" w:themeColor="text1"/>
                <w:kern w:val="24"/>
                <w:sz w:val="20"/>
                <w:szCs w:val="18"/>
              </w:rPr>
            </w:pPr>
            <w:r w:rsidRPr="00FE0E93">
              <w:rPr>
                <w:rFonts w:ascii="Palatino Linotype" w:eastAsia="Calibri" w:hAnsi="Palatino Linotype"/>
                <w:b/>
                <w:bCs/>
                <w:color w:val="000000" w:themeColor="text1"/>
                <w:kern w:val="24"/>
                <w:sz w:val="20"/>
                <w:szCs w:val="18"/>
              </w:rPr>
              <w:t xml:space="preserve">Max. Current </w:t>
            </w:r>
          </w:p>
          <w:p w14:paraId="414CE886" w14:textId="77777777" w:rsidR="00FD4FD9" w:rsidRPr="00FE0E93" w:rsidRDefault="00FD4FD9" w:rsidP="00FE0E93">
            <w:pPr>
              <w:autoSpaceDE w:val="0"/>
              <w:autoSpaceDN w:val="0"/>
              <w:adjustRightInd w:val="0"/>
              <w:snapToGrid w:val="0"/>
              <w:spacing w:line="240" w:lineRule="auto"/>
              <w:jc w:val="center"/>
              <w:rPr>
                <w:rFonts w:ascii="Palatino Linotype" w:eastAsia="Calibri" w:hAnsi="Palatino Linotype"/>
                <w:b/>
                <w:bCs/>
                <w:color w:val="000000" w:themeColor="text1"/>
                <w:kern w:val="24"/>
                <w:sz w:val="20"/>
                <w:szCs w:val="18"/>
              </w:rPr>
            </w:pPr>
            <w:r w:rsidRPr="00FE0E93">
              <w:rPr>
                <w:rFonts w:ascii="Palatino Linotype" w:eastAsia="Calibri" w:hAnsi="Palatino Linotype"/>
                <w:b/>
                <w:bCs/>
                <w:color w:val="000000" w:themeColor="text1"/>
                <w:kern w:val="24"/>
                <w:sz w:val="20"/>
                <w:szCs w:val="18"/>
              </w:rPr>
              <w:t>Efficiency</w:t>
            </w:r>
          </w:p>
          <w:p w14:paraId="3E813372" w14:textId="77777777" w:rsidR="00FD4FD9" w:rsidRPr="00FE0E93" w:rsidRDefault="00FD4FD9" w:rsidP="00FE0E93">
            <w:pPr>
              <w:pStyle w:val="MDPI42tablebody"/>
              <w:autoSpaceDE w:val="0"/>
              <w:autoSpaceDN w:val="0"/>
              <w:spacing w:line="240" w:lineRule="auto"/>
              <w:rPr>
                <w:b/>
              </w:rPr>
            </w:pPr>
            <w:r w:rsidRPr="00FE0E93">
              <w:rPr>
                <w:rFonts w:eastAsia="Calibri"/>
                <w:b/>
                <w:bCs/>
                <w:color w:val="000000" w:themeColor="text1"/>
                <w:kern w:val="24"/>
                <w:szCs w:val="18"/>
              </w:rPr>
              <w:t>[cd/A]</w:t>
            </w:r>
          </w:p>
        </w:tc>
        <w:tc>
          <w:tcPr>
            <w:tcW w:w="0" w:type="auto"/>
            <w:tcBorders>
              <w:top w:val="single" w:sz="8" w:space="0" w:color="auto"/>
              <w:bottom w:val="single" w:sz="4" w:space="0" w:color="auto"/>
            </w:tcBorders>
            <w:shd w:val="clear" w:color="auto" w:fill="auto"/>
            <w:vAlign w:val="center"/>
          </w:tcPr>
          <w:p w14:paraId="7D9F834A" w14:textId="77777777" w:rsidR="00FD4FD9" w:rsidRPr="00FE0E93" w:rsidRDefault="00FD4FD9" w:rsidP="00FE0E93">
            <w:pPr>
              <w:autoSpaceDE w:val="0"/>
              <w:autoSpaceDN w:val="0"/>
              <w:adjustRightInd w:val="0"/>
              <w:snapToGrid w:val="0"/>
              <w:spacing w:line="240" w:lineRule="auto"/>
              <w:jc w:val="center"/>
              <w:rPr>
                <w:rFonts w:ascii="Palatino Linotype" w:eastAsia="Calibri" w:hAnsi="Palatino Linotype"/>
                <w:b/>
                <w:bCs/>
                <w:color w:val="000000" w:themeColor="text1"/>
                <w:kern w:val="24"/>
                <w:sz w:val="20"/>
                <w:szCs w:val="18"/>
              </w:rPr>
            </w:pPr>
            <w:r w:rsidRPr="00FE0E93">
              <w:rPr>
                <w:rFonts w:ascii="Palatino Linotype" w:eastAsia="Calibri" w:hAnsi="Palatino Linotype"/>
                <w:b/>
                <w:bCs/>
                <w:color w:val="000000" w:themeColor="text1"/>
                <w:kern w:val="24"/>
                <w:sz w:val="20"/>
                <w:szCs w:val="18"/>
              </w:rPr>
              <w:t xml:space="preserve">Max. Power </w:t>
            </w:r>
          </w:p>
          <w:p w14:paraId="6B7C96C8" w14:textId="77777777" w:rsidR="00FD4FD9" w:rsidRPr="00FE0E93" w:rsidRDefault="00FD4FD9" w:rsidP="00FE0E93">
            <w:pPr>
              <w:autoSpaceDE w:val="0"/>
              <w:autoSpaceDN w:val="0"/>
              <w:adjustRightInd w:val="0"/>
              <w:snapToGrid w:val="0"/>
              <w:spacing w:line="240" w:lineRule="auto"/>
              <w:jc w:val="center"/>
              <w:rPr>
                <w:rFonts w:ascii="Palatino Linotype" w:eastAsia="Calibri" w:hAnsi="Palatino Linotype"/>
                <w:b/>
                <w:bCs/>
                <w:color w:val="000000" w:themeColor="text1"/>
                <w:kern w:val="24"/>
                <w:sz w:val="20"/>
                <w:szCs w:val="18"/>
              </w:rPr>
            </w:pPr>
            <w:r w:rsidRPr="00FE0E93">
              <w:rPr>
                <w:rFonts w:ascii="Palatino Linotype" w:eastAsia="Calibri" w:hAnsi="Palatino Linotype"/>
                <w:b/>
                <w:bCs/>
                <w:color w:val="000000" w:themeColor="text1"/>
                <w:kern w:val="24"/>
                <w:sz w:val="20"/>
                <w:szCs w:val="18"/>
              </w:rPr>
              <w:t>Efficacy</w:t>
            </w:r>
          </w:p>
          <w:p w14:paraId="25B15BE3" w14:textId="77777777" w:rsidR="00FD4FD9" w:rsidRPr="00FE0E93" w:rsidRDefault="00FD4FD9" w:rsidP="00FE0E93">
            <w:pPr>
              <w:pStyle w:val="MDPI42tablebody"/>
              <w:autoSpaceDE w:val="0"/>
              <w:autoSpaceDN w:val="0"/>
              <w:spacing w:line="240" w:lineRule="auto"/>
              <w:rPr>
                <w:b/>
              </w:rPr>
            </w:pPr>
            <w:r w:rsidRPr="00FE0E93">
              <w:rPr>
                <w:rFonts w:eastAsia="Calibri"/>
                <w:b/>
                <w:bCs/>
                <w:color w:val="000000" w:themeColor="text1"/>
                <w:kern w:val="24"/>
                <w:szCs w:val="18"/>
              </w:rPr>
              <w:t>[lm/W]</w:t>
            </w:r>
          </w:p>
        </w:tc>
      </w:tr>
      <w:tr w:rsidR="001A26F2" w:rsidRPr="00FE0E93" w14:paraId="4C366570" w14:textId="77777777" w:rsidTr="00FE0E93">
        <w:trPr>
          <w:jc w:val="center"/>
        </w:trPr>
        <w:tc>
          <w:tcPr>
            <w:tcW w:w="0" w:type="auto"/>
            <w:shd w:val="clear" w:color="auto" w:fill="auto"/>
            <w:vAlign w:val="center"/>
          </w:tcPr>
          <w:p w14:paraId="5A0D42D7" w14:textId="2C41D0A3" w:rsidR="001A26F2" w:rsidRPr="00FE0E93" w:rsidRDefault="001A26F2" w:rsidP="00FE788B">
            <w:pPr>
              <w:pStyle w:val="MDPI42tablebody"/>
              <w:autoSpaceDE w:val="0"/>
              <w:autoSpaceDN w:val="0"/>
              <w:spacing w:line="240" w:lineRule="auto"/>
              <w:jc w:val="left"/>
            </w:pPr>
            <w:r w:rsidRPr="00FE0E93">
              <w:t>ITO/PEDOT:PSS</w:t>
            </w:r>
          </w:p>
        </w:tc>
        <w:tc>
          <w:tcPr>
            <w:tcW w:w="0" w:type="auto"/>
            <w:shd w:val="clear" w:color="auto" w:fill="auto"/>
            <w:vAlign w:val="center"/>
          </w:tcPr>
          <w:p w14:paraId="49CA0ECB" w14:textId="35EC8C62" w:rsidR="001A26F2" w:rsidRPr="00FE0E93" w:rsidRDefault="001A26F2" w:rsidP="00FE0E93">
            <w:pPr>
              <w:pStyle w:val="MDPI42tablebody"/>
              <w:autoSpaceDE w:val="0"/>
              <w:autoSpaceDN w:val="0"/>
              <w:spacing w:line="240" w:lineRule="auto"/>
            </w:pPr>
            <w:r w:rsidRPr="00FE0E93">
              <w:t>2.6</w:t>
            </w:r>
          </w:p>
        </w:tc>
        <w:tc>
          <w:tcPr>
            <w:tcW w:w="0" w:type="auto"/>
            <w:shd w:val="clear" w:color="auto" w:fill="auto"/>
            <w:vAlign w:val="center"/>
          </w:tcPr>
          <w:p w14:paraId="67A64FAB" w14:textId="75D2D104" w:rsidR="001A26F2" w:rsidRPr="00FE0E93" w:rsidRDefault="001A26F2" w:rsidP="00FE0E93">
            <w:pPr>
              <w:pStyle w:val="MDPI42tablebody"/>
              <w:autoSpaceDE w:val="0"/>
              <w:autoSpaceDN w:val="0"/>
              <w:spacing w:line="240" w:lineRule="auto"/>
            </w:pPr>
            <w:r w:rsidRPr="00FE0E93">
              <w:t xml:space="preserve">9.0k ± 0.2k </w:t>
            </w:r>
          </w:p>
        </w:tc>
        <w:tc>
          <w:tcPr>
            <w:tcW w:w="0" w:type="auto"/>
            <w:shd w:val="clear" w:color="auto" w:fill="auto"/>
            <w:vAlign w:val="center"/>
          </w:tcPr>
          <w:p w14:paraId="724B4FB9" w14:textId="0988ADD1" w:rsidR="001A26F2" w:rsidRPr="00FE0E93" w:rsidRDefault="001A26F2" w:rsidP="00FE0E93">
            <w:pPr>
              <w:pStyle w:val="MDPI42tablebody"/>
              <w:autoSpaceDE w:val="0"/>
              <w:autoSpaceDN w:val="0"/>
              <w:spacing w:line="240" w:lineRule="auto"/>
            </w:pPr>
            <w:r w:rsidRPr="00FE0E93">
              <w:t>4.9 ± 0.1 (5.0)</w:t>
            </w:r>
          </w:p>
        </w:tc>
        <w:tc>
          <w:tcPr>
            <w:tcW w:w="0" w:type="auto"/>
            <w:shd w:val="clear" w:color="auto" w:fill="auto"/>
            <w:vAlign w:val="center"/>
          </w:tcPr>
          <w:p w14:paraId="4E3E6F08" w14:textId="7A0C0526" w:rsidR="001A26F2" w:rsidRPr="00FE0E93" w:rsidRDefault="001A26F2" w:rsidP="00FE0E93">
            <w:pPr>
              <w:pStyle w:val="MDPI42tablebody"/>
              <w:autoSpaceDE w:val="0"/>
              <w:autoSpaceDN w:val="0"/>
              <w:spacing w:line="240" w:lineRule="auto"/>
            </w:pPr>
            <w:r w:rsidRPr="00FE0E93">
              <w:t>4.4 ± 0.1 (4.5)</w:t>
            </w:r>
          </w:p>
        </w:tc>
      </w:tr>
      <w:tr w:rsidR="001A26F2" w:rsidRPr="00FE0E93" w14:paraId="47519DC9" w14:textId="77777777" w:rsidTr="00FE0E93">
        <w:trPr>
          <w:jc w:val="center"/>
        </w:trPr>
        <w:tc>
          <w:tcPr>
            <w:tcW w:w="0" w:type="auto"/>
            <w:shd w:val="clear" w:color="auto" w:fill="auto"/>
            <w:vAlign w:val="center"/>
          </w:tcPr>
          <w:p w14:paraId="5DDE6A3A" w14:textId="2BB345DC" w:rsidR="001A26F2" w:rsidRPr="00FE0E93" w:rsidRDefault="001A26F2" w:rsidP="00FE788B">
            <w:pPr>
              <w:pStyle w:val="MDPI42tablebody"/>
              <w:autoSpaceDE w:val="0"/>
              <w:autoSpaceDN w:val="0"/>
              <w:spacing w:line="240" w:lineRule="auto"/>
              <w:jc w:val="left"/>
            </w:pPr>
            <w:r w:rsidRPr="00FE0E93">
              <w:t>ITO/(Cu-Li):NiCo</w:t>
            </w:r>
            <w:r w:rsidRPr="00FE0E93">
              <w:rPr>
                <w:vertAlign w:val="subscript"/>
              </w:rPr>
              <w:t>2</w:t>
            </w:r>
            <w:r w:rsidRPr="00FE0E93">
              <w:t>O</w:t>
            </w:r>
            <w:r w:rsidRPr="00FE0E93">
              <w:rPr>
                <w:vertAlign w:val="subscript"/>
              </w:rPr>
              <w:t>4</w:t>
            </w:r>
            <w:r w:rsidRPr="00FE0E93">
              <w:t xml:space="preserve"> (~30 nm)</w:t>
            </w:r>
          </w:p>
        </w:tc>
        <w:tc>
          <w:tcPr>
            <w:tcW w:w="0" w:type="auto"/>
            <w:shd w:val="clear" w:color="auto" w:fill="auto"/>
            <w:vAlign w:val="center"/>
          </w:tcPr>
          <w:p w14:paraId="389E2C88" w14:textId="6925EB70" w:rsidR="001A26F2" w:rsidRPr="00FE0E93" w:rsidRDefault="001A26F2" w:rsidP="00FE0E93">
            <w:pPr>
              <w:pStyle w:val="MDPI42tablebody"/>
              <w:autoSpaceDE w:val="0"/>
              <w:autoSpaceDN w:val="0"/>
              <w:spacing w:line="240" w:lineRule="auto"/>
            </w:pPr>
            <w:r w:rsidRPr="00FE0E93">
              <w:t>2.7</w:t>
            </w:r>
          </w:p>
        </w:tc>
        <w:tc>
          <w:tcPr>
            <w:tcW w:w="0" w:type="auto"/>
            <w:shd w:val="clear" w:color="auto" w:fill="auto"/>
            <w:vAlign w:val="center"/>
          </w:tcPr>
          <w:p w14:paraId="271F21BE" w14:textId="3F0FB460" w:rsidR="001A26F2" w:rsidRPr="00FE0E93" w:rsidRDefault="001A26F2" w:rsidP="00FE0E93">
            <w:pPr>
              <w:pStyle w:val="MDPI42tablebody"/>
              <w:autoSpaceDE w:val="0"/>
              <w:autoSpaceDN w:val="0"/>
              <w:spacing w:line="240" w:lineRule="auto"/>
            </w:pPr>
            <w:r w:rsidRPr="00FE0E93">
              <w:t>9.0k ± 0.3k</w:t>
            </w:r>
          </w:p>
        </w:tc>
        <w:tc>
          <w:tcPr>
            <w:tcW w:w="0" w:type="auto"/>
            <w:shd w:val="clear" w:color="auto" w:fill="auto"/>
            <w:vAlign w:val="center"/>
          </w:tcPr>
          <w:p w14:paraId="705E42AC" w14:textId="67B44C90" w:rsidR="001A26F2" w:rsidRPr="00FE0E93" w:rsidRDefault="001A26F2" w:rsidP="00FE0E93">
            <w:pPr>
              <w:pStyle w:val="MDPI42tablebody"/>
              <w:autoSpaceDE w:val="0"/>
              <w:autoSpaceDN w:val="0"/>
              <w:spacing w:line="240" w:lineRule="auto"/>
            </w:pPr>
            <w:r w:rsidRPr="00FE0E93">
              <w:t>3.00 ± 0.4 (3.4)</w:t>
            </w:r>
          </w:p>
        </w:tc>
        <w:tc>
          <w:tcPr>
            <w:tcW w:w="0" w:type="auto"/>
            <w:shd w:val="clear" w:color="auto" w:fill="auto"/>
            <w:vAlign w:val="center"/>
          </w:tcPr>
          <w:p w14:paraId="6B30B9B7" w14:textId="51C1F2C0" w:rsidR="001A26F2" w:rsidRPr="00FE0E93" w:rsidRDefault="001A26F2" w:rsidP="00FE0E93">
            <w:pPr>
              <w:pStyle w:val="MDPI42tablebody"/>
              <w:autoSpaceDE w:val="0"/>
              <w:autoSpaceDN w:val="0"/>
              <w:spacing w:line="240" w:lineRule="auto"/>
            </w:pPr>
            <w:r w:rsidRPr="00FE0E93">
              <w:t>2.5 ± 0.5 (2.8)</w:t>
            </w:r>
          </w:p>
        </w:tc>
      </w:tr>
      <w:tr w:rsidR="00066129" w:rsidRPr="00FE0E93" w14:paraId="32443D36" w14:textId="77777777" w:rsidTr="00FE0E93">
        <w:trPr>
          <w:jc w:val="center"/>
        </w:trPr>
        <w:tc>
          <w:tcPr>
            <w:tcW w:w="0" w:type="auto"/>
            <w:shd w:val="clear" w:color="auto" w:fill="auto"/>
            <w:vAlign w:val="center"/>
          </w:tcPr>
          <w:p w14:paraId="211F0F0C" w14:textId="787A8DB1" w:rsidR="00066129" w:rsidRPr="00FE0E93" w:rsidRDefault="00066129" w:rsidP="00FE788B">
            <w:pPr>
              <w:pStyle w:val="MDPI42tablebody"/>
              <w:autoSpaceDE w:val="0"/>
              <w:autoSpaceDN w:val="0"/>
              <w:spacing w:line="240" w:lineRule="auto"/>
              <w:jc w:val="left"/>
            </w:pPr>
            <w:r w:rsidRPr="00FE0E93">
              <w:t>ITO/(Cu-Li):NiCo</w:t>
            </w:r>
            <w:r w:rsidRPr="00FE0E93">
              <w:rPr>
                <w:vertAlign w:val="subscript"/>
              </w:rPr>
              <w:t>2</w:t>
            </w:r>
            <w:r w:rsidRPr="00FE0E93">
              <w:t>O</w:t>
            </w:r>
            <w:r w:rsidRPr="00FE0E93">
              <w:rPr>
                <w:vertAlign w:val="subscript"/>
              </w:rPr>
              <w:t>4</w:t>
            </w:r>
            <w:r w:rsidRPr="00FE0E93">
              <w:t xml:space="preserve"> (~20 nm)</w:t>
            </w:r>
          </w:p>
        </w:tc>
        <w:tc>
          <w:tcPr>
            <w:tcW w:w="0" w:type="auto"/>
            <w:shd w:val="clear" w:color="auto" w:fill="auto"/>
            <w:vAlign w:val="center"/>
          </w:tcPr>
          <w:p w14:paraId="3F910FD5" w14:textId="17DD55CA" w:rsidR="00066129" w:rsidRPr="00FE0E93" w:rsidRDefault="00066129" w:rsidP="00FE0E93">
            <w:pPr>
              <w:pStyle w:val="MDPI42tablebody"/>
              <w:autoSpaceDE w:val="0"/>
              <w:autoSpaceDN w:val="0"/>
              <w:spacing w:line="240" w:lineRule="auto"/>
            </w:pPr>
            <w:r w:rsidRPr="00FE0E93">
              <w:t>2.7</w:t>
            </w:r>
          </w:p>
        </w:tc>
        <w:tc>
          <w:tcPr>
            <w:tcW w:w="0" w:type="auto"/>
            <w:shd w:val="clear" w:color="auto" w:fill="auto"/>
            <w:vAlign w:val="center"/>
          </w:tcPr>
          <w:p w14:paraId="3B193B5E" w14:textId="6A08BFC1" w:rsidR="00066129" w:rsidRPr="00FE0E93" w:rsidRDefault="00066129" w:rsidP="00FE0E93">
            <w:pPr>
              <w:pStyle w:val="MDPI42tablebody"/>
              <w:autoSpaceDE w:val="0"/>
              <w:autoSpaceDN w:val="0"/>
              <w:spacing w:line="240" w:lineRule="auto"/>
            </w:pPr>
            <w:r w:rsidRPr="00FE0E93">
              <w:t>8.9k ± 0.2k</w:t>
            </w:r>
          </w:p>
        </w:tc>
        <w:tc>
          <w:tcPr>
            <w:tcW w:w="0" w:type="auto"/>
            <w:shd w:val="clear" w:color="auto" w:fill="auto"/>
            <w:vAlign w:val="center"/>
          </w:tcPr>
          <w:p w14:paraId="52074895" w14:textId="68FA8B12" w:rsidR="00066129" w:rsidRPr="00FE0E93" w:rsidRDefault="00066129" w:rsidP="00FE0E93">
            <w:pPr>
              <w:pStyle w:val="MDPI42tablebody"/>
              <w:autoSpaceDE w:val="0"/>
              <w:autoSpaceDN w:val="0"/>
              <w:spacing w:line="240" w:lineRule="auto"/>
            </w:pPr>
            <w:r w:rsidRPr="00FE0E93">
              <w:t>3.2 ± 0.1 (3.4)</w:t>
            </w:r>
          </w:p>
        </w:tc>
        <w:tc>
          <w:tcPr>
            <w:tcW w:w="0" w:type="auto"/>
            <w:shd w:val="clear" w:color="auto" w:fill="auto"/>
            <w:vAlign w:val="center"/>
          </w:tcPr>
          <w:p w14:paraId="7C78683F" w14:textId="5B85BB63" w:rsidR="00066129" w:rsidRPr="00FE0E93" w:rsidRDefault="00066129" w:rsidP="00FE0E93">
            <w:pPr>
              <w:pStyle w:val="MDPI42tablebody"/>
              <w:autoSpaceDE w:val="0"/>
              <w:autoSpaceDN w:val="0"/>
              <w:spacing w:line="240" w:lineRule="auto"/>
            </w:pPr>
            <w:r w:rsidRPr="00FE0E93">
              <w:t>2.5 ± 0.3 (2.9)</w:t>
            </w:r>
          </w:p>
        </w:tc>
      </w:tr>
      <w:tr w:rsidR="00095A9D" w:rsidRPr="00FE0E93" w14:paraId="4AD99957" w14:textId="77777777" w:rsidTr="00FE0E93">
        <w:trPr>
          <w:jc w:val="center"/>
        </w:trPr>
        <w:tc>
          <w:tcPr>
            <w:tcW w:w="0" w:type="auto"/>
            <w:shd w:val="clear" w:color="auto" w:fill="auto"/>
            <w:vAlign w:val="center"/>
          </w:tcPr>
          <w:p w14:paraId="5CA33E14" w14:textId="5451CB4A" w:rsidR="00095A9D" w:rsidRPr="00FE0E93" w:rsidRDefault="00095A9D" w:rsidP="00FE788B">
            <w:pPr>
              <w:pStyle w:val="MDPI42tablebody"/>
              <w:autoSpaceDE w:val="0"/>
              <w:autoSpaceDN w:val="0"/>
              <w:spacing w:line="240" w:lineRule="auto"/>
              <w:jc w:val="left"/>
            </w:pPr>
            <w:r w:rsidRPr="00FE0E93">
              <w:t>ITO/(Cu-Li):NiCo</w:t>
            </w:r>
            <w:r w:rsidRPr="00FE0E93">
              <w:rPr>
                <w:vertAlign w:val="subscript"/>
              </w:rPr>
              <w:t>2</w:t>
            </w:r>
            <w:r w:rsidRPr="00FE0E93">
              <w:t>O</w:t>
            </w:r>
            <w:r w:rsidRPr="00FE0E93">
              <w:rPr>
                <w:vertAlign w:val="subscript"/>
              </w:rPr>
              <w:t>4</w:t>
            </w:r>
            <w:r w:rsidRPr="00FE0E93">
              <w:t xml:space="preserve"> (~15 nm)</w:t>
            </w:r>
          </w:p>
        </w:tc>
        <w:tc>
          <w:tcPr>
            <w:tcW w:w="0" w:type="auto"/>
            <w:shd w:val="clear" w:color="auto" w:fill="auto"/>
            <w:vAlign w:val="center"/>
          </w:tcPr>
          <w:p w14:paraId="7D917701" w14:textId="60F0AE26" w:rsidR="00095A9D" w:rsidRPr="00FE0E93" w:rsidRDefault="00095A9D" w:rsidP="00FE0E93">
            <w:pPr>
              <w:pStyle w:val="MDPI42tablebody"/>
              <w:autoSpaceDE w:val="0"/>
              <w:autoSpaceDN w:val="0"/>
              <w:spacing w:line="240" w:lineRule="auto"/>
            </w:pPr>
            <w:r w:rsidRPr="00FE0E93">
              <w:t>2.7</w:t>
            </w:r>
          </w:p>
        </w:tc>
        <w:tc>
          <w:tcPr>
            <w:tcW w:w="0" w:type="auto"/>
            <w:shd w:val="clear" w:color="auto" w:fill="auto"/>
            <w:vAlign w:val="center"/>
          </w:tcPr>
          <w:p w14:paraId="508F573A" w14:textId="0C55C099" w:rsidR="00095A9D" w:rsidRPr="00FE0E93" w:rsidRDefault="00095A9D" w:rsidP="00FE0E93">
            <w:pPr>
              <w:pStyle w:val="MDPI42tablebody"/>
              <w:autoSpaceDE w:val="0"/>
              <w:autoSpaceDN w:val="0"/>
              <w:spacing w:line="240" w:lineRule="auto"/>
            </w:pPr>
            <w:r w:rsidRPr="00FE0E93">
              <w:t>9.0k ± 0.5k</w:t>
            </w:r>
          </w:p>
        </w:tc>
        <w:tc>
          <w:tcPr>
            <w:tcW w:w="0" w:type="auto"/>
            <w:shd w:val="clear" w:color="auto" w:fill="auto"/>
            <w:vAlign w:val="center"/>
          </w:tcPr>
          <w:p w14:paraId="26121B45" w14:textId="50CA6A6C" w:rsidR="00095A9D" w:rsidRPr="00FE0E93" w:rsidRDefault="00095A9D" w:rsidP="00FE0E93">
            <w:pPr>
              <w:pStyle w:val="MDPI42tablebody"/>
              <w:autoSpaceDE w:val="0"/>
              <w:autoSpaceDN w:val="0"/>
              <w:spacing w:line="240" w:lineRule="auto"/>
            </w:pPr>
            <w:r w:rsidRPr="00FE0E93">
              <w:t>3.5 ± 0.1 (3.7)</w:t>
            </w:r>
          </w:p>
        </w:tc>
        <w:tc>
          <w:tcPr>
            <w:tcW w:w="0" w:type="auto"/>
            <w:shd w:val="clear" w:color="auto" w:fill="auto"/>
            <w:vAlign w:val="center"/>
          </w:tcPr>
          <w:p w14:paraId="1FACFFAF" w14:textId="00619DF6" w:rsidR="00095A9D" w:rsidRPr="00FE0E93" w:rsidRDefault="00095A9D" w:rsidP="00FE0E93">
            <w:pPr>
              <w:pStyle w:val="MDPI42tablebody"/>
              <w:autoSpaceDE w:val="0"/>
              <w:autoSpaceDN w:val="0"/>
              <w:spacing w:line="240" w:lineRule="auto"/>
            </w:pPr>
            <w:r w:rsidRPr="00FE0E93">
              <w:t>2.9 ± 0.2 (3.1)</w:t>
            </w:r>
          </w:p>
        </w:tc>
      </w:tr>
      <w:tr w:rsidR="00095A9D" w:rsidRPr="00FE0E93" w14:paraId="3FE80AFB" w14:textId="77777777" w:rsidTr="00FE0E93">
        <w:trPr>
          <w:jc w:val="center"/>
        </w:trPr>
        <w:tc>
          <w:tcPr>
            <w:tcW w:w="0" w:type="auto"/>
            <w:tcBorders>
              <w:bottom w:val="single" w:sz="8" w:space="0" w:color="auto"/>
            </w:tcBorders>
            <w:shd w:val="clear" w:color="auto" w:fill="auto"/>
            <w:vAlign w:val="center"/>
          </w:tcPr>
          <w:p w14:paraId="4B9B2136" w14:textId="64AEF98D" w:rsidR="00095A9D" w:rsidRPr="00FE0E93" w:rsidRDefault="00095A9D" w:rsidP="00FE788B">
            <w:pPr>
              <w:pStyle w:val="MDPI42tablebody"/>
              <w:autoSpaceDE w:val="0"/>
              <w:autoSpaceDN w:val="0"/>
              <w:spacing w:line="240" w:lineRule="auto"/>
              <w:jc w:val="left"/>
            </w:pPr>
            <w:r w:rsidRPr="00FE0E93">
              <w:t>ITO/(Cu-Li):NiCo</w:t>
            </w:r>
            <w:r w:rsidRPr="00FE0E93">
              <w:rPr>
                <w:vertAlign w:val="subscript"/>
              </w:rPr>
              <w:t>2</w:t>
            </w:r>
            <w:r w:rsidRPr="00FE0E93">
              <w:t>O</w:t>
            </w:r>
            <w:r w:rsidRPr="00FE0E93">
              <w:rPr>
                <w:vertAlign w:val="subscript"/>
              </w:rPr>
              <w:t>4</w:t>
            </w:r>
            <w:r w:rsidRPr="00FE0E93">
              <w:t xml:space="preserve"> (~10 nm)</w:t>
            </w:r>
          </w:p>
        </w:tc>
        <w:tc>
          <w:tcPr>
            <w:tcW w:w="0" w:type="auto"/>
            <w:tcBorders>
              <w:bottom w:val="single" w:sz="8" w:space="0" w:color="auto"/>
            </w:tcBorders>
            <w:shd w:val="clear" w:color="auto" w:fill="auto"/>
            <w:vAlign w:val="center"/>
          </w:tcPr>
          <w:p w14:paraId="1955EB29" w14:textId="2004C902" w:rsidR="00095A9D" w:rsidRPr="00FE0E93" w:rsidRDefault="00095A9D" w:rsidP="00FE0E93">
            <w:pPr>
              <w:pStyle w:val="MDPI42tablebody"/>
              <w:autoSpaceDE w:val="0"/>
              <w:autoSpaceDN w:val="0"/>
              <w:spacing w:line="240" w:lineRule="auto"/>
            </w:pPr>
            <w:r w:rsidRPr="00FE0E93">
              <w:t>2.8</w:t>
            </w:r>
          </w:p>
        </w:tc>
        <w:tc>
          <w:tcPr>
            <w:tcW w:w="0" w:type="auto"/>
            <w:tcBorders>
              <w:bottom w:val="single" w:sz="8" w:space="0" w:color="auto"/>
            </w:tcBorders>
            <w:shd w:val="clear" w:color="auto" w:fill="auto"/>
            <w:vAlign w:val="center"/>
          </w:tcPr>
          <w:p w14:paraId="102B55DF" w14:textId="12AE9D10" w:rsidR="00095A9D" w:rsidRPr="00FE0E93" w:rsidRDefault="00095A9D" w:rsidP="00FE0E93">
            <w:pPr>
              <w:pStyle w:val="MDPI42tablebody"/>
              <w:autoSpaceDE w:val="0"/>
              <w:autoSpaceDN w:val="0"/>
              <w:spacing w:line="240" w:lineRule="auto"/>
            </w:pPr>
            <w:r w:rsidRPr="00FE0E93">
              <w:t>8.0k ± 1.5k</w:t>
            </w:r>
          </w:p>
        </w:tc>
        <w:tc>
          <w:tcPr>
            <w:tcW w:w="0" w:type="auto"/>
            <w:tcBorders>
              <w:bottom w:val="single" w:sz="8" w:space="0" w:color="auto"/>
            </w:tcBorders>
            <w:shd w:val="clear" w:color="auto" w:fill="auto"/>
            <w:vAlign w:val="center"/>
          </w:tcPr>
          <w:p w14:paraId="6989F48C" w14:textId="1680F2FB" w:rsidR="00095A9D" w:rsidRPr="00FE0E93" w:rsidRDefault="00095A9D" w:rsidP="00FE0E93">
            <w:pPr>
              <w:pStyle w:val="MDPI42tablebody"/>
              <w:autoSpaceDE w:val="0"/>
              <w:autoSpaceDN w:val="0"/>
              <w:spacing w:line="240" w:lineRule="auto"/>
            </w:pPr>
            <w:r w:rsidRPr="00FE0E93">
              <w:t>3.4 ± 0.3 (3.7)</w:t>
            </w:r>
          </w:p>
        </w:tc>
        <w:tc>
          <w:tcPr>
            <w:tcW w:w="0" w:type="auto"/>
            <w:tcBorders>
              <w:bottom w:val="single" w:sz="8" w:space="0" w:color="auto"/>
            </w:tcBorders>
            <w:shd w:val="clear" w:color="auto" w:fill="auto"/>
            <w:vAlign w:val="center"/>
          </w:tcPr>
          <w:p w14:paraId="6C7782F6" w14:textId="05F9EB0C" w:rsidR="00095A9D" w:rsidRPr="00FE0E93" w:rsidRDefault="00095A9D" w:rsidP="00FE0E93">
            <w:pPr>
              <w:pStyle w:val="MDPI42tablebody"/>
              <w:autoSpaceDE w:val="0"/>
              <w:autoSpaceDN w:val="0"/>
              <w:spacing w:line="240" w:lineRule="auto"/>
            </w:pPr>
            <w:r w:rsidRPr="00FE0E93">
              <w:t>2.8 ± 0.3 (3.0)</w:t>
            </w:r>
          </w:p>
        </w:tc>
      </w:tr>
    </w:tbl>
    <w:p w14:paraId="1FE2B3E9" w14:textId="168213FF" w:rsidR="007B7C12" w:rsidRDefault="007B7C12" w:rsidP="007B7C12">
      <w:pPr>
        <w:pStyle w:val="MDPI31text"/>
      </w:pPr>
    </w:p>
    <w:p w14:paraId="602D9670" w14:textId="4F79F31A" w:rsidR="004D597E" w:rsidRDefault="00351835" w:rsidP="00FE0E93">
      <w:pPr>
        <w:pStyle w:val="MDPI52figure"/>
      </w:pPr>
      <w:r>
        <w:rPr>
          <w:noProof/>
          <w:lang w:eastAsia="en-US" w:bidi="ar-SA"/>
        </w:rPr>
        <w:lastRenderedPageBreak/>
        <w:drawing>
          <wp:inline distT="0" distB="0" distL="0" distR="0" wp14:anchorId="36C47281" wp14:editId="68761262">
            <wp:extent cx="5615940" cy="228854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l="3220" r="2980"/>
                    <a:stretch>
                      <a:fillRect/>
                    </a:stretch>
                  </pic:blipFill>
                  <pic:spPr bwMode="auto">
                    <a:xfrm>
                      <a:off x="0" y="0"/>
                      <a:ext cx="5615940" cy="2288540"/>
                    </a:xfrm>
                    <a:prstGeom prst="rect">
                      <a:avLst/>
                    </a:prstGeom>
                    <a:noFill/>
                    <a:ln>
                      <a:noFill/>
                    </a:ln>
                  </pic:spPr>
                </pic:pic>
              </a:graphicData>
            </a:graphic>
          </wp:inline>
        </w:drawing>
      </w:r>
    </w:p>
    <w:p w14:paraId="5CE0F556" w14:textId="518BC3D3" w:rsidR="00351835" w:rsidRPr="007505F7" w:rsidRDefault="004D597E" w:rsidP="004D597E">
      <w:pPr>
        <w:pStyle w:val="MDPI41tablecaption"/>
      </w:pPr>
      <w:bookmarkStart w:id="2" w:name="_Ref53139217"/>
      <w:r w:rsidRPr="004D597E">
        <w:rPr>
          <w:b/>
          <w:bCs/>
        </w:rPr>
        <w:t>Figure S</w:t>
      </w:r>
      <w:r w:rsidRPr="004D597E">
        <w:rPr>
          <w:b/>
          <w:bCs/>
        </w:rPr>
        <w:fldChar w:fldCharType="begin"/>
      </w:r>
      <w:r w:rsidRPr="004D597E">
        <w:rPr>
          <w:b/>
          <w:bCs/>
        </w:rPr>
        <w:instrText xml:space="preserve"> SEQ Figure_S \* ARABIC </w:instrText>
      </w:r>
      <w:r w:rsidRPr="004D597E">
        <w:rPr>
          <w:b/>
          <w:bCs/>
        </w:rPr>
        <w:fldChar w:fldCharType="separate"/>
      </w:r>
      <w:r w:rsidR="009D782D">
        <w:rPr>
          <w:b/>
          <w:bCs/>
          <w:noProof/>
        </w:rPr>
        <w:t>2</w:t>
      </w:r>
      <w:r w:rsidRPr="004D597E">
        <w:rPr>
          <w:b/>
          <w:bCs/>
        </w:rPr>
        <w:fldChar w:fldCharType="end"/>
      </w:r>
      <w:bookmarkEnd w:id="2"/>
      <w:r w:rsidRPr="004D597E">
        <w:rPr>
          <w:b/>
          <w:bCs/>
        </w:rPr>
        <w:t>.</w:t>
      </w:r>
      <w:r w:rsidRPr="004D597E">
        <w:t xml:space="preserve"> </w:t>
      </w:r>
      <w:r w:rsidRPr="007505F7">
        <w:t xml:space="preserve">Performance of OLED devices based on ITO/SCS metal-oxide bottom electrodes, using different metal oxide interlayers, a) current efficiency over device luminance, b) semi-log </w:t>
      </w:r>
      <w:r w:rsidRPr="007505F7">
        <w:rPr>
          <w:i/>
        </w:rPr>
        <w:t xml:space="preserve">JV </w:t>
      </w:r>
      <w:r w:rsidRPr="007505F7">
        <w:t>- leakage current characteristics.</w:t>
      </w:r>
    </w:p>
    <w:p w14:paraId="6AA85230" w14:textId="2D4FEFC9" w:rsidR="00CF0229" w:rsidRDefault="00351835" w:rsidP="00FE0E93">
      <w:pPr>
        <w:pStyle w:val="MDPI31text"/>
      </w:pPr>
      <w:r w:rsidRPr="00FD4FD9">
        <w:t>Replacing (Cu-Li):NiCo</w:t>
      </w:r>
      <w:r w:rsidRPr="00D57E14">
        <w:rPr>
          <w:vertAlign w:val="subscript"/>
        </w:rPr>
        <w:t>2</w:t>
      </w:r>
      <w:r w:rsidRPr="00FD4FD9">
        <w:t>O</w:t>
      </w:r>
      <w:r w:rsidRPr="00D57E14">
        <w:rPr>
          <w:vertAlign w:val="subscript"/>
        </w:rPr>
        <w:t>4</w:t>
      </w:r>
      <w:r w:rsidRPr="00FD4FD9">
        <w:t xml:space="preserve"> by Cu:NiO</w:t>
      </w:r>
      <w:r w:rsidRPr="00D57E14">
        <w:rPr>
          <w:vertAlign w:val="subscript"/>
        </w:rPr>
        <w:t>x</w:t>
      </w:r>
      <w:r w:rsidRPr="00FD4FD9">
        <w:t xml:space="preserve"> or CuO</w:t>
      </w:r>
      <w:r w:rsidRPr="00D57E14">
        <w:rPr>
          <w:vertAlign w:val="subscript"/>
        </w:rPr>
        <w:t>x</w:t>
      </w:r>
      <w:r w:rsidRPr="00FD4FD9">
        <w:t xml:space="preserve"> using a type B (</w:t>
      </w:r>
      <w:r w:rsidR="008E59BA">
        <w:t>indium tin oxide/metal oxid</w:t>
      </w:r>
      <w:r w:rsidR="004F4A21">
        <w:t>e</w:t>
      </w:r>
      <w:r w:rsidRPr="00FD4FD9">
        <w:t xml:space="preserve">) device configuration, the performance analysis in </w:t>
      </w:r>
      <w:r w:rsidR="00691771" w:rsidRPr="00FE788B">
        <w:t>Figure S2</w:t>
      </w:r>
      <w:r w:rsidRPr="00FD4FD9">
        <w:t xml:space="preserve"> points out to even lower efficiencies. Both Cu:NiO</w:t>
      </w:r>
      <w:r w:rsidRPr="00D57E14">
        <w:rPr>
          <w:vertAlign w:val="subscript"/>
        </w:rPr>
        <w:t>x</w:t>
      </w:r>
      <w:r w:rsidRPr="00FD4FD9">
        <w:t xml:space="preserve"> and CuO</w:t>
      </w:r>
      <w:r w:rsidRPr="00D57E14">
        <w:rPr>
          <w:vertAlign w:val="subscript"/>
        </w:rPr>
        <w:t>x</w:t>
      </w:r>
      <w:r w:rsidRPr="00FD4FD9">
        <w:t xml:space="preserve"> showed reduced performance in comparison to the optimized (Cu-Li):NiCo</w:t>
      </w:r>
      <w:r w:rsidRPr="00D57E14">
        <w:rPr>
          <w:vertAlign w:val="subscript"/>
        </w:rPr>
        <w:t>2</w:t>
      </w:r>
      <w:r w:rsidRPr="00FD4FD9">
        <w:t>O</w:t>
      </w:r>
      <w:r w:rsidRPr="00D57E14">
        <w:rPr>
          <w:vertAlign w:val="subscript"/>
        </w:rPr>
        <w:t>4</w:t>
      </w:r>
      <w:r w:rsidRPr="00FD4FD9">
        <w:t>, due to their much lower electrical conductivity Cu:NiO</w:t>
      </w:r>
      <w:r w:rsidRPr="00D57E14">
        <w:rPr>
          <w:vertAlign w:val="subscript"/>
        </w:rPr>
        <w:t>x</w:t>
      </w:r>
      <w:r w:rsidRPr="00FD4FD9">
        <w:t xml:space="preserve"> (~1.25 x 10</w:t>
      </w:r>
      <w:r w:rsidRPr="00D57E14">
        <w:rPr>
          <w:vertAlign w:val="superscript"/>
        </w:rPr>
        <w:t>-3</w:t>
      </w:r>
      <w:r w:rsidRPr="00FD4FD9">
        <w:t xml:space="preserve"> S/cm) </w:t>
      </w:r>
      <w:r w:rsidRPr="00FD4FD9">
        <w:fldChar w:fldCharType="begin" w:fldLock="1"/>
      </w:r>
      <w:r w:rsidR="00DA7917">
        <w:instrText>ADDIN CSL_CITATION {"citationItems":[{"id":"ITEM-1","itemData":{"DOI":"10.1002/adma.201503298","ISSN":"15214095","PMID":"26484846","abstract":"Low-temperature, solution-processable Cu-doped NiOX (Cu:NiOx), prepared via combustion chemistry, is demonstrated as an excellent hole-transporting layer (HTL) for thin-film perovskite solar cells (PVSCs). Its good crystallinity, conductivity, and hole-extraction properties enable the derived PVSC to have a high power conversion efficiency (PCE) of 17.74%. Its general applicability for various elecrode materials is also revealed.","author":[{"dropping-particle":"","family":"Jung","given":"Jae Woong","non-dropping-particle":"","parse-names":false,"suffix":""},{"dropping-particle":"","family":"Chueh","given":"Chu Chen","non-dropping-particle":"","parse-names":false,"suffix":""},{"dropping-particle":"","family":"Jen","given":"Alex K.Y.","non-dropping-particle":"","parse-names":false,"suffix":""}],"container-title":"Advanced Materials","id":"ITEM-1","issue":"47","issued":{"date-parts":[["2015"]]},"page":"7874-7880","title":"A Low-Temperature, Solution-Processable, Cu-Doped Nickel Oxide Hole-Transporting Layer via the Combustion Method for High-Performance Thin-Film Perovskite Solar Cells","type":"article-journal","volume":"27"},"uris":["http://www.mendeley.com/documents/?uuid=f7e86ff2-dddc-4931-aa46-c70cbcf069e6"]}],"mendeley":{"formattedCitation":"[1]","plainTextFormattedCitation":"[1]","previouslyFormattedCitation":"[33]"},"properties":{"noteIndex":0},"schema":"https://github.com/citation-style-language/schema/raw/master/csl-citation.json"}</w:instrText>
      </w:r>
      <w:r w:rsidRPr="00FD4FD9">
        <w:fldChar w:fldCharType="separate"/>
      </w:r>
      <w:r w:rsidR="00DA7917" w:rsidRPr="00DA7917">
        <w:rPr>
          <w:noProof/>
        </w:rPr>
        <w:t>[1]</w:t>
      </w:r>
      <w:r w:rsidRPr="00FD4FD9">
        <w:fldChar w:fldCharType="end"/>
      </w:r>
      <w:r w:rsidRPr="00FD4FD9">
        <w:t xml:space="preserve"> and CuO</w:t>
      </w:r>
      <w:r w:rsidRPr="00D57E14">
        <w:rPr>
          <w:vertAlign w:val="subscript"/>
        </w:rPr>
        <w:t>x</w:t>
      </w:r>
      <w:r w:rsidRPr="00FD4FD9">
        <w:t xml:space="preserve"> (~1 x 10</w:t>
      </w:r>
      <w:r w:rsidRPr="00D57E14">
        <w:rPr>
          <w:vertAlign w:val="superscript"/>
        </w:rPr>
        <w:t>-6</w:t>
      </w:r>
      <w:r w:rsidRPr="00FD4FD9">
        <w:t xml:space="preserve"> S/cm) </w:t>
      </w:r>
      <w:r w:rsidRPr="00FD4FD9">
        <w:fldChar w:fldCharType="begin" w:fldLock="1"/>
      </w:r>
      <w:r w:rsidR="00DA7917">
        <w:instrText>ADDIN CSL_CITATION {"citationItems":[{"id":"ITEM-1","itemData":{"DOI":"10.1007/s10854-011-0616-2","ISSN":"09574522","abstract":"Nanocrystalline copper oxide (CuO) thin films have been synthesized by a sol-gel method using cupric acetate Cu (CH 3COO) as a precursor. The as prepared powder was sintered at various temperatures in the range of (300-700 °C) and has been deposited onto a glass substrates using spin coating technique. The structural, compositional, morphological, electrical optical and gas sensing properties of CuO thin films have been studied by X-ray diffraction, Scanning Electron Microscopy (SEM), Four Probe Resistivity measurement and UV-visible spectrophotometer. The variation in annealing temperature affected the film morphology and optoelectronic properties. X-ray diffraction patterns of CuO films show that all the films are nanocrystallized in the monoclinic structure and present a random orientation. The crystallite size increases with increasing annealing temperature (40-45 nm). The room temperature dc electrical conductivity was increased from 10 -6 to 10 -5 (ω cm) -1, after annealing due to the removal of H 2O vapor which may resist conduction between CuO grain. The thermopower measurement shows that CuO films were found of n-type, apparently suggesting the existence of oxygen vacancies in the structure. The electron carrier concentration (n) and mobility (μ) of CuO films annealed at 400-700 °C were estimated to be of the order of 4.6-7.2 × 10 19 cm -3 and 3.7-5.4 × 10 -5 cm 2 V -1 s -1 respectively. It is observed that CuO thin film annealing at 700 °C after deposition provide a smooth and flat texture suited for optoelectronic applications. The optical band gap energy decreases (1.64-1.46 eV) with increasing annealing temperature. It was observed that the crystallite size increases with increasing annealing temperature. These modifications influence the morphology, electrical and optical properties. © Springer Science+Business Media, LLC 2012.","author":[{"dropping-particle":"","family":"Jundale","given":"D. M.","non-dropping-particle":"","parse-names":false,"suffix":""},{"dropping-particle":"","family":"Joshi","given":"P. B.","non-dropping-particle":"","parse-names":false,"suffix":""},{"dropping-particle":"","family":"Sen","given":"Shashwati","non-dropping-particle":"","parse-names":false,"suffix":""},{"dropping-particle":"","family":"Patil","given":"V. B.","non-dropping-particle":"","parse-names":false,"suffix":""}],"container-title":"Journal of Materials Science: Materials in Electronics","id":"ITEM-1","issue":"8","issued":{"date-parts":[["2012"]]},"page":"1492-1499","title":"Nanocrystalline CuO thin films: Synthesis, microstructural and optoelectronic properties","type":"article-journal","volume":"23"},"uris":["http://www.mendeley.com/documents/?uuid=8e6678f5-ec16-4c48-adeb-b275a6744783"]}],"mendeley":{"formattedCitation":"[2]","plainTextFormattedCitation":"[2]","previouslyFormattedCitation":"[44]"},"properties":{"noteIndex":0},"schema":"https://github.com/citation-style-language/schema/raw/master/csl-citation.json"}</w:instrText>
      </w:r>
      <w:r w:rsidRPr="00FD4FD9">
        <w:fldChar w:fldCharType="separate"/>
      </w:r>
      <w:r w:rsidR="00DA7917" w:rsidRPr="00DA7917">
        <w:rPr>
          <w:noProof/>
        </w:rPr>
        <w:t>[2]</w:t>
      </w:r>
      <w:r w:rsidRPr="00FD4FD9">
        <w:fldChar w:fldCharType="end"/>
      </w:r>
      <w:r w:rsidRPr="00FD4FD9">
        <w:t>, in comparison to (Cu-Li):NiCo</w:t>
      </w:r>
      <w:r w:rsidRPr="00D57E14">
        <w:rPr>
          <w:vertAlign w:val="subscript"/>
        </w:rPr>
        <w:t>2</w:t>
      </w:r>
      <w:r w:rsidRPr="00FD4FD9">
        <w:t>O</w:t>
      </w:r>
      <w:r w:rsidRPr="00D57E14">
        <w:rPr>
          <w:vertAlign w:val="subscript"/>
        </w:rPr>
        <w:t>4</w:t>
      </w:r>
      <w:r w:rsidRPr="00FD4FD9">
        <w:t xml:space="preserve"> (~4 S/cm) </w:t>
      </w:r>
      <w:r w:rsidRPr="00FD4FD9">
        <w:fldChar w:fldCharType="begin" w:fldLock="1"/>
      </w:r>
      <w:r w:rsidR="00DA7917">
        <w:instrText>ADDIN CSL_CITATION {"citationItems":[{"id":"ITEM-1","itemData":{"DOI":"10.1063/1.5079954","ISSN":"2166-532X","author":[{"dropping-particle":"","family":"Ioakeimidis","given":"Apostolos","non-dropping-particle":"","parse-names":false,"suffix":""},{"dropping-particle":"","family":"Papadas","given":"Ioannis T.","non-dropping-particle":"","parse-names":false,"suffix":""},{"dropping-particle":"","family":"Tsikritzis","given":"Dimitris","non-dropping-particle":"","parse-names":false,"suffix":""},{"dropping-particle":"","family":"Armatas","given":"Gerasimos S.","non-dropping-particle":"","parse-names":false,"suffix":""},{"dropping-particle":"","family":"Kennou","given":"Stella","non-dropping-particle":"","parse-names":false,"suffix":""},{"dropping-particle":"","family":"Choulis","given":"Stelios A.","non-dropping-particle":"","parse-names":false,"suffix":""}],"container-title":"APL Materials","id":"ITEM-1","issue":"2","issued":{"date-parts":[["2019","2"]]},"page":"021101","title":"Enhanced photovoltaic performance of perovskite solar cells by Co-doped spinel nickel cobaltite hole transporting layer","type":"article-journal","volume":"7"},"uris":["http://www.mendeley.com/documents/?uuid=1e5fe711-a113-4a38-9d2f-01184738dc2d"]}],"mendeley":{"formattedCitation":"[3]","plainTextFormattedCitation":"[3]","previouslyFormattedCitation":"[27]"},"properties":{"noteIndex":0},"schema":"https://github.com/citation-style-language/schema/raw/master/csl-citation.json"}</w:instrText>
      </w:r>
      <w:r w:rsidRPr="00FD4FD9">
        <w:fldChar w:fldCharType="separate"/>
      </w:r>
      <w:r w:rsidR="00DA7917" w:rsidRPr="00DA7917">
        <w:rPr>
          <w:noProof/>
        </w:rPr>
        <w:t>[3]</w:t>
      </w:r>
      <w:r w:rsidRPr="00FD4FD9">
        <w:fldChar w:fldCharType="end"/>
      </w:r>
      <w:r w:rsidRPr="00FD4FD9">
        <w:t xml:space="preserve">. Studying the </w:t>
      </w:r>
      <w:r w:rsidR="00691771" w:rsidRPr="00FE788B">
        <w:t>Figure S2</w:t>
      </w:r>
      <w:r w:rsidRPr="00FE788B">
        <w:rPr>
          <w:bCs/>
        </w:rPr>
        <w:t>b</w:t>
      </w:r>
      <w:r w:rsidRPr="00FD4FD9">
        <w:t xml:space="preserve"> </w:t>
      </w:r>
      <w:proofErr w:type="spellStart"/>
      <w:r w:rsidRPr="00FD4FD9">
        <w:t>Cu:NiO</w:t>
      </w:r>
      <w:r w:rsidRPr="00D57E14">
        <w:rPr>
          <w:vertAlign w:val="subscript"/>
        </w:rPr>
        <w:t>x</w:t>
      </w:r>
      <w:proofErr w:type="spellEnd"/>
      <w:r w:rsidRPr="00FD4FD9">
        <w:t xml:space="preserve"> presents similar leakage current characteristics to our reference device ITO/PEDOT:PSS due to its high LUMO level (~1.8</w:t>
      </w:r>
      <w:r w:rsidR="009F1412">
        <w:t xml:space="preserve"> </w:t>
      </w:r>
      <w:r w:rsidRPr="00FD4FD9">
        <w:t xml:space="preserve">eV) of </w:t>
      </w:r>
      <w:r w:rsidRPr="00FD4FD9">
        <w:fldChar w:fldCharType="begin" w:fldLock="1"/>
      </w:r>
      <w:r w:rsidR="00DA7917">
        <w:instrText>ADDIN CSL_CITATION {"citationItems":[{"id":"ITEM-1","itemData":{"DOI":"10.1021/acsphotonics.8b00656","ISSN":"23304022","abstract":"We demonstrate a Cu(I) and Cu(II) codoped nickel(II) oxide (NiOx) hole injection layer (HIL) for solution-processed hybrid organic-inorganic light-emitting diodes (HyLEDs). Codoped NiOx films show no degradation on optical properties in the visible range (400-700 nm) but have enhanced electrical properties compared to those of conventional Cu(II)-only doped NiOx film. Codoped NiOx film shows an over four times increased vertical current in comparison with that of NiOx in conductive atomic force microscopy (c-AFM) configuration. Moreover, the hole injection ability of codoped NiOx is also improved, which has ionization energy of 5.45 eV, 0.14 eV higher than the value of NiOx film. These improvements are a consequence of surface chemical composition change in NiOx due to Cu cation codoping. More off-stoichiometric NiOx formed by codoping includes a large amount of Ni vacancies, which lead to better electrical properties. Density functional theory calculations also show that Cu doped NiO model structure with Ni vacancy contains diverse oxidation states of Ni based on both density of states and partial atomic charge analysis. Finally, HyLEDs of Cu codoped NiOx HIL have higher performance comparing with those of pristine NiOx. The current efficiency of devices with NiOx and codoped NiOx HIL are 11.2 and 15.4 cd/A, respectively. Therefore, codoped NiOx is applicable to various optoelectronic devices due to simple sol-gel process and enhanced doping efficiency.","author":[{"dropping-particle":"","family":"Kim","given":"Moohyun","non-dropping-particle":"","parse-names":false,"suffix":""},{"dropping-particle":"","family":"Joo","given":"Chul Woong","non-dropping-particle":"","parse-names":false,"suffix":""},{"dropping-particle":"","family":"Kim","given":"Jong H.","non-dropping-particle":"","parse-names":false,"suffix":""},{"dropping-particle":"","family":"Choi","given":"Wonseok","non-dropping-particle":"","parse-names":false,"suffix":""},{"dropping-particle":"","family":"Lee","given":"Jonghee","non-dropping-particle":"","parse-names":false,"suffix":""},{"dropping-particle":"","family":"Lee","given":"Dongchan","non-dropping-particle":"","parse-names":false,"suffix":""},{"dropping-particle":"","family":"Cho","given":"Hyunsu","non-dropping-particle":"","parse-names":false,"suffix":""},{"dropping-particle":"","family":"Lee","given":"Hyunkoo","non-dropping-particle":"","parse-names":false,"suffix":""},{"dropping-particle":"","family":"Park","given":"Sunjoong","non-dropping-particle":"","parse-names":false,"suffix":""},{"dropping-particle":"","family":"Cho","given":"Nam Sung","non-dropping-particle":"","parse-names":false,"suffix":""},{"dropping-particle":"","family":"Cho","given":"Hyunjin","non-dropping-particle":"","parse-names":false,"suffix":""},{"dropping-particle":"","family":"Lee","given":"Chan Woo","non-dropping-particle":"","parse-names":false,"suffix":""},{"dropping-particle":"","family":"Jeon","given":"Duk Young","non-dropping-particle":"","parse-names":false,"suffix":""},{"dropping-particle":"","family":"Kwon","given":"Byoung Hwa","non-dropping-particle":"","parse-names":false,"suffix":""}],"container-title":"ACS Photonics","id":"ITEM-1","issue":"8","issued":{"date-parts":[["2018"]]},"page":"3389-3398","title":"Conductivity Enhancement of Nickel Oxide by Copper Cation Codoping for Hybrid Organic-Inorganic Light-Emitting Diodes","type":"article-journal","volume":"5"},"uris":["http://www.mendeley.com/documents/?uuid=426a522d-2f88-4d91-bf9d-85f65f8bd18c"]}],"mendeley":{"formattedCitation":"[4]","plainTextFormattedCitation":"[4]","previouslyFormattedCitation":"[45]"},"properties":{"noteIndex":0},"schema":"https://github.com/citation-style-language/schema/raw/master/csl-citation.json"}</w:instrText>
      </w:r>
      <w:r w:rsidRPr="00FD4FD9">
        <w:fldChar w:fldCharType="separate"/>
      </w:r>
      <w:r w:rsidR="00DA7917" w:rsidRPr="00DA7917">
        <w:rPr>
          <w:noProof/>
        </w:rPr>
        <w:t>[4]</w:t>
      </w:r>
      <w:r w:rsidRPr="00FD4FD9">
        <w:fldChar w:fldCharType="end"/>
      </w:r>
      <w:r w:rsidRPr="00FD4FD9">
        <w:t xml:space="preserve"> that ensures electron blocking from super-yellow active layer, however the much lower forward bias current lead to reduced device efficiency. The effect of proper energy level alignment and electrical conductivity of MO, is strongly distinct in CuO</w:t>
      </w:r>
      <w:r w:rsidRPr="009F1412">
        <w:rPr>
          <w:vertAlign w:val="subscript"/>
        </w:rPr>
        <w:t>x</w:t>
      </w:r>
      <w:r w:rsidRPr="00FD4FD9">
        <w:t xml:space="preserve"> with much deeper HOMO ~5.6 eV </w:t>
      </w:r>
      <w:r w:rsidRPr="00FD4FD9">
        <w:fldChar w:fldCharType="begin" w:fldLock="1"/>
      </w:r>
      <w:r w:rsidR="00DA7917">
        <w:instrText xml:space="preserve">ADDIN CSL_CITATION {"citationItems":[{"id":"ITEM-1","itemData":{"DOI":"10.1016/j.apsusc.2013.08.063","ISSN":"01694332","abstract":"Various copper oxide films were successfully grown by plasma-enhanced atomic layer deposition (PEALD) at a low temperature of 100 C. X-ray diffraction analysis of the films indicated that phase-controlled deposition of CuO x phases (0 ≤ x &lt; 1) was possible by controlling the number of Cu deposition steps during one PEALD cycle with a fixed oxidation step. When Cu deposition was executed in one step, an amorphous CuO x (x = 0.9) film with a smooth surface (RMS roughness of 0.97 nm) was obtained. On the other hand, when the number of Cu deposition steps was increased to three, a CuO x (x = 0.6) thin film with a polycrystalline phase (grain size: 25 nm) was obtained. The as-deposited CuO 0.6 film showed p-type conductivity (Hall mobility </w:instrText>
      </w:r>
      <w:r w:rsidR="00DA7917">
        <w:rPr>
          <w:rFonts w:ascii="Cambria Math" w:hAnsi="Cambria Math" w:cs="Cambria Math"/>
        </w:rPr>
        <w:instrText>∼</w:instrText>
      </w:r>
      <w:r w:rsidR="00DA7917">
        <w:instrText>37 cm 2 /V</w:instrText>
      </w:r>
      <w:r w:rsidR="00DA7917">
        <w:rPr>
          <w:rFonts w:cs="Palatino Linotype"/>
        </w:rPr>
        <w:instrText>·</w:instrText>
      </w:r>
      <w:r w:rsidR="00DA7917">
        <w:instrText xml:space="preserve">s and hole concentration </w:instrText>
      </w:r>
      <w:r w:rsidR="00DA7917">
        <w:rPr>
          <w:rFonts w:ascii="Cambria Math" w:hAnsi="Cambria Math" w:cs="Cambria Math"/>
        </w:rPr>
        <w:instrText>∼</w:instrText>
      </w:r>
      <w:r w:rsidR="00DA7917">
        <w:instrText xml:space="preserve">5.4 </w:instrText>
      </w:r>
      <w:r w:rsidR="00DA7917">
        <w:rPr>
          <w:rFonts w:cs="Palatino Linotype"/>
        </w:rPr>
        <w:instrText>×</w:instrText>
      </w:r>
      <w:r w:rsidR="00DA7917">
        <w:instrText xml:space="preserve"> 10 14 cm -3 ). Moreover, p-type CuO 0.6 /n-type ZnO heterojunction diodes fabricated on a flexible polyethylene terephthalate substrate exhibited electrical rectification with a threshold voltage of 1.2 V. </w:instrText>
      </w:r>
      <w:r w:rsidR="00DA7917">
        <w:rPr>
          <w:rFonts w:cs="Palatino Linotype"/>
        </w:rPr>
        <w:instrText>©</w:instrText>
      </w:r>
      <w:r w:rsidR="00DA7917">
        <w:instrText xml:space="preserve"> 2013 Elsevier B.V. All rights reserved.","author":[{"dropping-particle":"","family":"Kwon","given":"Jung Dae","non-dropping-particle":"","parse-names":false,"suffix":""},{"dropping-particle":"","family":"Kwon","given":"Se Hun","non-dropping-particle":"","parse-names":false,"suffix":""},{"dropping-particle":"","family":"Jung","given":"Tae Hoon","non-dropping-particle":"","parse-names":false,"suffix":""},{"dropping-particle":"","family":"Nam","given":"Kee Seok","non-dropping-particle":"","parse-names":false,"suffix":""},{"dropping-particle":"","family":"Chung","given":"Kwun Bum","non-dropping-particle":"","parse-names":false,"suffix":""},{"dropping-particle":"","family":"Kim","given":"Dong Ho","non-dropping-particle":"","parse-names":false,"suffix":""},{"dropping-particle":"","family":"Park","given":"Jin Seong","non-dropping-particle":"","parse-names":false,"suffix":""}],"container-title":"Applied Surface Science","id":"ITEM-1","issue":"PARTB","issued":{"date-parts":[["2013"]]},"page":"373-379","publisher":"Elsevier B.V.","title":"Controlled growth and properties of p-type cuprous oxide films by plasma-enhanced atomic layer deposition at low temperature","type":"article-journal","volume":"285"},"uris":["http://www.mendeley.com/documents/?uuid=5523a3ac-3132-4924-a720-f517b8cfe840"]}],"mendeley":{"formattedCitation":"[5]","plainTextFormattedCitation":"[5]","previouslyFormattedCitation":"[46]"},"properties":{"noteIndex":0},"schema":"https://github.com/citation-style-language/schema/raw/master/csl-citation.json"}</w:instrText>
      </w:r>
      <w:r w:rsidRPr="00FD4FD9">
        <w:fldChar w:fldCharType="separate"/>
      </w:r>
      <w:r w:rsidR="00DA7917" w:rsidRPr="00DA7917">
        <w:rPr>
          <w:noProof/>
        </w:rPr>
        <w:t>[5]</w:t>
      </w:r>
      <w:r w:rsidRPr="00FD4FD9">
        <w:fldChar w:fldCharType="end"/>
      </w:r>
      <w:r w:rsidRPr="00FD4FD9">
        <w:t xml:space="preserve">, strongly resisted the charge injection resulting in non-reproducible JVs, and significantly reduced device performance as shown in </w:t>
      </w:r>
      <w:r w:rsidR="00691771" w:rsidRPr="00FE788B">
        <w:t>Figure S2</w:t>
      </w:r>
      <w:r w:rsidR="009F1412" w:rsidRPr="00FE788B">
        <w:rPr>
          <w:bCs/>
        </w:rPr>
        <w:t>a</w:t>
      </w:r>
      <w:r w:rsidRPr="004F4A21">
        <w:t>.</w:t>
      </w:r>
      <w:r w:rsidRPr="009F1412">
        <w:t xml:space="preserve"> </w:t>
      </w:r>
      <w:r w:rsidRPr="00FD4FD9">
        <w:t>Based on the fact that the low conductive PEDOT:PSS AI4083 formulation, used in this work has an electrical conductivity in the range of 10</w:t>
      </w:r>
      <w:r w:rsidRPr="009F1412">
        <w:rPr>
          <w:vertAlign w:val="superscript"/>
        </w:rPr>
        <w:t>-3</w:t>
      </w:r>
      <w:r w:rsidRPr="00FD4FD9">
        <w:t xml:space="preserve"> – 10</w:t>
      </w:r>
      <w:r w:rsidRPr="009F1412">
        <w:rPr>
          <w:vertAlign w:val="superscript"/>
        </w:rPr>
        <w:t>-4</w:t>
      </w:r>
      <w:r w:rsidRPr="00FD4FD9">
        <w:t xml:space="preserve"> S/cm, which is much lower that (Cu-Li):NiCo</w:t>
      </w:r>
      <w:r w:rsidRPr="009F1412">
        <w:rPr>
          <w:vertAlign w:val="subscript"/>
        </w:rPr>
        <w:t>2</w:t>
      </w:r>
      <w:r w:rsidRPr="00FD4FD9">
        <w:t>O</w:t>
      </w:r>
      <w:r w:rsidRPr="009F1412">
        <w:rPr>
          <w:vertAlign w:val="subscript"/>
        </w:rPr>
        <w:t>4</w:t>
      </w:r>
      <w:r w:rsidRPr="00FD4FD9">
        <w:t xml:space="preserve"> (~4 S/cm) we conclude that electrical conductivity plays a role among the examined MOs, however the proper energy level alignment with the active layer polymer is the most dominant parameter that affects the performance of OLED devices.</w:t>
      </w:r>
    </w:p>
    <w:p w14:paraId="468BB57D" w14:textId="77777777" w:rsidR="009D782D" w:rsidRDefault="00CF0229" w:rsidP="00FE0E93">
      <w:pPr>
        <w:pStyle w:val="MDPI52figure"/>
      </w:pPr>
      <w:r w:rsidRPr="00FE0E93">
        <w:rPr>
          <w:rFonts w:eastAsia="Calibri"/>
          <w:noProof/>
          <w:snapToGrid/>
          <w:lang w:eastAsia="en-US" w:bidi="ar-SA"/>
        </w:rPr>
        <w:drawing>
          <wp:inline distT="0" distB="0" distL="0" distR="0" wp14:anchorId="1A9C603E" wp14:editId="68BBE3E3">
            <wp:extent cx="3316088" cy="234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16088" cy="2340000"/>
                    </a:xfrm>
                    <a:prstGeom prst="rect">
                      <a:avLst/>
                    </a:prstGeom>
                    <a:noFill/>
                    <a:ln>
                      <a:noFill/>
                    </a:ln>
                  </pic:spPr>
                </pic:pic>
              </a:graphicData>
            </a:graphic>
          </wp:inline>
        </w:drawing>
      </w:r>
    </w:p>
    <w:p w14:paraId="33EA124F" w14:textId="202B6602" w:rsidR="00CF0229" w:rsidRPr="00FE0E93" w:rsidRDefault="009D782D" w:rsidP="001032F4">
      <w:pPr>
        <w:pStyle w:val="MDPI41tablecaption"/>
        <w:rPr>
          <w:rFonts w:ascii="Times New Roman" w:hAnsi="Times New Roman"/>
          <w:sz w:val="24"/>
          <w:szCs w:val="20"/>
          <w:lang w:val="en-GB" w:bidi="ar-SA"/>
        </w:rPr>
      </w:pPr>
      <w:bookmarkStart w:id="3" w:name="_Hlk55203305"/>
      <w:r w:rsidRPr="001032F4">
        <w:rPr>
          <w:b/>
          <w:bCs/>
        </w:rPr>
        <w:t xml:space="preserve">Figure S </w:t>
      </w:r>
      <w:r w:rsidRPr="001032F4">
        <w:rPr>
          <w:b/>
          <w:bCs/>
        </w:rPr>
        <w:fldChar w:fldCharType="begin"/>
      </w:r>
      <w:r w:rsidRPr="001032F4">
        <w:rPr>
          <w:b/>
          <w:bCs/>
        </w:rPr>
        <w:instrText xml:space="preserve"> SEQ Figure_S \* ARABIC </w:instrText>
      </w:r>
      <w:r w:rsidRPr="001032F4">
        <w:rPr>
          <w:b/>
          <w:bCs/>
        </w:rPr>
        <w:fldChar w:fldCharType="separate"/>
      </w:r>
      <w:r w:rsidRPr="001032F4">
        <w:rPr>
          <w:b/>
          <w:bCs/>
          <w:noProof/>
        </w:rPr>
        <w:t>3</w:t>
      </w:r>
      <w:r w:rsidRPr="001032F4">
        <w:rPr>
          <w:b/>
          <w:bCs/>
        </w:rPr>
        <w:fldChar w:fldCharType="end"/>
      </w:r>
      <w:r w:rsidR="00985584" w:rsidRPr="001032F4">
        <w:rPr>
          <w:b/>
          <w:bCs/>
          <w:lang w:val="en-GB"/>
        </w:rPr>
        <w:t>.</w:t>
      </w:r>
      <w:r w:rsidR="00985584">
        <w:rPr>
          <w:lang w:val="en-GB"/>
        </w:rPr>
        <w:t xml:space="preserve"> </w:t>
      </w:r>
      <w:r w:rsidR="006F4F3E">
        <w:rPr>
          <w:lang w:val="en-GB"/>
        </w:rPr>
        <w:t>Current density – voltage (JV) characteristics of</w:t>
      </w:r>
      <w:r w:rsidR="00663094">
        <w:rPr>
          <w:lang w:val="en-GB"/>
        </w:rPr>
        <w:t xml:space="preserve"> PEDOT:PSS, (Cu-Li):NiCo</w:t>
      </w:r>
      <w:r w:rsidR="00663094">
        <w:rPr>
          <w:vertAlign w:val="subscript"/>
          <w:lang w:val="en-GB"/>
        </w:rPr>
        <w:t>2</w:t>
      </w:r>
      <w:r w:rsidR="00663094">
        <w:rPr>
          <w:lang w:val="en-GB"/>
        </w:rPr>
        <w:t>O</w:t>
      </w:r>
      <w:r w:rsidR="00663094">
        <w:rPr>
          <w:vertAlign w:val="subscript"/>
          <w:lang w:val="en-GB"/>
        </w:rPr>
        <w:t>4</w:t>
      </w:r>
      <w:r w:rsidR="00663094">
        <w:rPr>
          <w:lang w:val="en-GB"/>
        </w:rPr>
        <w:t xml:space="preserve"> and (Cu-Li):NiCo</w:t>
      </w:r>
      <w:r w:rsidR="00663094">
        <w:rPr>
          <w:vertAlign w:val="subscript"/>
          <w:lang w:val="en-GB"/>
        </w:rPr>
        <w:t>2</w:t>
      </w:r>
      <w:r w:rsidR="00663094">
        <w:rPr>
          <w:lang w:val="en-GB"/>
        </w:rPr>
        <w:t>O</w:t>
      </w:r>
      <w:r w:rsidR="00663094">
        <w:rPr>
          <w:vertAlign w:val="subscript"/>
          <w:lang w:val="en-GB"/>
        </w:rPr>
        <w:t>4</w:t>
      </w:r>
      <w:r w:rsidR="00663094">
        <w:rPr>
          <w:lang w:val="en-GB"/>
        </w:rPr>
        <w:t>/PEDOT:PSS, sandwiched between ITO anode and Al cathode electrodes.</w:t>
      </w:r>
    </w:p>
    <w:bookmarkEnd w:id="3"/>
    <w:p w14:paraId="29A89C17" w14:textId="77777777" w:rsidR="007B7C12" w:rsidRDefault="00351835" w:rsidP="00FE0E93">
      <w:pPr>
        <w:pStyle w:val="MDPI52figure"/>
      </w:pPr>
      <w:r>
        <w:rPr>
          <w:noProof/>
          <w:lang w:eastAsia="en-US" w:bidi="ar-SA"/>
        </w:rPr>
        <w:lastRenderedPageBreak/>
        <w:drawing>
          <wp:inline distT="0" distB="0" distL="0" distR="0" wp14:anchorId="296980A7" wp14:editId="13B1BD3F">
            <wp:extent cx="5787717" cy="3600000"/>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950" t="3348" r="4612"/>
                    <a:stretch/>
                  </pic:blipFill>
                  <pic:spPr bwMode="auto">
                    <a:xfrm>
                      <a:off x="0" y="0"/>
                      <a:ext cx="5787717" cy="3600000"/>
                    </a:xfrm>
                    <a:prstGeom prst="rect">
                      <a:avLst/>
                    </a:prstGeom>
                    <a:noFill/>
                    <a:ln>
                      <a:noFill/>
                    </a:ln>
                    <a:extLst>
                      <a:ext uri="{53640926-AAD7-44D8-BBD7-CCE9431645EC}">
                        <a14:shadowObscured xmlns:a14="http://schemas.microsoft.com/office/drawing/2010/main"/>
                      </a:ext>
                    </a:extLst>
                  </pic:spPr>
                </pic:pic>
              </a:graphicData>
            </a:graphic>
          </wp:inline>
        </w:drawing>
      </w:r>
    </w:p>
    <w:p w14:paraId="2F5B0839" w14:textId="330C3386" w:rsidR="00351835" w:rsidRPr="007505F7" w:rsidRDefault="007B7C12" w:rsidP="007B7C12">
      <w:pPr>
        <w:pStyle w:val="MDPI41tablecaption"/>
      </w:pPr>
      <w:bookmarkStart w:id="4" w:name="_Ref53139503"/>
      <w:bookmarkStart w:id="5" w:name="_Hlk53224004"/>
      <w:r w:rsidRPr="007B7C12">
        <w:rPr>
          <w:b/>
          <w:bCs/>
        </w:rPr>
        <w:t xml:space="preserve">Figure </w:t>
      </w:r>
      <w:bookmarkEnd w:id="4"/>
      <w:r w:rsidR="00CF0229" w:rsidRPr="007B7C12">
        <w:rPr>
          <w:b/>
          <w:bCs/>
        </w:rPr>
        <w:t>S</w:t>
      </w:r>
      <w:r w:rsidR="00CF0229">
        <w:rPr>
          <w:b/>
          <w:bCs/>
        </w:rPr>
        <w:t>4</w:t>
      </w:r>
      <w:r>
        <w:t xml:space="preserve">. </w:t>
      </w:r>
      <w:r w:rsidRPr="007505F7">
        <w:t xml:space="preserve">Performance of OLED devices based on ITO/SCS metal-oxide/ PEDOT:PSS bottom electrodes, using different metal oxide interlayers, a) current efficiency </w:t>
      </w:r>
      <w:r w:rsidRPr="007505F7">
        <w:rPr>
          <w:i/>
        </w:rPr>
        <w:t>versus</w:t>
      </w:r>
      <w:r w:rsidRPr="007505F7">
        <w:t xml:space="preserve"> device luminance, b) photocurrent mapping images of complete 3 x 3 mm</w:t>
      </w:r>
      <w:r w:rsidRPr="007505F7">
        <w:rPr>
          <w:vertAlign w:val="superscript"/>
        </w:rPr>
        <w:t>2</w:t>
      </w:r>
      <w:r w:rsidRPr="007505F7">
        <w:t xml:space="preserve"> SY OLED devices.</w:t>
      </w:r>
    </w:p>
    <w:bookmarkEnd w:id="5"/>
    <w:p w14:paraId="664560DF" w14:textId="28BC3C19" w:rsidR="00DA7917" w:rsidRPr="004F4A21" w:rsidRDefault="00351835" w:rsidP="00921C85">
      <w:pPr>
        <w:pStyle w:val="MDPI31text"/>
        <w:ind w:firstLine="0"/>
      </w:pPr>
      <w:r w:rsidRPr="004F4A21">
        <w:t xml:space="preserve">Device current efficiency presented in </w:t>
      </w:r>
      <w:r w:rsidR="00ED2EE9" w:rsidRPr="00FE788B">
        <w:t>Figure S</w:t>
      </w:r>
      <w:r w:rsidR="007414A6" w:rsidRPr="00FE788B">
        <w:t>4</w:t>
      </w:r>
      <w:r w:rsidRPr="00FE788B">
        <w:rPr>
          <w:bCs/>
        </w:rPr>
        <w:t>a</w:t>
      </w:r>
      <w:r w:rsidRPr="004F4A21">
        <w:t>, follows the order, from highest to lowest, of ITO/undoped-NiCo</w:t>
      </w:r>
      <w:r w:rsidRPr="004F4A21">
        <w:rPr>
          <w:vertAlign w:val="subscript"/>
        </w:rPr>
        <w:t>2</w:t>
      </w:r>
      <w:r w:rsidRPr="004F4A21">
        <w:t>O</w:t>
      </w:r>
      <w:r w:rsidRPr="004F4A21">
        <w:rPr>
          <w:vertAlign w:val="subscript"/>
        </w:rPr>
        <w:t>4</w:t>
      </w:r>
      <w:r w:rsidRPr="004F4A21">
        <w:t>/</w:t>
      </w:r>
      <w:proofErr w:type="gramStart"/>
      <w:r w:rsidRPr="004F4A21">
        <w:t>PEDOT:PSS</w:t>
      </w:r>
      <w:proofErr w:type="gramEnd"/>
      <w:r w:rsidRPr="004F4A21">
        <w:t>, followed by ITO/Cu:NiO</w:t>
      </w:r>
      <w:r w:rsidRPr="004F4A21">
        <w:rPr>
          <w:vertAlign w:val="subscript"/>
        </w:rPr>
        <w:t>x</w:t>
      </w:r>
      <w:r w:rsidRPr="004F4A21">
        <w:t>/PEDOT:PSS and last ITO/CuO</w:t>
      </w:r>
      <w:r w:rsidRPr="004F4A21">
        <w:rPr>
          <w:vertAlign w:val="subscript"/>
        </w:rPr>
        <w:t>x</w:t>
      </w:r>
      <w:r w:rsidRPr="004F4A21">
        <w:t xml:space="preserve">/PEDOT:PSS bottom electrode. The same trend was also observed in the generated photocurrent images </w:t>
      </w:r>
      <w:r w:rsidR="00221EDC" w:rsidRPr="00FE788B">
        <w:t>Figure S</w:t>
      </w:r>
      <w:r w:rsidR="007414A6" w:rsidRPr="00FE788B">
        <w:t>4</w:t>
      </w:r>
      <w:r w:rsidRPr="00FE788B">
        <w:rPr>
          <w:bCs/>
        </w:rPr>
        <w:t>b</w:t>
      </w:r>
      <w:r w:rsidRPr="004F4A21">
        <w:t xml:space="preserve">, and the wetting properties of the examined SCS metal oxides (see </w:t>
      </w:r>
      <w:r w:rsidR="00221EDC" w:rsidRPr="00FE788B">
        <w:t>Figure 1</w:t>
      </w:r>
      <w:r w:rsidRPr="004F4A21">
        <w:t xml:space="preserve"> and </w:t>
      </w:r>
      <w:r w:rsidR="00221EDC" w:rsidRPr="00FE788B">
        <w:t>Figure S1</w:t>
      </w:r>
      <w:r w:rsidRPr="004F4A21">
        <w:t>).</w:t>
      </w:r>
    </w:p>
    <w:p w14:paraId="3CAC0208" w14:textId="77777777" w:rsidR="00DA7917" w:rsidRPr="004F4A21" w:rsidRDefault="00DA7917">
      <w:pPr>
        <w:spacing w:line="240" w:lineRule="auto"/>
        <w:jc w:val="left"/>
        <w:rPr>
          <w:rFonts w:ascii="Palatino Linotype" w:hAnsi="Palatino Linotype"/>
          <w:snapToGrid w:val="0"/>
          <w:sz w:val="20"/>
          <w:szCs w:val="22"/>
          <w:lang w:bidi="en-US"/>
        </w:rPr>
      </w:pPr>
      <w:r w:rsidRPr="004F4A21">
        <w:br w:type="page"/>
      </w:r>
    </w:p>
    <w:p w14:paraId="2A7AB8C6" w14:textId="3AFDBA22" w:rsidR="00DA7917" w:rsidRPr="00DA7917" w:rsidRDefault="00DA7917" w:rsidP="00DA7917">
      <w:pPr>
        <w:widowControl w:val="0"/>
        <w:autoSpaceDE w:val="0"/>
        <w:autoSpaceDN w:val="0"/>
        <w:adjustRightInd w:val="0"/>
        <w:spacing w:line="240" w:lineRule="atLeast"/>
        <w:ind w:left="640" w:hanging="640"/>
        <w:rPr>
          <w:rFonts w:ascii="Palatino Linotype" w:hAnsi="Palatino Linotype"/>
          <w:noProof/>
          <w:sz w:val="20"/>
          <w:szCs w:val="24"/>
        </w:rPr>
      </w:pPr>
      <w:r>
        <w:rPr>
          <w:rFonts w:eastAsia="宋体"/>
        </w:rPr>
        <w:lastRenderedPageBreak/>
        <w:fldChar w:fldCharType="begin" w:fldLock="1"/>
      </w:r>
      <w:r>
        <w:rPr>
          <w:rFonts w:eastAsia="宋体"/>
        </w:rPr>
        <w:instrText xml:space="preserve">ADDIN Mendeley Bibliography CSL_BIBLIOGRAPHY </w:instrText>
      </w:r>
      <w:r>
        <w:rPr>
          <w:rFonts w:eastAsia="宋体"/>
        </w:rPr>
        <w:fldChar w:fldCharType="separate"/>
      </w:r>
      <w:r w:rsidRPr="00DA7917">
        <w:rPr>
          <w:rFonts w:ascii="Palatino Linotype" w:hAnsi="Palatino Linotype"/>
          <w:noProof/>
          <w:sz w:val="20"/>
          <w:szCs w:val="24"/>
        </w:rPr>
        <w:t>[1]</w:t>
      </w:r>
      <w:r w:rsidRPr="00DA7917">
        <w:rPr>
          <w:rFonts w:ascii="Palatino Linotype" w:hAnsi="Palatino Linotype"/>
          <w:noProof/>
          <w:sz w:val="20"/>
          <w:szCs w:val="24"/>
        </w:rPr>
        <w:tab/>
        <w:t>J.W. Jung, C.C. Chueh, A.K.Y. Jen, A Low-Temperature, Solution-Processable, Cu-Doped Nickel Oxide Hole-Transporting Layer via the Combustion Method for High-Performance Thin-Film Perovskite Solar Cells, Adv. Mater. 27 (2015) 7874–7880. https://doi.org/10.1002/adma.201503298.</w:t>
      </w:r>
    </w:p>
    <w:p w14:paraId="410F4E09" w14:textId="77777777" w:rsidR="00DA7917" w:rsidRPr="00DA7917" w:rsidRDefault="00DA7917" w:rsidP="00DA7917">
      <w:pPr>
        <w:widowControl w:val="0"/>
        <w:autoSpaceDE w:val="0"/>
        <w:autoSpaceDN w:val="0"/>
        <w:adjustRightInd w:val="0"/>
        <w:spacing w:line="240" w:lineRule="atLeast"/>
        <w:ind w:left="640" w:hanging="640"/>
        <w:rPr>
          <w:rFonts w:ascii="Palatino Linotype" w:hAnsi="Palatino Linotype"/>
          <w:noProof/>
          <w:sz w:val="20"/>
          <w:szCs w:val="24"/>
        </w:rPr>
      </w:pPr>
      <w:r w:rsidRPr="00DA7917">
        <w:rPr>
          <w:rFonts w:ascii="Palatino Linotype" w:hAnsi="Palatino Linotype"/>
          <w:noProof/>
          <w:sz w:val="20"/>
          <w:szCs w:val="24"/>
        </w:rPr>
        <w:t>[2]</w:t>
      </w:r>
      <w:r w:rsidRPr="00DA7917">
        <w:rPr>
          <w:rFonts w:ascii="Palatino Linotype" w:hAnsi="Palatino Linotype"/>
          <w:noProof/>
          <w:sz w:val="20"/>
          <w:szCs w:val="24"/>
        </w:rPr>
        <w:tab/>
        <w:t>D.M. Jundale, P.B. Joshi, S. Sen, V.B. Patil, Nanocrystalline CuO thin films: Synthesis, microstructural and optoelectronic properties, J. Mater. Sci. Mater. Electron. 23 (2012) 1492–1499. https://doi.org/10.1007/s10854-011-0616-2.</w:t>
      </w:r>
    </w:p>
    <w:p w14:paraId="03317B67" w14:textId="77777777" w:rsidR="00DA7917" w:rsidRPr="00DA7917" w:rsidRDefault="00DA7917" w:rsidP="00DA7917">
      <w:pPr>
        <w:widowControl w:val="0"/>
        <w:autoSpaceDE w:val="0"/>
        <w:autoSpaceDN w:val="0"/>
        <w:adjustRightInd w:val="0"/>
        <w:spacing w:line="240" w:lineRule="atLeast"/>
        <w:ind w:left="640" w:hanging="640"/>
        <w:rPr>
          <w:rFonts w:ascii="Palatino Linotype" w:hAnsi="Palatino Linotype"/>
          <w:noProof/>
          <w:sz w:val="20"/>
          <w:szCs w:val="24"/>
        </w:rPr>
      </w:pPr>
      <w:r w:rsidRPr="00DA7917">
        <w:rPr>
          <w:rFonts w:ascii="Palatino Linotype" w:hAnsi="Palatino Linotype"/>
          <w:noProof/>
          <w:sz w:val="20"/>
          <w:szCs w:val="24"/>
        </w:rPr>
        <w:t>[3]</w:t>
      </w:r>
      <w:r w:rsidRPr="00DA7917">
        <w:rPr>
          <w:rFonts w:ascii="Palatino Linotype" w:hAnsi="Palatino Linotype"/>
          <w:noProof/>
          <w:sz w:val="20"/>
          <w:szCs w:val="24"/>
        </w:rPr>
        <w:tab/>
        <w:t>A. Ioakeimidis, I.T. Papadas, D. Tsikritzis, G.S. Armatas, S. Kennou, S.A. Choulis, Enhanced photovoltaic performance of perovskite solar cells by Co-doped spinel nickel cobaltite hole transporting layer, APL Mater. 7 (2019) 021101. https://doi.org/10.1063/1.5079954.</w:t>
      </w:r>
    </w:p>
    <w:p w14:paraId="1C57C083" w14:textId="77777777" w:rsidR="00DA7917" w:rsidRPr="00DA7917" w:rsidRDefault="00DA7917" w:rsidP="00DA7917">
      <w:pPr>
        <w:widowControl w:val="0"/>
        <w:autoSpaceDE w:val="0"/>
        <w:autoSpaceDN w:val="0"/>
        <w:adjustRightInd w:val="0"/>
        <w:spacing w:line="240" w:lineRule="atLeast"/>
        <w:ind w:left="640" w:hanging="640"/>
        <w:rPr>
          <w:rFonts w:ascii="Palatino Linotype" w:hAnsi="Palatino Linotype"/>
          <w:noProof/>
          <w:sz w:val="20"/>
          <w:szCs w:val="24"/>
        </w:rPr>
      </w:pPr>
      <w:r w:rsidRPr="00DA7917">
        <w:rPr>
          <w:rFonts w:ascii="Palatino Linotype" w:hAnsi="Palatino Linotype"/>
          <w:noProof/>
          <w:sz w:val="20"/>
          <w:szCs w:val="24"/>
        </w:rPr>
        <w:t>[4]</w:t>
      </w:r>
      <w:r w:rsidRPr="00DA7917">
        <w:rPr>
          <w:rFonts w:ascii="Palatino Linotype" w:hAnsi="Palatino Linotype"/>
          <w:noProof/>
          <w:sz w:val="20"/>
          <w:szCs w:val="24"/>
        </w:rPr>
        <w:tab/>
        <w:t>M. Kim, C.W. Joo, J.H. Kim, W. Choi, J. Lee, D. Lee, H. Cho, H. Lee, S. Park, N.S. Cho, H. Cho, C.W. Lee, D.Y. Jeon, B.H. Kwon, Conductivity Enhancement of Nickel Oxide by Copper Cation Codoping for Hybrid Organic-Inorganic Light-Emitting Diodes, ACS Photonics. 5 (2018) 3389–3398. https://doi.org/10.1021/acsphotonics.8b00656.</w:t>
      </w:r>
    </w:p>
    <w:p w14:paraId="17E00FBB" w14:textId="3E277CC0" w:rsidR="00DA7917" w:rsidRPr="008C3601" w:rsidRDefault="00DA7917" w:rsidP="00FE0E93">
      <w:pPr>
        <w:widowControl w:val="0"/>
        <w:autoSpaceDE w:val="0"/>
        <w:autoSpaceDN w:val="0"/>
        <w:adjustRightInd w:val="0"/>
        <w:spacing w:line="240" w:lineRule="atLeast"/>
        <w:ind w:left="640" w:hanging="640"/>
        <w:rPr>
          <w:rFonts w:eastAsia="宋体"/>
        </w:rPr>
      </w:pPr>
      <w:r w:rsidRPr="00DA7917">
        <w:rPr>
          <w:rFonts w:ascii="Palatino Linotype" w:hAnsi="Palatino Linotype"/>
          <w:noProof/>
          <w:sz w:val="20"/>
          <w:szCs w:val="24"/>
        </w:rPr>
        <w:t>[5]</w:t>
      </w:r>
      <w:r w:rsidRPr="00DA7917">
        <w:rPr>
          <w:rFonts w:ascii="Palatino Linotype" w:hAnsi="Palatino Linotype"/>
          <w:noProof/>
          <w:sz w:val="20"/>
          <w:szCs w:val="24"/>
        </w:rPr>
        <w:tab/>
        <w:t>J.D. Kwon, S.H. Kwon, T.H. Jung, K.S. Nam, K.B. Chung, D.H. Kim, J.S. Park, Controlled growth and properties of p-type cuprous oxide films by plasma-enhanced atomic layer deposition at low temperature, Appl. Surf. Sci. 285 (2013) 373–379. https://doi.org/10.1016/j.apsusc.2013.08.063.</w:t>
      </w:r>
      <w:r>
        <w:rPr>
          <w:rFonts w:eastAsia="宋体"/>
        </w:rPr>
        <w:fldChar w:fldCharType="end"/>
      </w:r>
    </w:p>
    <w:sectPr w:rsidR="00DA7917" w:rsidRPr="008C3601" w:rsidSect="00FE788B">
      <w:headerReference w:type="even" r:id="rId15"/>
      <w:headerReference w:type="default" r:id="rId16"/>
      <w:footerReference w:type="default" r:id="rId17"/>
      <w:headerReference w:type="first" r:id="rId18"/>
      <w:footerReference w:type="first" r:id="rId19"/>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878070" w14:textId="77777777" w:rsidR="00372846" w:rsidRDefault="00372846">
      <w:pPr>
        <w:spacing w:line="240" w:lineRule="auto"/>
      </w:pPr>
      <w:r>
        <w:separator/>
      </w:r>
    </w:p>
  </w:endnote>
  <w:endnote w:type="continuationSeparator" w:id="0">
    <w:p w14:paraId="5D31109E" w14:textId="77777777" w:rsidR="00372846" w:rsidRDefault="003728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924F4" w14:textId="77777777" w:rsidR="009D561A" w:rsidRPr="00EE5642" w:rsidRDefault="009D561A" w:rsidP="00975B88">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D2C6D" w14:textId="77777777" w:rsidR="009D561A" w:rsidRPr="008B308E" w:rsidRDefault="009D561A" w:rsidP="00C31539">
    <w:pPr>
      <w:pStyle w:val="MDPIfooterfirstpage"/>
      <w:spacing w:line="240" w:lineRule="auto"/>
      <w:jc w:val="both"/>
      <w:rPr>
        <w:lang w:val="fr-CH"/>
      </w:rPr>
    </w:pPr>
    <w:r w:rsidRPr="004C57C3">
      <w:rPr>
        <w:i/>
      </w:rPr>
      <w:t>Materials</w:t>
    </w:r>
    <w:r>
      <w:rPr>
        <w:i/>
      </w:rPr>
      <w:t xml:space="preserve"> </w:t>
    </w:r>
    <w:r w:rsidRPr="00442467">
      <w:rPr>
        <w:b/>
      </w:rPr>
      <w:t>20</w:t>
    </w:r>
    <w:r>
      <w:rPr>
        <w:b/>
      </w:rPr>
      <w:t>20</w:t>
    </w:r>
    <w:r w:rsidRPr="00442467">
      <w:t xml:space="preserve">, </w:t>
    </w:r>
    <w:r w:rsidRPr="00442467">
      <w:rPr>
        <w:i/>
      </w:rPr>
      <w:t>1</w:t>
    </w:r>
    <w:r>
      <w:rPr>
        <w:i/>
      </w:rPr>
      <w:t>3</w:t>
    </w:r>
    <w:r w:rsidRPr="00442467">
      <w:t xml:space="preserve">, </w:t>
    </w:r>
    <w:r>
      <w:t>x; doi: FOR PEER REVIEW</w:t>
    </w:r>
    <w:r w:rsidRPr="008B308E">
      <w:rPr>
        <w:lang w:val="fr-CH"/>
      </w:rPr>
      <w:tab/>
      <w:t>www.mdpi.com/journal/</w:t>
    </w:r>
    <w:r w:rsidRPr="004C57C3">
      <w:t>materials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965E2C" w14:textId="77777777" w:rsidR="00372846" w:rsidRDefault="00372846">
      <w:pPr>
        <w:spacing w:line="240" w:lineRule="auto"/>
      </w:pPr>
      <w:r>
        <w:separator/>
      </w:r>
    </w:p>
  </w:footnote>
  <w:footnote w:type="continuationSeparator" w:id="0">
    <w:p w14:paraId="2C057C02" w14:textId="77777777" w:rsidR="00372846" w:rsidRDefault="003728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14C9F" w14:textId="77777777" w:rsidR="009D561A" w:rsidRDefault="009D561A" w:rsidP="00975B8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CBA74" w14:textId="7E8EFB7D" w:rsidR="009D561A" w:rsidRPr="00636F25" w:rsidRDefault="009D561A" w:rsidP="00C31539">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Materials </w:t>
    </w:r>
    <w:r w:rsidRPr="00442467">
      <w:rPr>
        <w:rFonts w:ascii="Palatino Linotype" w:hAnsi="Palatino Linotype"/>
        <w:b/>
        <w:sz w:val="16"/>
      </w:rPr>
      <w:t>20</w:t>
    </w:r>
    <w:r>
      <w:rPr>
        <w:rFonts w:ascii="Palatino Linotype" w:hAnsi="Palatino Linotype"/>
        <w:b/>
        <w:sz w:val="16"/>
      </w:rPr>
      <w:t>20</w:t>
    </w:r>
    <w:r w:rsidRPr="00442467">
      <w:rPr>
        <w:rFonts w:ascii="Palatino Linotype" w:hAnsi="Palatino Linotype"/>
        <w:sz w:val="16"/>
      </w:rPr>
      <w:t xml:space="preserve">, </w:t>
    </w:r>
    <w:r w:rsidRPr="00442467">
      <w:rPr>
        <w:rFonts w:ascii="Palatino Linotype" w:hAnsi="Palatino Linotype"/>
        <w:i/>
        <w:sz w:val="16"/>
      </w:rPr>
      <w:t>1</w:t>
    </w:r>
    <w:r>
      <w:rPr>
        <w:rFonts w:ascii="Palatino Linotype" w:hAnsi="Palatino Linotype"/>
        <w:i/>
        <w:sz w:val="16"/>
      </w:rPr>
      <w:t>3</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4F4A21">
      <w:rPr>
        <w:rFonts w:ascii="Palatino Linotype" w:hAnsi="Palatino Linotype"/>
        <w:noProof/>
        <w:sz w:val="16"/>
      </w:rPr>
      <w:t>4</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4F4A21">
      <w:rPr>
        <w:rFonts w:ascii="Palatino Linotype" w:hAnsi="Palatino Linotype"/>
        <w:noProof/>
        <w:sz w:val="16"/>
      </w:rPr>
      <w:t>4</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8DBE2" w14:textId="62A3C2F8" w:rsidR="009D561A" w:rsidRDefault="009D561A" w:rsidP="00975B88">
    <w:pPr>
      <w:pStyle w:val="MDPIheaderjournallogo"/>
    </w:pPr>
    <w:r w:rsidRPr="006D4209">
      <w:rPr>
        <w:i w:val="0"/>
        <w:noProof/>
        <w:szCs w:val="16"/>
        <w:lang w:eastAsia="en-US"/>
      </w:rPr>
      <mc:AlternateContent>
        <mc:Choice Requires="wps">
          <w:drawing>
            <wp:anchor distT="45720" distB="45720" distL="114300" distR="114300" simplePos="0" relativeHeight="251657728" behindDoc="1" locked="0" layoutInCell="1" allowOverlap="1" wp14:anchorId="11CE1EC5" wp14:editId="6E703B67">
              <wp:simplePos x="0" y="0"/>
              <wp:positionH relativeFrom="page">
                <wp:posOffset>6029960</wp:posOffset>
              </wp:positionH>
              <wp:positionV relativeFrom="page">
                <wp:posOffset>647700</wp:posOffset>
              </wp:positionV>
              <wp:extent cx="54038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4ACA8D25" w14:textId="677B1077" w:rsidR="009D561A" w:rsidRDefault="009D561A" w:rsidP="00975B88">
                          <w:pPr>
                            <w:pStyle w:val="MDPIheaderjournallogo"/>
                            <w:jc w:val="center"/>
                            <w:textboxTightWrap w:val="allLines"/>
                            <w:rPr>
                              <w:i w:val="0"/>
                              <w:szCs w:val="16"/>
                            </w:rPr>
                          </w:pPr>
                          <w:r w:rsidRPr="00F42E7B">
                            <w:rPr>
                              <w:i w:val="0"/>
                              <w:noProof/>
                              <w:szCs w:val="16"/>
                              <w:lang w:eastAsia="en-US"/>
                            </w:rPr>
                            <w:drawing>
                              <wp:inline distT="0" distB="0" distL="0" distR="0" wp14:anchorId="54A23590" wp14:editId="1AD138C1">
                                <wp:extent cx="539750" cy="355600"/>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35560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CE1EC5"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14:paraId="4ACA8D25" w14:textId="677B1077" w:rsidR="009D561A" w:rsidRDefault="009D561A" w:rsidP="00975B88">
                    <w:pPr>
                      <w:pStyle w:val="MDPIheaderjournallogo"/>
                      <w:jc w:val="center"/>
                      <w:textboxTightWrap w:val="allLines"/>
                      <w:rPr>
                        <w:i w:val="0"/>
                        <w:szCs w:val="16"/>
                      </w:rPr>
                    </w:pPr>
                    <w:r w:rsidRPr="00F42E7B">
                      <w:rPr>
                        <w:i w:val="0"/>
                        <w:noProof/>
                        <w:szCs w:val="16"/>
                        <w:lang w:eastAsia="en-US"/>
                      </w:rPr>
                      <w:drawing>
                        <wp:inline distT="0" distB="0" distL="0" distR="0" wp14:anchorId="54A23590" wp14:editId="1AD138C1">
                          <wp:extent cx="539750" cy="355600"/>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355600"/>
                                  </a:xfrm>
                                  <a:prstGeom prst="rect">
                                    <a:avLst/>
                                  </a:prstGeom>
                                  <a:noFill/>
                                  <a:ln>
                                    <a:noFill/>
                                  </a:ln>
                                </pic:spPr>
                              </pic:pic>
                            </a:graphicData>
                          </a:graphic>
                        </wp:inline>
                      </w:drawing>
                    </w:r>
                  </w:p>
                </w:txbxContent>
              </v:textbox>
              <w10:wrap anchorx="page" anchory="page"/>
            </v:shape>
          </w:pict>
        </mc:Fallback>
      </mc:AlternateContent>
    </w:r>
    <w:r w:rsidRPr="00A04686">
      <w:rPr>
        <w:noProof/>
        <w:lang w:eastAsia="en-US"/>
      </w:rPr>
      <w:drawing>
        <wp:inline distT="0" distB="0" distL="0" distR="0" wp14:anchorId="2B7F396B" wp14:editId="51731BD4">
          <wp:extent cx="1631950" cy="431800"/>
          <wp:effectExtent l="0" t="0" r="0" b="0"/>
          <wp:docPr id="5" name="Picture 7" descr="C:\Users\home\Desktop\logos\materials-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ome\Desktop\logos\materials-logo .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1950" cy="431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426C7919"/>
    <w:multiLevelType w:val="hybridMultilevel"/>
    <w:tmpl w:val="ECB8E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bordersDoNotSurroundHeader/>
  <w:bordersDoNotSurroundFooter/>
  <w:proofState w:spelling="clean" w:grammar="clean"/>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136"/>
    <w:rsid w:val="00004009"/>
    <w:rsid w:val="00021136"/>
    <w:rsid w:val="00026DCC"/>
    <w:rsid w:val="000355E1"/>
    <w:rsid w:val="00035C85"/>
    <w:rsid w:val="00036C6C"/>
    <w:rsid w:val="00041F31"/>
    <w:rsid w:val="0004608E"/>
    <w:rsid w:val="00054D4C"/>
    <w:rsid w:val="00055708"/>
    <w:rsid w:val="00061BB2"/>
    <w:rsid w:val="00066129"/>
    <w:rsid w:val="000743A3"/>
    <w:rsid w:val="0007464E"/>
    <w:rsid w:val="00076320"/>
    <w:rsid w:val="00095A9D"/>
    <w:rsid w:val="00097B7B"/>
    <w:rsid w:val="000A0739"/>
    <w:rsid w:val="000B4538"/>
    <w:rsid w:val="000B5E01"/>
    <w:rsid w:val="000B67FB"/>
    <w:rsid w:val="000C1240"/>
    <w:rsid w:val="000E4943"/>
    <w:rsid w:val="000F124F"/>
    <w:rsid w:val="000F45F1"/>
    <w:rsid w:val="000F5859"/>
    <w:rsid w:val="001032F4"/>
    <w:rsid w:val="001049A2"/>
    <w:rsid w:val="001056F7"/>
    <w:rsid w:val="00105810"/>
    <w:rsid w:val="00113C77"/>
    <w:rsid w:val="00115F6E"/>
    <w:rsid w:val="001203AF"/>
    <w:rsid w:val="0012582A"/>
    <w:rsid w:val="00131B3F"/>
    <w:rsid w:val="00166683"/>
    <w:rsid w:val="001669F4"/>
    <w:rsid w:val="001702F4"/>
    <w:rsid w:val="001723E4"/>
    <w:rsid w:val="001803E3"/>
    <w:rsid w:val="001A04CF"/>
    <w:rsid w:val="001A26F2"/>
    <w:rsid w:val="001A2CE3"/>
    <w:rsid w:val="001A2DAD"/>
    <w:rsid w:val="001B5AA2"/>
    <w:rsid w:val="001B7F50"/>
    <w:rsid w:val="001C48EE"/>
    <w:rsid w:val="001D0780"/>
    <w:rsid w:val="001D3AB6"/>
    <w:rsid w:val="001D6B38"/>
    <w:rsid w:val="001D7230"/>
    <w:rsid w:val="001E2AEB"/>
    <w:rsid w:val="001E32A4"/>
    <w:rsid w:val="001F712E"/>
    <w:rsid w:val="00203289"/>
    <w:rsid w:val="002167C7"/>
    <w:rsid w:val="00221539"/>
    <w:rsid w:val="00221EDC"/>
    <w:rsid w:val="00224777"/>
    <w:rsid w:val="002314C1"/>
    <w:rsid w:val="00235021"/>
    <w:rsid w:val="00241956"/>
    <w:rsid w:val="00250CFB"/>
    <w:rsid w:val="00252A9C"/>
    <w:rsid w:val="002553F3"/>
    <w:rsid w:val="0026477A"/>
    <w:rsid w:val="0026619F"/>
    <w:rsid w:val="00270764"/>
    <w:rsid w:val="002729F2"/>
    <w:rsid w:val="00280838"/>
    <w:rsid w:val="002A2A30"/>
    <w:rsid w:val="002A2ABD"/>
    <w:rsid w:val="002A3759"/>
    <w:rsid w:val="002A637A"/>
    <w:rsid w:val="002B34BC"/>
    <w:rsid w:val="002B3650"/>
    <w:rsid w:val="002C3EA8"/>
    <w:rsid w:val="002E4C44"/>
    <w:rsid w:val="002F1C37"/>
    <w:rsid w:val="003230E2"/>
    <w:rsid w:val="00324B54"/>
    <w:rsid w:val="00326141"/>
    <w:rsid w:val="00330E11"/>
    <w:rsid w:val="0033206D"/>
    <w:rsid w:val="00336A43"/>
    <w:rsid w:val="00351835"/>
    <w:rsid w:val="00372846"/>
    <w:rsid w:val="003A1793"/>
    <w:rsid w:val="003A40E2"/>
    <w:rsid w:val="003A665C"/>
    <w:rsid w:val="003B52DA"/>
    <w:rsid w:val="003C7549"/>
    <w:rsid w:val="003D5D0F"/>
    <w:rsid w:val="003E3C22"/>
    <w:rsid w:val="003E7190"/>
    <w:rsid w:val="003F0698"/>
    <w:rsid w:val="003F37C3"/>
    <w:rsid w:val="003F4EE2"/>
    <w:rsid w:val="00400254"/>
    <w:rsid w:val="00400EBE"/>
    <w:rsid w:val="00401D30"/>
    <w:rsid w:val="004172F8"/>
    <w:rsid w:val="004254DC"/>
    <w:rsid w:val="004327BB"/>
    <w:rsid w:val="004409CA"/>
    <w:rsid w:val="00442467"/>
    <w:rsid w:val="00474483"/>
    <w:rsid w:val="004903F6"/>
    <w:rsid w:val="004968FE"/>
    <w:rsid w:val="004B0450"/>
    <w:rsid w:val="004B3556"/>
    <w:rsid w:val="004C138A"/>
    <w:rsid w:val="004D597E"/>
    <w:rsid w:val="004F33FB"/>
    <w:rsid w:val="004F4A21"/>
    <w:rsid w:val="00503D54"/>
    <w:rsid w:val="005146FE"/>
    <w:rsid w:val="0051689B"/>
    <w:rsid w:val="00542DE5"/>
    <w:rsid w:val="005527B4"/>
    <w:rsid w:val="00553592"/>
    <w:rsid w:val="005654F3"/>
    <w:rsid w:val="00571190"/>
    <w:rsid w:val="00574125"/>
    <w:rsid w:val="00585FDE"/>
    <w:rsid w:val="005C7E91"/>
    <w:rsid w:val="005D323E"/>
    <w:rsid w:val="005D707D"/>
    <w:rsid w:val="0060312A"/>
    <w:rsid w:val="0060605E"/>
    <w:rsid w:val="0061409B"/>
    <w:rsid w:val="00633A04"/>
    <w:rsid w:val="00636318"/>
    <w:rsid w:val="006369E9"/>
    <w:rsid w:val="00640316"/>
    <w:rsid w:val="00641F99"/>
    <w:rsid w:val="0064267A"/>
    <w:rsid w:val="0064789E"/>
    <w:rsid w:val="00652470"/>
    <w:rsid w:val="00657DBB"/>
    <w:rsid w:val="00663094"/>
    <w:rsid w:val="0067025A"/>
    <w:rsid w:val="0068335D"/>
    <w:rsid w:val="00683498"/>
    <w:rsid w:val="00683D05"/>
    <w:rsid w:val="00691771"/>
    <w:rsid w:val="00692393"/>
    <w:rsid w:val="00696642"/>
    <w:rsid w:val="006B473D"/>
    <w:rsid w:val="006C6493"/>
    <w:rsid w:val="006D6099"/>
    <w:rsid w:val="006D7775"/>
    <w:rsid w:val="006E4318"/>
    <w:rsid w:val="006E6617"/>
    <w:rsid w:val="006F38EB"/>
    <w:rsid w:val="006F438F"/>
    <w:rsid w:val="006F4F3E"/>
    <w:rsid w:val="007162BB"/>
    <w:rsid w:val="007225DC"/>
    <w:rsid w:val="00732FDA"/>
    <w:rsid w:val="00737F6D"/>
    <w:rsid w:val="007414A6"/>
    <w:rsid w:val="00741743"/>
    <w:rsid w:val="007418BF"/>
    <w:rsid w:val="00744B2E"/>
    <w:rsid w:val="0074797D"/>
    <w:rsid w:val="00750DBC"/>
    <w:rsid w:val="007578C2"/>
    <w:rsid w:val="007A5F93"/>
    <w:rsid w:val="007B51D2"/>
    <w:rsid w:val="007B5F1C"/>
    <w:rsid w:val="007B7C12"/>
    <w:rsid w:val="007C2B50"/>
    <w:rsid w:val="007C404E"/>
    <w:rsid w:val="007E7F2F"/>
    <w:rsid w:val="00803444"/>
    <w:rsid w:val="00804F18"/>
    <w:rsid w:val="00812FAE"/>
    <w:rsid w:val="00825910"/>
    <w:rsid w:val="00831FA2"/>
    <w:rsid w:val="00832398"/>
    <w:rsid w:val="00832912"/>
    <w:rsid w:val="00833C3A"/>
    <w:rsid w:val="008518B4"/>
    <w:rsid w:val="00853A88"/>
    <w:rsid w:val="00862E18"/>
    <w:rsid w:val="0086551C"/>
    <w:rsid w:val="00884EEA"/>
    <w:rsid w:val="008A2009"/>
    <w:rsid w:val="008A669C"/>
    <w:rsid w:val="008C6063"/>
    <w:rsid w:val="008D3485"/>
    <w:rsid w:val="008D42AF"/>
    <w:rsid w:val="008D51E6"/>
    <w:rsid w:val="008E21AF"/>
    <w:rsid w:val="008E3400"/>
    <w:rsid w:val="008E59BA"/>
    <w:rsid w:val="00907B5F"/>
    <w:rsid w:val="00921C85"/>
    <w:rsid w:val="00924C4A"/>
    <w:rsid w:val="00941BD2"/>
    <w:rsid w:val="0094642B"/>
    <w:rsid w:val="00970419"/>
    <w:rsid w:val="009725CB"/>
    <w:rsid w:val="00975B88"/>
    <w:rsid w:val="00977662"/>
    <w:rsid w:val="00984489"/>
    <w:rsid w:val="00985584"/>
    <w:rsid w:val="0099195D"/>
    <w:rsid w:val="009A094E"/>
    <w:rsid w:val="009B7AFD"/>
    <w:rsid w:val="009D561A"/>
    <w:rsid w:val="009D782D"/>
    <w:rsid w:val="009D7835"/>
    <w:rsid w:val="009F1412"/>
    <w:rsid w:val="009F20C1"/>
    <w:rsid w:val="009F30A8"/>
    <w:rsid w:val="009F70E6"/>
    <w:rsid w:val="00A010C5"/>
    <w:rsid w:val="00A01244"/>
    <w:rsid w:val="00A04574"/>
    <w:rsid w:val="00A05AA8"/>
    <w:rsid w:val="00A10A86"/>
    <w:rsid w:val="00A22ECC"/>
    <w:rsid w:val="00A26316"/>
    <w:rsid w:val="00A42BFD"/>
    <w:rsid w:val="00A47288"/>
    <w:rsid w:val="00A51DD4"/>
    <w:rsid w:val="00A57223"/>
    <w:rsid w:val="00A65079"/>
    <w:rsid w:val="00A7066A"/>
    <w:rsid w:val="00A735D0"/>
    <w:rsid w:val="00A826BA"/>
    <w:rsid w:val="00AE31D9"/>
    <w:rsid w:val="00AE6AED"/>
    <w:rsid w:val="00AE70D2"/>
    <w:rsid w:val="00AF3284"/>
    <w:rsid w:val="00AF4FDD"/>
    <w:rsid w:val="00B0091C"/>
    <w:rsid w:val="00B0538D"/>
    <w:rsid w:val="00B20CDF"/>
    <w:rsid w:val="00B42C32"/>
    <w:rsid w:val="00B548E2"/>
    <w:rsid w:val="00B5610A"/>
    <w:rsid w:val="00B84FE8"/>
    <w:rsid w:val="00B9502D"/>
    <w:rsid w:val="00B96730"/>
    <w:rsid w:val="00BA73C4"/>
    <w:rsid w:val="00BC68EE"/>
    <w:rsid w:val="00BC7FC5"/>
    <w:rsid w:val="00BE5097"/>
    <w:rsid w:val="00C153E9"/>
    <w:rsid w:val="00C22172"/>
    <w:rsid w:val="00C238B1"/>
    <w:rsid w:val="00C31539"/>
    <w:rsid w:val="00C5103B"/>
    <w:rsid w:val="00C57CEF"/>
    <w:rsid w:val="00C60DE7"/>
    <w:rsid w:val="00C67646"/>
    <w:rsid w:val="00C832F7"/>
    <w:rsid w:val="00C878D7"/>
    <w:rsid w:val="00CA0ADC"/>
    <w:rsid w:val="00CA2765"/>
    <w:rsid w:val="00CA4947"/>
    <w:rsid w:val="00CB3047"/>
    <w:rsid w:val="00CC5F17"/>
    <w:rsid w:val="00CF0229"/>
    <w:rsid w:val="00CF4942"/>
    <w:rsid w:val="00CF5B75"/>
    <w:rsid w:val="00CF7249"/>
    <w:rsid w:val="00D00C63"/>
    <w:rsid w:val="00D04B48"/>
    <w:rsid w:val="00D20E9E"/>
    <w:rsid w:val="00D2211E"/>
    <w:rsid w:val="00D40C15"/>
    <w:rsid w:val="00D4217A"/>
    <w:rsid w:val="00D46BCE"/>
    <w:rsid w:val="00D57E14"/>
    <w:rsid w:val="00D663AB"/>
    <w:rsid w:val="00D75011"/>
    <w:rsid w:val="00DA5A24"/>
    <w:rsid w:val="00DA7917"/>
    <w:rsid w:val="00DB3E8B"/>
    <w:rsid w:val="00DC37F2"/>
    <w:rsid w:val="00DE0BDE"/>
    <w:rsid w:val="00DE3510"/>
    <w:rsid w:val="00DF6426"/>
    <w:rsid w:val="00DF6B5F"/>
    <w:rsid w:val="00E17D10"/>
    <w:rsid w:val="00E3272C"/>
    <w:rsid w:val="00E36EE8"/>
    <w:rsid w:val="00E45A72"/>
    <w:rsid w:val="00E52996"/>
    <w:rsid w:val="00E6762D"/>
    <w:rsid w:val="00E76568"/>
    <w:rsid w:val="00E912B9"/>
    <w:rsid w:val="00E94043"/>
    <w:rsid w:val="00EA215B"/>
    <w:rsid w:val="00ED2EE9"/>
    <w:rsid w:val="00ED792A"/>
    <w:rsid w:val="00EE358F"/>
    <w:rsid w:val="00EF3469"/>
    <w:rsid w:val="00F25CA1"/>
    <w:rsid w:val="00F3215A"/>
    <w:rsid w:val="00F324A8"/>
    <w:rsid w:val="00F345AD"/>
    <w:rsid w:val="00F355A4"/>
    <w:rsid w:val="00F42E7B"/>
    <w:rsid w:val="00F60508"/>
    <w:rsid w:val="00F718BB"/>
    <w:rsid w:val="00F748DC"/>
    <w:rsid w:val="00F76A6B"/>
    <w:rsid w:val="00F77B30"/>
    <w:rsid w:val="00F847FC"/>
    <w:rsid w:val="00FA2AC8"/>
    <w:rsid w:val="00FA5A33"/>
    <w:rsid w:val="00FC34D2"/>
    <w:rsid w:val="00FD4FD9"/>
    <w:rsid w:val="00FE0E93"/>
    <w:rsid w:val="00FE21DE"/>
    <w:rsid w:val="00FE788B"/>
    <w:rsid w:val="00FF5CAE"/>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536B0"/>
  <w15:chartTrackingRefBased/>
  <w15:docId w15:val="{4CD68B15-A0E7-4800-8EA5-BB506788A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E7B"/>
    <w:pPr>
      <w:spacing w:line="340" w:lineRule="atLeast"/>
      <w:jc w:val="both"/>
    </w:pPr>
    <w:rPr>
      <w:rFonts w:ascii="Times New Roman" w:eastAsia="Times New Roman" w:hAnsi="Times New Roman"/>
      <w:color w:val="000000"/>
      <w:sz w:val="24"/>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F42E7B"/>
    <w:pPr>
      <w:spacing w:before="240" w:line="240" w:lineRule="auto"/>
      <w:ind w:firstLine="0"/>
      <w:jc w:val="left"/>
    </w:pPr>
    <w:rPr>
      <w:i/>
    </w:rPr>
  </w:style>
  <w:style w:type="paragraph" w:customStyle="1" w:styleId="MDPI12title">
    <w:name w:val="MDPI_1.2_title"/>
    <w:next w:val="MDPI13authornames"/>
    <w:qFormat/>
    <w:rsid w:val="00F42E7B"/>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F42E7B"/>
    <w:pPr>
      <w:spacing w:after="120"/>
      <w:ind w:firstLine="0"/>
      <w:jc w:val="left"/>
    </w:pPr>
    <w:rPr>
      <w:b/>
      <w:snapToGrid/>
    </w:rPr>
  </w:style>
  <w:style w:type="paragraph" w:customStyle="1" w:styleId="MDPI14history">
    <w:name w:val="MDPI_1.4_history"/>
    <w:basedOn w:val="MDPI62Acknowledgments"/>
    <w:next w:val="Normal"/>
    <w:qFormat/>
    <w:rsid w:val="00F42E7B"/>
    <w:pPr>
      <w:ind w:left="113"/>
      <w:jc w:val="left"/>
    </w:pPr>
    <w:rPr>
      <w:snapToGrid/>
    </w:rPr>
  </w:style>
  <w:style w:type="paragraph" w:customStyle="1" w:styleId="MDPI16affiliation">
    <w:name w:val="MDPI_1.6_affiliation"/>
    <w:basedOn w:val="MDPI62Acknowledgments"/>
    <w:qFormat/>
    <w:rsid w:val="00F42E7B"/>
    <w:pPr>
      <w:spacing w:before="0"/>
      <w:ind w:left="311" w:hanging="198"/>
      <w:jc w:val="left"/>
    </w:pPr>
    <w:rPr>
      <w:snapToGrid/>
      <w:szCs w:val="18"/>
    </w:rPr>
  </w:style>
  <w:style w:type="paragraph" w:customStyle="1" w:styleId="MDPI17abstract">
    <w:name w:val="MDPI_1.7_abstract"/>
    <w:basedOn w:val="MDPI31text"/>
    <w:next w:val="MDPI18keywords"/>
    <w:qFormat/>
    <w:rsid w:val="00F42E7B"/>
    <w:pPr>
      <w:spacing w:before="240"/>
      <w:ind w:left="113" w:firstLine="0"/>
    </w:pPr>
    <w:rPr>
      <w:snapToGrid/>
    </w:rPr>
  </w:style>
  <w:style w:type="paragraph" w:customStyle="1" w:styleId="MDPI18keywords">
    <w:name w:val="MDPI_1.8_keywords"/>
    <w:basedOn w:val="MDPI31text"/>
    <w:next w:val="Normal"/>
    <w:qFormat/>
    <w:rsid w:val="00F42E7B"/>
    <w:pPr>
      <w:spacing w:before="240"/>
      <w:ind w:left="113" w:firstLine="0"/>
    </w:pPr>
  </w:style>
  <w:style w:type="paragraph" w:customStyle="1" w:styleId="MDPI19line">
    <w:name w:val="MDPI_1.9_line"/>
    <w:basedOn w:val="MDPI31text"/>
    <w:qFormat/>
    <w:rsid w:val="00F42E7B"/>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F42E7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F42E7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F42E7B"/>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F42E7B"/>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F42E7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F42E7B"/>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F42E7B"/>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F42E7B"/>
    <w:pPr>
      <w:ind w:firstLine="0"/>
    </w:pPr>
  </w:style>
  <w:style w:type="paragraph" w:customStyle="1" w:styleId="MDPI33textspaceafter">
    <w:name w:val="MDPI_3.3_text_space_after"/>
    <w:basedOn w:val="MDPI31text"/>
    <w:qFormat/>
    <w:rsid w:val="00F42E7B"/>
    <w:pPr>
      <w:spacing w:after="240"/>
    </w:pPr>
  </w:style>
  <w:style w:type="paragraph" w:customStyle="1" w:styleId="MDPI34textspacebefore">
    <w:name w:val="MDPI_3.4_text_space_before"/>
    <w:basedOn w:val="MDPI31text"/>
    <w:qFormat/>
    <w:rsid w:val="00F42E7B"/>
    <w:pPr>
      <w:spacing w:before="240"/>
    </w:pPr>
  </w:style>
  <w:style w:type="paragraph" w:customStyle="1" w:styleId="MDPI35textbeforelist">
    <w:name w:val="MDPI_3.5_text_before_list"/>
    <w:basedOn w:val="MDPI31text"/>
    <w:qFormat/>
    <w:rsid w:val="00F42E7B"/>
    <w:pPr>
      <w:spacing w:after="120"/>
    </w:pPr>
  </w:style>
  <w:style w:type="paragraph" w:customStyle="1" w:styleId="MDPI36textafterlist">
    <w:name w:val="MDPI_3.6_text_after_list"/>
    <w:basedOn w:val="MDPI31text"/>
    <w:qFormat/>
    <w:rsid w:val="00F42E7B"/>
    <w:pPr>
      <w:spacing w:before="120"/>
    </w:pPr>
  </w:style>
  <w:style w:type="paragraph" w:customStyle="1" w:styleId="MDPI37itemize">
    <w:name w:val="MDPI_3.7_itemize"/>
    <w:basedOn w:val="MDPI31text"/>
    <w:qFormat/>
    <w:rsid w:val="00F42E7B"/>
    <w:pPr>
      <w:numPr>
        <w:numId w:val="1"/>
      </w:numPr>
      <w:ind w:left="425" w:hanging="425"/>
    </w:pPr>
  </w:style>
  <w:style w:type="paragraph" w:customStyle="1" w:styleId="MDPI38bullet">
    <w:name w:val="MDPI_3.8_bullet"/>
    <w:basedOn w:val="MDPI31text"/>
    <w:qFormat/>
    <w:rsid w:val="00F42E7B"/>
    <w:pPr>
      <w:numPr>
        <w:numId w:val="2"/>
      </w:numPr>
      <w:ind w:left="425" w:hanging="425"/>
    </w:pPr>
  </w:style>
  <w:style w:type="paragraph" w:customStyle="1" w:styleId="MDPI39equation">
    <w:name w:val="MDPI_3.9_equation"/>
    <w:basedOn w:val="MDPI31text"/>
    <w:qFormat/>
    <w:rsid w:val="00F42E7B"/>
    <w:pPr>
      <w:spacing w:before="120" w:after="120"/>
      <w:ind w:left="709" w:firstLine="0"/>
      <w:jc w:val="center"/>
    </w:pPr>
  </w:style>
  <w:style w:type="paragraph" w:customStyle="1" w:styleId="MDPI3aequationnumber">
    <w:name w:val="MDPI_3.a_equation_number"/>
    <w:basedOn w:val="MDPI31text"/>
    <w:qFormat/>
    <w:rsid w:val="00F42E7B"/>
    <w:pPr>
      <w:spacing w:before="120" w:after="120" w:line="240" w:lineRule="auto"/>
      <w:ind w:firstLine="0"/>
      <w:jc w:val="right"/>
    </w:pPr>
  </w:style>
  <w:style w:type="paragraph" w:customStyle="1" w:styleId="MDPI62Acknowledgments">
    <w:name w:val="MDPI_6.2_Acknowledgments"/>
    <w:qFormat/>
    <w:rsid w:val="00F42E7B"/>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F42E7B"/>
    <w:pPr>
      <w:spacing w:before="240" w:after="120" w:line="260" w:lineRule="atLeast"/>
      <w:ind w:left="425" w:right="425"/>
    </w:pPr>
    <w:rPr>
      <w:snapToGrid/>
      <w:szCs w:val="22"/>
    </w:rPr>
  </w:style>
  <w:style w:type="paragraph" w:customStyle="1" w:styleId="MDPI42tablebody">
    <w:name w:val="MDPI_4.2_table_body"/>
    <w:qFormat/>
    <w:rsid w:val="00A010C5"/>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F42E7B"/>
    <w:pPr>
      <w:spacing w:before="0"/>
      <w:ind w:left="0" w:right="0"/>
    </w:pPr>
  </w:style>
  <w:style w:type="paragraph" w:customStyle="1" w:styleId="MDPI51figurecaption">
    <w:name w:val="MDPI_5.1_figure_caption"/>
    <w:basedOn w:val="MDPI62Acknowledgments"/>
    <w:qFormat/>
    <w:rsid w:val="00F42E7B"/>
    <w:pPr>
      <w:spacing w:after="240" w:line="260" w:lineRule="atLeast"/>
      <w:ind w:left="425" w:right="425"/>
    </w:pPr>
    <w:rPr>
      <w:snapToGrid/>
    </w:rPr>
  </w:style>
  <w:style w:type="paragraph" w:customStyle="1" w:styleId="MDPI52figure">
    <w:name w:val="MDPI_5.2_figure"/>
    <w:qFormat/>
    <w:rsid w:val="00F42E7B"/>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F42E7B"/>
    <w:pPr>
      <w:spacing w:before="240"/>
    </w:pPr>
    <w:rPr>
      <w:lang w:eastAsia="en-US"/>
    </w:rPr>
  </w:style>
  <w:style w:type="paragraph" w:customStyle="1" w:styleId="MDPI63AuthorContributions">
    <w:name w:val="MDPI_6.3_AuthorContributions"/>
    <w:basedOn w:val="MDPI62Acknowledgments"/>
    <w:qFormat/>
    <w:rsid w:val="00F42E7B"/>
    <w:rPr>
      <w:rFonts w:eastAsia="宋体"/>
      <w:color w:val="auto"/>
      <w:lang w:eastAsia="en-US"/>
    </w:rPr>
  </w:style>
  <w:style w:type="paragraph" w:customStyle="1" w:styleId="MDPI64CoI">
    <w:name w:val="MDPI_6.4_CoI"/>
    <w:basedOn w:val="MDPI62Acknowledgments"/>
    <w:qFormat/>
    <w:rsid w:val="00F42E7B"/>
  </w:style>
  <w:style w:type="paragraph" w:customStyle="1" w:styleId="MDPI81theorem">
    <w:name w:val="MDPI_8.1_theorem"/>
    <w:basedOn w:val="MDPI32textnoindent"/>
    <w:qFormat/>
    <w:rsid w:val="00F42E7B"/>
    <w:rPr>
      <w:i/>
    </w:rPr>
  </w:style>
  <w:style w:type="paragraph" w:customStyle="1" w:styleId="MDPI82proof">
    <w:name w:val="MDPI_8.2_proof"/>
    <w:basedOn w:val="MDPI32textnoindent"/>
    <w:qFormat/>
    <w:rsid w:val="00F42E7B"/>
  </w:style>
  <w:style w:type="paragraph" w:customStyle="1" w:styleId="MDPIfooterfirstpage">
    <w:name w:val="MDPI_footer_firstpage"/>
    <w:basedOn w:val="Normal"/>
    <w:qFormat/>
    <w:rsid w:val="00F42E7B"/>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F42E7B"/>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F42E7B"/>
    <w:pPr>
      <w:spacing w:before="240" w:after="120"/>
      <w:ind w:firstLine="0"/>
      <w:jc w:val="left"/>
      <w:outlineLvl w:val="2"/>
    </w:pPr>
  </w:style>
  <w:style w:type="paragraph" w:customStyle="1" w:styleId="MDPI21heading1">
    <w:name w:val="MDPI_2.1_heading1"/>
    <w:basedOn w:val="MDPI23heading3"/>
    <w:qFormat/>
    <w:rsid w:val="00F42E7B"/>
    <w:pPr>
      <w:outlineLvl w:val="0"/>
    </w:pPr>
    <w:rPr>
      <w:b/>
    </w:rPr>
  </w:style>
  <w:style w:type="paragraph" w:customStyle="1" w:styleId="MDPI22heading2">
    <w:name w:val="MDPI_2.2_heading2"/>
    <w:basedOn w:val="Normal"/>
    <w:qFormat/>
    <w:rsid w:val="00F42E7B"/>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F42E7B"/>
    <w:pPr>
      <w:numPr>
        <w:numId w:val="3"/>
      </w:numPr>
      <w:spacing w:before="0" w:line="260" w:lineRule="atLeast"/>
    </w:pPr>
  </w:style>
  <w:style w:type="paragraph" w:styleId="BalloonText">
    <w:name w:val="Balloon Text"/>
    <w:basedOn w:val="Normal"/>
    <w:link w:val="BalloonTextChar"/>
    <w:uiPriority w:val="99"/>
    <w:semiHidden/>
    <w:unhideWhenUsed/>
    <w:rsid w:val="00F42E7B"/>
    <w:pPr>
      <w:spacing w:line="240" w:lineRule="auto"/>
    </w:pPr>
    <w:rPr>
      <w:sz w:val="18"/>
      <w:szCs w:val="18"/>
    </w:rPr>
  </w:style>
  <w:style w:type="character" w:customStyle="1" w:styleId="BalloonTextChar">
    <w:name w:val="Balloon Text Char"/>
    <w:link w:val="BalloonText"/>
    <w:uiPriority w:val="99"/>
    <w:semiHidden/>
    <w:rsid w:val="00F42E7B"/>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F42E7B"/>
  </w:style>
  <w:style w:type="table" w:customStyle="1" w:styleId="MDPI41threelinetable">
    <w:name w:val="MDPI_4.1_three_line_table"/>
    <w:basedOn w:val="TableNormal"/>
    <w:uiPriority w:val="99"/>
    <w:rsid w:val="00A010C5"/>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99195D"/>
    <w:rPr>
      <w:color w:val="0563C1"/>
      <w:u w:val="single"/>
    </w:rPr>
  </w:style>
  <w:style w:type="character" w:customStyle="1" w:styleId="UnresolvedMention1">
    <w:name w:val="Unresolved Mention1"/>
    <w:uiPriority w:val="99"/>
    <w:semiHidden/>
    <w:unhideWhenUsed/>
    <w:rsid w:val="00474483"/>
    <w:rPr>
      <w:color w:val="605E5C"/>
      <w:shd w:val="clear" w:color="auto" w:fill="E1DFDD"/>
    </w:rPr>
  </w:style>
  <w:style w:type="table" w:styleId="PlainTable4">
    <w:name w:val="Plain Table 4"/>
    <w:basedOn w:val="TableNormal"/>
    <w:uiPriority w:val="44"/>
    <w:rsid w:val="0044246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Caption">
    <w:name w:val="caption"/>
    <w:basedOn w:val="Normal"/>
    <w:next w:val="Normal"/>
    <w:link w:val="CaptionChar"/>
    <w:autoRedefine/>
    <w:qFormat/>
    <w:rsid w:val="004968FE"/>
    <w:pPr>
      <w:keepNext/>
      <w:spacing w:line="360" w:lineRule="auto"/>
    </w:pPr>
    <w:rPr>
      <w:rFonts w:eastAsiaTheme="minorHAnsi"/>
      <w:b/>
      <w:bCs/>
      <w:color w:val="auto"/>
      <w:sz w:val="20"/>
      <w:szCs w:val="22"/>
      <w:lang w:val="en-GB" w:eastAsia="en-US"/>
    </w:rPr>
  </w:style>
  <w:style w:type="character" w:customStyle="1" w:styleId="CaptionChar">
    <w:name w:val="Caption Char"/>
    <w:basedOn w:val="DefaultParagraphFont"/>
    <w:link w:val="Caption"/>
    <w:rsid w:val="004968FE"/>
    <w:rPr>
      <w:rFonts w:ascii="Times New Roman" w:eastAsiaTheme="minorHAnsi" w:hAnsi="Times New Roman"/>
      <w:b/>
      <w:bCs/>
      <w:szCs w:val="22"/>
      <w:lang w:val="en-GB" w:eastAsia="en-US"/>
    </w:rPr>
  </w:style>
  <w:style w:type="character" w:styleId="CommentReference">
    <w:name w:val="annotation reference"/>
    <w:uiPriority w:val="99"/>
    <w:semiHidden/>
    <w:unhideWhenUsed/>
    <w:rsid w:val="00B0091C"/>
    <w:rPr>
      <w:sz w:val="16"/>
      <w:szCs w:val="16"/>
    </w:rPr>
  </w:style>
  <w:style w:type="paragraph" w:styleId="CommentText">
    <w:name w:val="annotation text"/>
    <w:basedOn w:val="Normal"/>
    <w:link w:val="CommentTextChar"/>
    <w:uiPriority w:val="99"/>
    <w:unhideWhenUsed/>
    <w:rsid w:val="00B0091C"/>
    <w:pPr>
      <w:spacing w:after="160" w:line="240" w:lineRule="auto"/>
      <w:jc w:val="left"/>
    </w:pPr>
    <w:rPr>
      <w:rFonts w:ascii="Calibri" w:eastAsia="Calibri" w:hAnsi="Calibri"/>
      <w:color w:val="auto"/>
      <w:sz w:val="20"/>
      <w:lang w:eastAsia="en-US"/>
    </w:rPr>
  </w:style>
  <w:style w:type="character" w:customStyle="1" w:styleId="CommentTextChar">
    <w:name w:val="Comment Text Char"/>
    <w:basedOn w:val="DefaultParagraphFont"/>
    <w:link w:val="CommentText"/>
    <w:uiPriority w:val="99"/>
    <w:rsid w:val="00B0091C"/>
    <w:rPr>
      <w:rFonts w:eastAsia="Calibri"/>
      <w:lang w:val="en-US" w:eastAsia="en-US"/>
    </w:rPr>
  </w:style>
  <w:style w:type="paragraph" w:styleId="CommentSubject">
    <w:name w:val="annotation subject"/>
    <w:basedOn w:val="CommentText"/>
    <w:next w:val="CommentText"/>
    <w:link w:val="CommentSubjectChar"/>
    <w:uiPriority w:val="99"/>
    <w:semiHidden/>
    <w:unhideWhenUsed/>
    <w:rsid w:val="0068335D"/>
    <w:pPr>
      <w:spacing w:after="0"/>
      <w:jc w:val="both"/>
    </w:pPr>
    <w:rPr>
      <w:rFonts w:ascii="Times New Roman" w:eastAsia="Times New Roman" w:hAnsi="Times New Roman"/>
      <w:b/>
      <w:bCs/>
      <w:color w:val="000000"/>
      <w:lang w:eastAsia="de-DE"/>
    </w:rPr>
  </w:style>
  <w:style w:type="character" w:customStyle="1" w:styleId="CommentSubjectChar">
    <w:name w:val="Comment Subject Char"/>
    <w:basedOn w:val="CommentTextChar"/>
    <w:link w:val="CommentSubject"/>
    <w:uiPriority w:val="99"/>
    <w:semiHidden/>
    <w:rsid w:val="0068335D"/>
    <w:rPr>
      <w:rFonts w:ascii="Times New Roman" w:eastAsia="Times New Roman" w:hAnsi="Times New Roman"/>
      <w:b/>
      <w:bCs/>
      <w:color w:val="000000"/>
      <w:lang w:val="en-US" w:eastAsia="de-DE"/>
    </w:rPr>
  </w:style>
  <w:style w:type="paragraph" w:styleId="Revision">
    <w:name w:val="Revision"/>
    <w:hidden/>
    <w:uiPriority w:val="99"/>
    <w:semiHidden/>
    <w:rsid w:val="0068335D"/>
    <w:rPr>
      <w:rFonts w:ascii="Times New Roman" w:eastAsia="Times New Roman" w:hAnsi="Times New Roman"/>
      <w:color w:val="000000"/>
      <w:sz w:val="24"/>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lios\AppData\Local\Temp\material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3.xml><?xml version="1.0" encoding="utf-8"?>
<ct:contentTypeSchema xmlns:ct="http://schemas.microsoft.com/office/2006/metadata/contentType" xmlns:ma="http://schemas.microsoft.com/office/2006/metadata/properties/metaAttributes" ct:_="" ma:_="" ma:contentTypeName="Document" ma:contentTypeID="0x0101004117B0E1A70A2146A697C43B031D6EE5" ma:contentTypeVersion="13" ma:contentTypeDescription="Create a new document." ma:contentTypeScope="" ma:versionID="1af6dc24b7655c6f782c38a90b830e8c">
  <xsd:schema xmlns:xsd="http://www.w3.org/2001/XMLSchema" xmlns:xs="http://www.w3.org/2001/XMLSchema" xmlns:p="http://schemas.microsoft.com/office/2006/metadata/properties" xmlns:ns3="1e8628c8-ae23-421c-96f6-a226ab878f64" xmlns:ns4="93750ae3-a819-4ab8-bbee-706ef73e6c2c" targetNamespace="http://schemas.microsoft.com/office/2006/metadata/properties" ma:root="true" ma:fieldsID="03bf94961e44d163f68ac8608ac2efe4" ns3:_="" ns4:_="">
    <xsd:import namespace="1e8628c8-ae23-421c-96f6-a226ab878f64"/>
    <xsd:import namespace="93750ae3-a819-4ab8-bbee-706ef73e6c2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8628c8-ae23-421c-96f6-a226ab878f6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750ae3-a819-4ab8-bbee-706ef73e6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EA8C32-6B69-4C88-A31F-D4918FC6B8C4}">
  <ds:schemaRefs>
    <ds:schemaRef ds:uri="http://schemas.microsoft.com/sharepoint/v3/contenttype/forms"/>
  </ds:schemaRefs>
</ds:datastoreItem>
</file>

<file path=customXml/itemProps2.xml><?xml version="1.0" encoding="utf-8"?>
<ds:datastoreItem xmlns:ds="http://schemas.openxmlformats.org/officeDocument/2006/customXml" ds:itemID="{F3174C2D-FE06-4BCF-A10D-EC2C361CF5CD}">
  <ds:schemaRefs>
    <ds:schemaRef ds:uri="http://schemas.openxmlformats.org/officeDocument/2006/bibliography"/>
  </ds:schemaRefs>
</ds:datastoreItem>
</file>

<file path=customXml/itemProps3.xml><?xml version="1.0" encoding="utf-8"?>
<ds:datastoreItem xmlns:ds="http://schemas.openxmlformats.org/officeDocument/2006/customXml" ds:itemID="{96B2D826-7D48-4BDF-A3DF-792817DE1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8628c8-ae23-421c-96f6-a226ab878f64"/>
    <ds:schemaRef ds:uri="93750ae3-a819-4ab8-bbee-706ef73e6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E9D270-AF3C-4111-8F1F-8748CBAFB0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materials-template.dot</Template>
  <TotalTime>4</TotalTime>
  <Pages>4</Pages>
  <Words>836</Words>
  <Characters>5089</Characters>
  <Application>Microsoft Office Word</Application>
  <DocSecurity>0</DocSecurity>
  <Lines>113</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5871</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Stelios</dc:creator>
  <cp:keywords/>
  <dc:description/>
  <cp:lastModifiedBy>MDPI</cp:lastModifiedBy>
  <cp:revision>3</cp:revision>
  <dcterms:created xsi:type="dcterms:W3CDTF">2020-11-11T05:50:00Z</dcterms:created>
  <dcterms:modified xsi:type="dcterms:W3CDTF">2020-11-11T07:14:00Z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http://www.zotero.org/styles/organic-electronics</vt:lpwstr>
  </property>
  <property fmtid="{D5CDD505-2E9C-101B-9397-08002B2CF9AE}" pid="21" name="Mendeley Recent Style Name 9_1">
    <vt:lpwstr>Organic Electronics</vt:lpwstr>
  </property>
  <property fmtid="{D5CDD505-2E9C-101B-9397-08002B2CF9AE}" pid="22" name="Mendeley Document_1">
    <vt:lpwstr>True</vt:lpwstr>
  </property>
  <property fmtid="{D5CDD505-2E9C-101B-9397-08002B2CF9AE}" pid="23" name="Mendeley Unique User Id_1">
    <vt:lpwstr>9cb7ff87-a6aa-3a6b-a94a-747eb621bd77</vt:lpwstr>
  </property>
  <property fmtid="{D5CDD505-2E9C-101B-9397-08002B2CF9AE}" pid="24" name="Mendeley Citation Style_1">
    <vt:lpwstr>http://www.zotero.org/styles/organic-electronics</vt:lpwstr>
  </property>
  <property fmtid="{D5CDD505-2E9C-101B-9397-08002B2CF9AE}" pid="25" name="ContentTypeId">
    <vt:lpwstr>0x0101004117B0E1A70A2146A697C43B031D6EE5</vt:lpwstr>
  </property>
</Properties>
</file>