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FEC" w:rsidRPr="00383BD6" w:rsidRDefault="002E3FEC" w:rsidP="002E3FEC">
      <w:pPr>
        <w:spacing w:line="276" w:lineRule="auto"/>
        <w:rPr>
          <w:rFonts w:ascii="Times New Roman" w:hAnsi="Times New Roman" w:cs="Times New Roman"/>
          <w:sz w:val="24"/>
          <w:szCs w:val="24"/>
        </w:rPr>
      </w:pPr>
      <w:r w:rsidRPr="00383BD6">
        <w:rPr>
          <w:rFonts w:ascii="Times New Roman" w:hAnsi="Times New Roman" w:cs="Times New Roman" w:hint="eastAsia"/>
          <w:b/>
          <w:sz w:val="24"/>
          <w:szCs w:val="24"/>
        </w:rPr>
        <w:t>T</w:t>
      </w:r>
      <w:r>
        <w:rPr>
          <w:rFonts w:ascii="Times New Roman" w:hAnsi="Times New Roman" w:cs="Times New Roman"/>
          <w:b/>
          <w:sz w:val="24"/>
          <w:szCs w:val="24"/>
        </w:rPr>
        <w:t>able</w:t>
      </w:r>
      <w:r w:rsidRPr="00383BD6">
        <w:rPr>
          <w:rFonts w:ascii="Times New Roman" w:hAnsi="Times New Roman" w:cs="Times New Roman" w:hint="eastAsia"/>
          <w:b/>
          <w:sz w:val="24"/>
          <w:szCs w:val="24"/>
        </w:rPr>
        <w:t xml:space="preserve"> S</w:t>
      </w:r>
      <w:r>
        <w:rPr>
          <w:rFonts w:ascii="Times New Roman" w:hAnsi="Times New Roman" w:cs="Times New Roman"/>
          <w:b/>
          <w:sz w:val="24"/>
          <w:szCs w:val="24"/>
        </w:rPr>
        <w:t>4.</w:t>
      </w:r>
      <w:r w:rsidRPr="00383BD6">
        <w:rPr>
          <w:rFonts w:ascii="Times New Roman" w:hAnsi="Times New Roman" w:cs="Times New Roman"/>
          <w:sz w:val="24"/>
          <w:szCs w:val="24"/>
        </w:rPr>
        <w:t xml:space="preserve"> High throughput sequencing results. JM: </w:t>
      </w:r>
      <w:r w:rsidRPr="00383BD6">
        <w:rPr>
          <w:rFonts w:ascii="Times New Roman" w:hAnsi="Times New Roman" w:cs="Times New Roman"/>
          <w:i/>
          <w:sz w:val="24"/>
          <w:szCs w:val="24"/>
        </w:rPr>
        <w:t>Juglans mandshurica</w:t>
      </w:r>
      <w:r w:rsidRPr="00383BD6">
        <w:rPr>
          <w:rFonts w:ascii="Times New Roman" w:hAnsi="Times New Roman" w:cs="Times New Roman"/>
          <w:sz w:val="24"/>
          <w:szCs w:val="24"/>
        </w:rPr>
        <w:t xml:space="preserve">; QM: </w:t>
      </w:r>
      <w:r w:rsidRPr="00383BD6">
        <w:rPr>
          <w:rFonts w:ascii="Times New Roman" w:hAnsi="Times New Roman" w:cs="Times New Roman"/>
          <w:i/>
          <w:sz w:val="24"/>
          <w:szCs w:val="24"/>
        </w:rPr>
        <w:t>Quercus mongolica</w:t>
      </w:r>
      <w:r w:rsidRPr="00383BD6">
        <w:rPr>
          <w:rFonts w:ascii="Times New Roman" w:hAnsi="Times New Roman" w:cs="Times New Roman"/>
          <w:sz w:val="24"/>
          <w:szCs w:val="24"/>
        </w:rPr>
        <w:t>;</w:t>
      </w:r>
      <w:r>
        <w:rPr>
          <w:rFonts w:ascii="Times New Roman" w:hAnsi="Times New Roman" w:cs="Times New Roman"/>
          <w:sz w:val="24"/>
          <w:szCs w:val="24"/>
        </w:rPr>
        <w:t xml:space="preserve"> </w:t>
      </w:r>
      <w:r w:rsidRPr="00383BD6">
        <w:rPr>
          <w:rFonts w:ascii="Times New Roman" w:hAnsi="Times New Roman" w:cs="Times New Roman"/>
          <w:sz w:val="24"/>
          <w:szCs w:val="24"/>
        </w:rPr>
        <w:t xml:space="preserve">CB: Conifer-broadleaf forest; LG: </w:t>
      </w:r>
      <w:r w:rsidRPr="00383BD6">
        <w:rPr>
          <w:rFonts w:ascii="Times New Roman" w:hAnsi="Times New Roman" w:cs="Times New Roman"/>
          <w:i/>
          <w:sz w:val="24"/>
          <w:szCs w:val="24"/>
        </w:rPr>
        <w:t>Larix gmelinii</w:t>
      </w:r>
      <w:r w:rsidRPr="00383BD6">
        <w:rPr>
          <w:rFonts w:ascii="Times New Roman" w:hAnsi="Times New Roman" w:cs="Times New Roman"/>
          <w:sz w:val="24"/>
          <w:szCs w:val="24"/>
        </w:rPr>
        <w:t xml:space="preserve">; PK: </w:t>
      </w:r>
      <w:r w:rsidRPr="00383BD6">
        <w:rPr>
          <w:rFonts w:ascii="Times New Roman" w:hAnsi="Times New Roman" w:cs="Times New Roman"/>
          <w:i/>
          <w:sz w:val="24"/>
          <w:szCs w:val="24"/>
        </w:rPr>
        <w:t>Pinus koraiensis</w:t>
      </w:r>
      <w:r w:rsidRPr="00383BD6">
        <w:rPr>
          <w:rFonts w:ascii="Times New Roman" w:hAnsi="Times New Roman" w:cs="Times New Roman"/>
          <w:sz w:val="24"/>
          <w:szCs w:val="24"/>
        </w:rPr>
        <w:t xml:space="preserve">. Note: N (%) is the ratio of fuzzy bases to the total number of bases; GC (%) is the GC content, that is, the ratio of G bases and C bases to the total number of bases; Q20 (%) and Q30 (%) The ratio of the bases whose measurement accuracy is 99% and 99.9% or more to the total number of bases, respectively.  Statistics of the </w:t>
      </w:r>
      <w:r w:rsidRPr="00383BD6">
        <w:rPr>
          <w:rFonts w:ascii="Times New Roman" w:hAnsi="Times New Roman" w:cs="Times New Roman"/>
          <w:i/>
          <w:sz w:val="24"/>
          <w:szCs w:val="24"/>
        </w:rPr>
        <w:t>de novo</w:t>
      </w:r>
      <w:r w:rsidRPr="00383BD6">
        <w:rPr>
          <w:rFonts w:ascii="Times New Roman" w:hAnsi="Times New Roman" w:cs="Times New Roman"/>
          <w:sz w:val="24"/>
          <w:szCs w:val="24"/>
        </w:rPr>
        <w:t xml:space="preserve"> assembly for </w:t>
      </w:r>
      <w:r w:rsidRPr="00383BD6">
        <w:rPr>
          <w:rFonts w:ascii="Times New Roman" w:hAnsi="Times New Roman" w:cs="Times New Roman" w:hint="eastAsia"/>
          <w:sz w:val="24"/>
          <w:szCs w:val="24"/>
        </w:rPr>
        <w:t>different revegetat</w:t>
      </w:r>
      <w:r w:rsidRPr="00383BD6">
        <w:rPr>
          <w:rFonts w:ascii="Times New Roman" w:hAnsi="Times New Roman" w:cs="Times New Roman"/>
          <w:sz w:val="24"/>
          <w:szCs w:val="24"/>
        </w:rPr>
        <w:t xml:space="preserve">ion forest soil metagenomes. JM: </w:t>
      </w:r>
      <w:r w:rsidRPr="00383BD6">
        <w:rPr>
          <w:rFonts w:ascii="Times New Roman" w:hAnsi="Times New Roman" w:cs="Times New Roman"/>
          <w:i/>
          <w:sz w:val="24"/>
          <w:szCs w:val="24"/>
        </w:rPr>
        <w:t>Juglans mandshurica</w:t>
      </w:r>
      <w:r w:rsidRPr="00383BD6">
        <w:rPr>
          <w:rFonts w:ascii="Times New Roman" w:hAnsi="Times New Roman" w:cs="Times New Roman"/>
          <w:sz w:val="24"/>
          <w:szCs w:val="24"/>
        </w:rPr>
        <w:t xml:space="preserve">; QM: </w:t>
      </w:r>
      <w:r w:rsidRPr="00383BD6">
        <w:rPr>
          <w:rFonts w:ascii="Times New Roman" w:hAnsi="Times New Roman" w:cs="Times New Roman"/>
          <w:i/>
          <w:sz w:val="24"/>
          <w:szCs w:val="24"/>
        </w:rPr>
        <w:t>Quercus mongolica</w:t>
      </w:r>
      <w:r w:rsidRPr="00383BD6">
        <w:rPr>
          <w:rFonts w:ascii="Times New Roman" w:hAnsi="Times New Roman" w:cs="Times New Roman"/>
          <w:sz w:val="24"/>
          <w:szCs w:val="24"/>
        </w:rPr>
        <w:t xml:space="preserve">; CB: Conifer-broadleaf forest; LG: </w:t>
      </w:r>
      <w:r w:rsidRPr="00383BD6">
        <w:rPr>
          <w:rFonts w:ascii="Times New Roman" w:hAnsi="Times New Roman" w:cs="Times New Roman"/>
          <w:i/>
          <w:sz w:val="24"/>
          <w:szCs w:val="24"/>
        </w:rPr>
        <w:t>Larix gmelinii</w:t>
      </w:r>
      <w:r w:rsidRPr="00383BD6">
        <w:rPr>
          <w:rFonts w:ascii="Times New Roman" w:hAnsi="Times New Roman" w:cs="Times New Roman"/>
          <w:sz w:val="24"/>
          <w:szCs w:val="24"/>
        </w:rPr>
        <w:t xml:space="preserve">; PK: </w:t>
      </w:r>
      <w:r w:rsidRPr="00383BD6">
        <w:rPr>
          <w:rFonts w:ascii="Times New Roman" w:hAnsi="Times New Roman" w:cs="Times New Roman"/>
          <w:i/>
          <w:sz w:val="24"/>
          <w:szCs w:val="24"/>
        </w:rPr>
        <w:t>Pinus koraiensis</w:t>
      </w:r>
      <w:r w:rsidRPr="00383BD6">
        <w:rPr>
          <w:rFonts w:ascii="Times New Roman" w:hAnsi="Times New Roman" w:cs="Times New Roman"/>
          <w:sz w:val="24"/>
          <w:szCs w:val="24"/>
        </w:rPr>
        <w:t>.</w:t>
      </w:r>
    </w:p>
    <w:tbl>
      <w:tblPr>
        <w:tblpPr w:leftFromText="180" w:rightFromText="180" w:vertAnchor="text" w:horzAnchor="margin" w:tblpXSpec="center" w:tblpY="199"/>
        <w:tblW w:w="8296" w:type="dxa"/>
        <w:tblBorders>
          <w:top w:val="single" w:sz="12" w:space="0" w:color="auto"/>
          <w:bottom w:val="single" w:sz="12" w:space="0" w:color="auto"/>
        </w:tblBorders>
        <w:tblLayout w:type="fixed"/>
        <w:tblLook w:val="00A0" w:firstRow="1" w:lastRow="0" w:firstColumn="1" w:lastColumn="0" w:noHBand="0" w:noVBand="0"/>
      </w:tblPr>
      <w:tblGrid>
        <w:gridCol w:w="1357"/>
        <w:gridCol w:w="3319"/>
        <w:gridCol w:w="1659"/>
        <w:gridCol w:w="1961"/>
      </w:tblGrid>
      <w:tr w:rsidR="002E3FEC" w:rsidRPr="00383BD6" w:rsidTr="00592D6D">
        <w:trPr>
          <w:trHeight w:val="300"/>
        </w:trPr>
        <w:tc>
          <w:tcPr>
            <w:tcW w:w="1357" w:type="dxa"/>
            <w:tcBorders>
              <w:top w:val="single" w:sz="12" w:space="0" w:color="auto"/>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Samples</w:t>
            </w:r>
          </w:p>
        </w:tc>
        <w:tc>
          <w:tcPr>
            <w:tcW w:w="3319" w:type="dxa"/>
            <w:tcBorders>
              <w:top w:val="single" w:sz="12" w:space="0" w:color="auto"/>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File</w:t>
            </w:r>
          </w:p>
        </w:tc>
        <w:tc>
          <w:tcPr>
            <w:tcW w:w="1659" w:type="dxa"/>
            <w:tcBorders>
              <w:top w:val="single" w:sz="12" w:space="0" w:color="auto"/>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Contigs</w:t>
            </w:r>
          </w:p>
        </w:tc>
        <w:tc>
          <w:tcPr>
            <w:tcW w:w="1961" w:type="dxa"/>
            <w:tcBorders>
              <w:top w:val="single" w:sz="12" w:space="0" w:color="auto"/>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Scaffolds</w:t>
            </w:r>
          </w:p>
        </w:tc>
      </w:tr>
      <w:tr w:rsidR="002E3FEC" w:rsidRPr="00383BD6" w:rsidTr="00592D6D">
        <w:trPr>
          <w:trHeight w:val="525"/>
        </w:trPr>
        <w:tc>
          <w:tcPr>
            <w:tcW w:w="1357" w:type="dxa"/>
            <w:vMerge w:val="restart"/>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QM</w:t>
            </w:r>
          </w:p>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Min sequence length</w:t>
            </w:r>
          </w:p>
        </w:tc>
        <w:tc>
          <w:tcPr>
            <w:tcW w:w="165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c>
          <w:tcPr>
            <w:tcW w:w="1961"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r>
      <w:tr w:rsidR="002E3FEC" w:rsidRPr="00383BD6" w:rsidTr="00592D6D">
        <w:trPr>
          <w:trHeight w:val="33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Max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8240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9020</w:t>
            </w:r>
          </w:p>
        </w:tc>
      </w:tr>
      <w:tr w:rsidR="002E3FEC" w:rsidRPr="00383BD6" w:rsidTr="00592D6D">
        <w:trPr>
          <w:trHeight w:val="33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915504</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908527</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N20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621</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630</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N50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417</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418</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N90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317</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317</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1563</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rate</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3.91E-06</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401328651</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400237355</w:t>
            </w:r>
          </w:p>
        </w:tc>
      </w:tr>
      <w:tr w:rsidR="002E3FEC" w:rsidRPr="00383BD6" w:rsidTr="00592D6D">
        <w:trPr>
          <w:trHeight w:val="30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GC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0.61751437</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0.617582627</w:t>
            </w:r>
          </w:p>
        </w:tc>
      </w:tr>
      <w:tr w:rsidR="002E3FEC" w:rsidRPr="00383BD6" w:rsidTr="00592D6D">
        <w:trPr>
          <w:trHeight w:val="300"/>
        </w:trPr>
        <w:tc>
          <w:tcPr>
            <w:tcW w:w="1357" w:type="dxa"/>
            <w:vMerge/>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Sequences greater than 1kb</w:t>
            </w:r>
          </w:p>
        </w:tc>
        <w:tc>
          <w:tcPr>
            <w:tcW w:w="165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18141</w:t>
            </w:r>
          </w:p>
        </w:tc>
        <w:tc>
          <w:tcPr>
            <w:tcW w:w="1961"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19329</w:t>
            </w:r>
          </w:p>
        </w:tc>
      </w:tr>
      <w:tr w:rsidR="002E3FEC" w:rsidRPr="00383BD6" w:rsidTr="00592D6D">
        <w:trPr>
          <w:trHeight w:val="360"/>
        </w:trPr>
        <w:tc>
          <w:tcPr>
            <w:tcW w:w="1357" w:type="dxa"/>
            <w:vMerge w:val="restart"/>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CB</w:t>
            </w:r>
          </w:p>
        </w:tc>
        <w:tc>
          <w:tcPr>
            <w:tcW w:w="331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Min sequence length</w:t>
            </w:r>
          </w:p>
        </w:tc>
        <w:tc>
          <w:tcPr>
            <w:tcW w:w="165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c>
          <w:tcPr>
            <w:tcW w:w="1961"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Max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8737</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10899</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1157992</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1147321</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N20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675</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689</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N50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438</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440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N90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319</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319</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2624</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rate</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4.99E-06</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527671943</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526041760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GC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0.612721365</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0.612750684</w:t>
            </w:r>
          </w:p>
        </w:tc>
      </w:tr>
      <w:tr w:rsidR="002E3FEC" w:rsidRPr="00383BD6" w:rsidTr="00592D6D">
        <w:trPr>
          <w:trHeight w:val="360"/>
        </w:trPr>
        <w:tc>
          <w:tcPr>
            <w:tcW w:w="1357" w:type="dxa"/>
            <w:vMerge/>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Sequences greater than 1kb</w:t>
            </w:r>
          </w:p>
        </w:tc>
        <w:tc>
          <w:tcPr>
            <w:tcW w:w="165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30733</w:t>
            </w:r>
          </w:p>
        </w:tc>
        <w:tc>
          <w:tcPr>
            <w:tcW w:w="1961"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32933</w:t>
            </w:r>
          </w:p>
        </w:tc>
      </w:tr>
      <w:tr w:rsidR="002E3FEC" w:rsidRPr="00383BD6" w:rsidTr="00592D6D">
        <w:trPr>
          <w:trHeight w:val="360"/>
        </w:trPr>
        <w:tc>
          <w:tcPr>
            <w:tcW w:w="1357" w:type="dxa"/>
            <w:vMerge w:val="restart"/>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PK</w:t>
            </w:r>
          </w:p>
        </w:tc>
        <w:tc>
          <w:tcPr>
            <w:tcW w:w="331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Min sequence length</w:t>
            </w:r>
          </w:p>
        </w:tc>
        <w:tc>
          <w:tcPr>
            <w:tcW w:w="165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c>
          <w:tcPr>
            <w:tcW w:w="1961"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Max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12714</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15669</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1369973</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1355172</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N20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646</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660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N50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433</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435</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N90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319</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319</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5413</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rate</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8.82E-06</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615583093</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613573735</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GC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0.61386935</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0.613889333</w:t>
            </w:r>
          </w:p>
        </w:tc>
      </w:tr>
      <w:tr w:rsidR="002E3FEC" w:rsidRPr="00383BD6" w:rsidTr="00592D6D">
        <w:trPr>
          <w:trHeight w:val="360"/>
        </w:trPr>
        <w:tc>
          <w:tcPr>
            <w:tcW w:w="1357" w:type="dxa"/>
            <w:vMerge/>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Sequences greater than 1kb</w:t>
            </w:r>
          </w:p>
        </w:tc>
        <w:tc>
          <w:tcPr>
            <w:tcW w:w="165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30228</w:t>
            </w:r>
          </w:p>
        </w:tc>
        <w:tc>
          <w:tcPr>
            <w:tcW w:w="1961"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33020</w:t>
            </w:r>
          </w:p>
        </w:tc>
      </w:tr>
      <w:tr w:rsidR="002E3FEC" w:rsidRPr="00383BD6" w:rsidTr="00592D6D">
        <w:trPr>
          <w:trHeight w:val="360"/>
        </w:trPr>
        <w:tc>
          <w:tcPr>
            <w:tcW w:w="1357" w:type="dxa"/>
            <w:vMerge w:val="restart"/>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LG</w:t>
            </w:r>
          </w:p>
        </w:tc>
        <w:tc>
          <w:tcPr>
            <w:tcW w:w="331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Min sequence length</w:t>
            </w:r>
          </w:p>
        </w:tc>
        <w:tc>
          <w:tcPr>
            <w:tcW w:w="1659"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c>
          <w:tcPr>
            <w:tcW w:w="1961" w:type="dxa"/>
            <w:tcBorders>
              <w:top w:val="single" w:sz="6" w:space="0" w:color="auto"/>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Max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35249</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35249</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1468972</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1452211</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N20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708</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728</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N50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450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452</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N90 (bp)</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320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320</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11643</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rate</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1.71E-05</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length</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683483919</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680952808</w:t>
            </w:r>
          </w:p>
        </w:tc>
      </w:tr>
      <w:tr w:rsidR="002E3FEC" w:rsidRPr="00383BD6" w:rsidTr="00592D6D">
        <w:trPr>
          <w:trHeight w:val="360"/>
        </w:trPr>
        <w:tc>
          <w:tcPr>
            <w:tcW w:w="1357" w:type="dxa"/>
            <w:vMerge/>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GC Number</w:t>
            </w:r>
          </w:p>
        </w:tc>
        <w:tc>
          <w:tcPr>
            <w:tcW w:w="1659"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0.609236306</w:t>
            </w:r>
          </w:p>
        </w:tc>
        <w:tc>
          <w:tcPr>
            <w:tcW w:w="1961" w:type="dxa"/>
            <w:tcBorders>
              <w:top w:val="nil"/>
              <w:bottom w:val="nil"/>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0.609263874</w:t>
            </w:r>
          </w:p>
        </w:tc>
      </w:tr>
      <w:tr w:rsidR="002E3FEC" w:rsidRPr="00383BD6" w:rsidTr="00592D6D">
        <w:trPr>
          <w:trHeight w:val="360"/>
        </w:trPr>
        <w:tc>
          <w:tcPr>
            <w:tcW w:w="1357" w:type="dxa"/>
            <w:vMerge/>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Sequences greater than 1kb</w:t>
            </w:r>
          </w:p>
        </w:tc>
        <w:tc>
          <w:tcPr>
            <w:tcW w:w="1659"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44392</w:t>
            </w:r>
          </w:p>
        </w:tc>
        <w:tc>
          <w:tcPr>
            <w:tcW w:w="1961" w:type="dxa"/>
            <w:tcBorders>
              <w:top w:val="nil"/>
              <w:bottom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48422</w:t>
            </w:r>
          </w:p>
        </w:tc>
      </w:tr>
      <w:tr w:rsidR="002E3FEC" w:rsidRPr="00383BD6" w:rsidTr="00592D6D">
        <w:trPr>
          <w:trHeight w:val="360"/>
        </w:trPr>
        <w:tc>
          <w:tcPr>
            <w:tcW w:w="1357" w:type="dxa"/>
            <w:vMerge w:val="restart"/>
            <w:tcBorders>
              <w:top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JM</w:t>
            </w:r>
          </w:p>
        </w:tc>
        <w:tc>
          <w:tcPr>
            <w:tcW w:w="3319" w:type="dxa"/>
            <w:tcBorders>
              <w:top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Min sequence length</w:t>
            </w:r>
          </w:p>
        </w:tc>
        <w:tc>
          <w:tcPr>
            <w:tcW w:w="1659" w:type="dxa"/>
            <w:tcBorders>
              <w:top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c>
          <w:tcPr>
            <w:tcW w:w="1961" w:type="dxa"/>
            <w:tcBorders>
              <w:top w:val="single" w:sz="6" w:space="0" w:color="auto"/>
            </w:tcBorders>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200</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Max sequence length</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10951</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13184</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number</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942545</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934630</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N20 (bp)</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605</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614</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N50 (bp)</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415</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417</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N90 (bp)</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317</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317</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number</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1625</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N rate</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3.98E-06</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Total sequence length</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409558557</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408427356</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GC Number</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0.625613946</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0.62566193</w:t>
            </w:r>
          </w:p>
        </w:tc>
      </w:tr>
      <w:tr w:rsidR="002E3FEC" w:rsidRPr="00383BD6" w:rsidTr="00592D6D">
        <w:trPr>
          <w:trHeight w:val="360"/>
        </w:trPr>
        <w:tc>
          <w:tcPr>
            <w:tcW w:w="1357" w:type="dxa"/>
            <w:vMerge/>
            <w:vAlign w:val="center"/>
          </w:tcPr>
          <w:p w:rsidR="002E3FEC" w:rsidRPr="00383BD6" w:rsidRDefault="002E3FEC" w:rsidP="00592D6D">
            <w:pPr>
              <w:spacing w:line="276" w:lineRule="auto"/>
              <w:jc w:val="center"/>
              <w:rPr>
                <w:rFonts w:ascii="Times New Roman" w:hAnsi="Times New Roman" w:cs="Times New Roman"/>
                <w:sz w:val="24"/>
                <w:szCs w:val="24"/>
              </w:rPr>
            </w:pPr>
          </w:p>
        </w:tc>
        <w:tc>
          <w:tcPr>
            <w:tcW w:w="331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Sequences greater than 1kb</w:t>
            </w:r>
          </w:p>
        </w:tc>
        <w:tc>
          <w:tcPr>
            <w:tcW w:w="1659"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16145</w:t>
            </w:r>
          </w:p>
        </w:tc>
        <w:tc>
          <w:tcPr>
            <w:tcW w:w="1961" w:type="dxa"/>
            <w:vAlign w:val="center"/>
          </w:tcPr>
          <w:p w:rsidR="002E3FEC" w:rsidRPr="00383BD6" w:rsidRDefault="002E3FEC" w:rsidP="00592D6D">
            <w:pPr>
              <w:spacing w:line="276" w:lineRule="auto"/>
              <w:jc w:val="center"/>
              <w:rPr>
                <w:rFonts w:ascii="Times New Roman" w:hAnsi="Times New Roman" w:cs="Times New Roman"/>
                <w:sz w:val="24"/>
                <w:szCs w:val="24"/>
              </w:rPr>
            </w:pPr>
            <w:r w:rsidRPr="00383BD6">
              <w:rPr>
                <w:rFonts w:ascii="Times New Roman" w:hAnsi="Times New Roman" w:cs="Times New Roman"/>
                <w:sz w:val="24"/>
                <w:szCs w:val="24"/>
              </w:rPr>
              <w:t>17387</w:t>
            </w:r>
          </w:p>
        </w:tc>
      </w:tr>
    </w:tbl>
    <w:p w:rsidR="002E3FEC" w:rsidRPr="00383BD6" w:rsidRDefault="002E3FEC" w:rsidP="002E3FEC">
      <w:pPr>
        <w:spacing w:line="276" w:lineRule="auto"/>
        <w:rPr>
          <w:rFonts w:ascii="Times New Roman" w:hAnsi="Times New Roman" w:cs="Times New Roman"/>
          <w:sz w:val="24"/>
          <w:szCs w:val="24"/>
        </w:rPr>
      </w:pPr>
      <w:r w:rsidRPr="00383BD6">
        <w:rPr>
          <w:rFonts w:ascii="Times New Roman" w:hAnsi="Times New Roman" w:cs="Times New Roman" w:hint="eastAsia"/>
          <w:sz w:val="24"/>
          <w:szCs w:val="24"/>
        </w:rPr>
        <w:t>Note</w:t>
      </w:r>
      <w:r w:rsidRPr="00383BD6">
        <w:rPr>
          <w:rFonts w:ascii="Times New Roman" w:hAnsi="Times New Roman" w:cs="Times New Roman"/>
          <w:sz w:val="24"/>
          <w:szCs w:val="24"/>
        </w:rPr>
        <w:t xml:space="preserve">: The length of N20/N50/N90 refers to the corresponding length of the last sequence when the length of the addition reaches 20%/50%/90% of the total length of the Contigs/Scaffolds sequence, which obtained by splicing all the assemblies according to the length from long to short, and added in order from long to short. The longer the length of N20/N50/N90, the better the assembly and splicing effect, and the more complete the obtained metagenomic sequence is. Among them, the length of N50 is particularly important, which is one of the main indicators to measure the effect of metagenomic assembly and splicing. </w:t>
      </w:r>
    </w:p>
    <w:p w:rsidR="002E3FEC" w:rsidRPr="00383BD6" w:rsidRDefault="002E3FEC" w:rsidP="002E3FEC">
      <w:pPr>
        <w:spacing w:line="276" w:lineRule="auto"/>
        <w:rPr>
          <w:sz w:val="24"/>
          <w:szCs w:val="24"/>
        </w:rPr>
      </w:pPr>
    </w:p>
    <w:p w:rsidR="00182A03" w:rsidRPr="002E3FEC" w:rsidRDefault="00182A03">
      <w:bookmarkStart w:id="0" w:name="_GoBack"/>
      <w:bookmarkEnd w:id="0"/>
    </w:p>
    <w:sectPr w:rsidR="00182A03" w:rsidRPr="002E3F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FEC"/>
    <w:rsid w:val="00182A03"/>
    <w:rsid w:val="002E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B9158-6F70-4CBD-A980-CB4D76C00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F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dengjiaojiao</dc:creator>
  <cp:keywords/>
  <dc:description/>
  <cp:lastModifiedBy>dengjiaojiao</cp:lastModifiedBy>
  <cp:revision>1</cp:revision>
  <dcterms:created xsi:type="dcterms:W3CDTF">2019-01-19T12:32:00Z</dcterms:created>
  <dcterms:modified xsi:type="dcterms:W3CDTF">2019-01-19T12:33:00Z</dcterms:modified>
</cp:coreProperties>
</file>