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54B2B" w:rsidRDefault="00E54B2B"/>
    <w:p w:rsidR="00946AD1" w:rsidRDefault="00DB7851">
      <w:r w:rsidRPr="00C3239A">
        <w:rPr>
          <w:noProof/>
        </w:rPr>
        <w:drawing>
          <wp:inline distT="0" distB="0" distL="0" distR="0" wp14:anchorId="53A6AF05" wp14:editId="3C953AE4">
            <wp:extent cx="5274310" cy="3716020"/>
            <wp:effectExtent l="0" t="0" r="0" b="0"/>
            <wp:docPr id="1" name="图片 1" descr="F:\yule\氮缺乏转录组\20201022之后\转录组数据作图\生长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yule\氮缺乏转录组\20201022之后\转录组数据作图\生长.emf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1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7851" w:rsidRPr="006C5EFA" w:rsidRDefault="008860DC" w:rsidP="008C4D61">
      <w:pPr>
        <w:widowControl/>
        <w:adjustRightInd w:val="0"/>
        <w:snapToGrid w:val="0"/>
        <w:spacing w:after="200" w:line="220" w:lineRule="atLeast"/>
        <w:rPr>
          <w:rFonts w:ascii="Times New Roman" w:eastAsia="微软雅黑" w:hAnsi="Times New Roman" w:cs="Times New Roman"/>
          <w:kern w:val="0"/>
          <w:sz w:val="22"/>
        </w:rPr>
      </w:pPr>
      <w:r w:rsidRPr="006C5EFA">
        <w:rPr>
          <w:rFonts w:ascii="Times New Roman" w:eastAsia="微软雅黑" w:hAnsi="Times New Roman" w:cs="Times New Roman"/>
          <w:kern w:val="0"/>
          <w:sz w:val="22"/>
        </w:rPr>
        <w:t>Fig.S1</w:t>
      </w:r>
      <w:r w:rsidR="00BE0C4D" w:rsidRPr="006C5EFA">
        <w:rPr>
          <w:rFonts w:ascii="Times New Roman" w:hAnsi="Times New Roman" w:cs="Times New Roman"/>
        </w:rPr>
        <w:t xml:space="preserve"> </w:t>
      </w:r>
      <w:r w:rsidR="00BE0C4D" w:rsidRPr="006C5EFA">
        <w:rPr>
          <w:rFonts w:ascii="Times New Roman" w:eastAsia="微软雅黑" w:hAnsi="Times New Roman" w:cs="Times New Roman"/>
          <w:kern w:val="0"/>
          <w:sz w:val="22"/>
        </w:rPr>
        <w:t xml:space="preserve">The dry weight, chlorophyll content, number of lateral roots and root to shoot ratio in two </w:t>
      </w:r>
      <w:proofErr w:type="spellStart"/>
      <w:r w:rsidR="00BE0C4D" w:rsidRPr="006C5EFA">
        <w:rPr>
          <w:rFonts w:ascii="Times New Roman" w:eastAsia="微软雅黑" w:hAnsi="Times New Roman" w:cs="Times New Roman"/>
          <w:kern w:val="0"/>
          <w:sz w:val="22"/>
        </w:rPr>
        <w:t>Fraxinus</w:t>
      </w:r>
      <w:proofErr w:type="spellEnd"/>
      <w:r w:rsidR="00BE0C4D" w:rsidRPr="006C5EFA">
        <w:rPr>
          <w:rFonts w:ascii="Times New Roman" w:eastAsia="微软雅黑" w:hAnsi="Times New Roman" w:cs="Times New Roman"/>
          <w:kern w:val="0"/>
          <w:sz w:val="22"/>
        </w:rPr>
        <w:t xml:space="preserve"> </w:t>
      </w:r>
      <w:proofErr w:type="spellStart"/>
      <w:r w:rsidR="00BE0C4D" w:rsidRPr="006C5EFA">
        <w:rPr>
          <w:rFonts w:ascii="Times New Roman" w:eastAsia="微软雅黑" w:hAnsi="Times New Roman" w:cs="Times New Roman"/>
          <w:kern w:val="0"/>
          <w:sz w:val="22"/>
        </w:rPr>
        <w:t>mandshurica</w:t>
      </w:r>
      <w:proofErr w:type="spellEnd"/>
      <w:r w:rsidR="00BE0C4D" w:rsidRPr="006C5EFA">
        <w:rPr>
          <w:rFonts w:ascii="Times New Roman" w:eastAsia="微软雅黑" w:hAnsi="Times New Roman" w:cs="Times New Roman"/>
          <w:kern w:val="0"/>
          <w:sz w:val="22"/>
        </w:rPr>
        <w:t xml:space="preserve"> provenances, WC and HL, under complete nitrogen and nitrogen deficiency</w:t>
      </w:r>
      <w:r w:rsidR="00426DD9" w:rsidRPr="006C5EFA">
        <w:rPr>
          <w:rFonts w:ascii="Times New Roman" w:eastAsia="微软雅黑" w:hAnsi="Times New Roman" w:cs="Times New Roman"/>
          <w:kern w:val="0"/>
          <w:sz w:val="22"/>
        </w:rPr>
        <w:t>.</w:t>
      </w:r>
      <w:r w:rsidR="00426DD9" w:rsidRPr="006C5EFA">
        <w:rPr>
          <w:rFonts w:ascii="Times New Roman" w:hAnsi="Times New Roman" w:cs="Times New Roman"/>
        </w:rPr>
        <w:t xml:space="preserve"> </w:t>
      </w:r>
      <w:r w:rsidR="00426DD9" w:rsidRPr="006C5EFA">
        <w:rPr>
          <w:rFonts w:ascii="Times New Roman" w:eastAsia="微软雅黑" w:hAnsi="Times New Roman" w:cs="Times New Roman"/>
          <w:kern w:val="0"/>
          <w:sz w:val="22"/>
        </w:rPr>
        <w:t>Each data point represents the average of three replicates, and nine seedlings were used for each treatment. Error bars represent mean ± SE. Different lowercase letters indicate significant differences at P&lt;0.05.</w:t>
      </w:r>
    </w:p>
    <w:p w:rsidR="00946AD1" w:rsidRDefault="00946AD1"/>
    <w:p w:rsidR="00946AD1" w:rsidRDefault="00946AD1"/>
    <w:p w:rsidR="00946AD1" w:rsidRDefault="00946AD1"/>
    <w:p w:rsidR="00946AD1" w:rsidRDefault="00946AD1"/>
    <w:p w:rsidR="00946AD1" w:rsidRDefault="00946AD1"/>
    <w:p w:rsidR="00B90441" w:rsidRDefault="00B90441"/>
    <w:p w:rsidR="00B90441" w:rsidRDefault="00B90441"/>
    <w:p w:rsidR="00B90441" w:rsidRDefault="00B90441"/>
    <w:p w:rsidR="00B90441" w:rsidRDefault="00B90441"/>
    <w:p w:rsidR="00B90441" w:rsidRDefault="00B9044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>
      <w:r w:rsidRPr="00DB7851">
        <w:rPr>
          <w:rFonts w:ascii="Tahoma" w:eastAsia="微软雅黑" w:hAnsi="Tahoma" w:cs="Times New Roman"/>
          <w:noProof/>
          <w:kern w:val="0"/>
          <w:sz w:val="22"/>
        </w:rPr>
        <w:lastRenderedPageBreak/>
        <w:drawing>
          <wp:inline distT="0" distB="0" distL="0" distR="0" wp14:anchorId="6CF2C033" wp14:editId="37C465EE">
            <wp:extent cx="5274310" cy="3716020"/>
            <wp:effectExtent l="0" t="0" r="0" b="0"/>
            <wp:docPr id="2" name="图片 2" descr="F:\yule\氮缺乏转录组\20201022之后\转录组数据作图\可溶性糖氨基酸含量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yule\氮缺乏转录组\20201022之后\转录组数据作图\可溶性糖氨基酸含量.em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1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0F0F" w:rsidRPr="006C5EFA" w:rsidRDefault="008860DC" w:rsidP="00AE0F0F">
      <w:pPr>
        <w:rPr>
          <w:rFonts w:ascii="Times New Roman" w:hAnsi="Times New Roman" w:cs="Times New Roman"/>
          <w:sz w:val="22"/>
        </w:rPr>
      </w:pPr>
      <w:r w:rsidRPr="006C5EFA">
        <w:rPr>
          <w:rFonts w:ascii="Times New Roman" w:eastAsia="微软雅黑" w:hAnsi="Times New Roman" w:cs="Times New Roman"/>
          <w:kern w:val="0"/>
          <w:sz w:val="22"/>
        </w:rPr>
        <w:t>Fig.S2</w:t>
      </w:r>
      <w:r w:rsidR="00AE0F0F" w:rsidRPr="006C5EFA">
        <w:rPr>
          <w:rFonts w:ascii="Times New Roman" w:hAnsi="Times New Roman" w:cs="Times New Roman"/>
          <w:sz w:val="22"/>
        </w:rPr>
        <w:t xml:space="preserve"> The soluble sugar and free amino acids content in foliar and roots of two </w:t>
      </w:r>
      <w:proofErr w:type="spellStart"/>
      <w:r w:rsidR="00AE0F0F" w:rsidRPr="006C5EFA">
        <w:rPr>
          <w:rFonts w:ascii="Times New Roman" w:hAnsi="Times New Roman" w:cs="Times New Roman"/>
          <w:sz w:val="22"/>
        </w:rPr>
        <w:t>Fraxinus</w:t>
      </w:r>
      <w:proofErr w:type="spellEnd"/>
      <w:r w:rsidR="00AE0F0F" w:rsidRPr="006C5EFA">
        <w:rPr>
          <w:rFonts w:ascii="Times New Roman" w:hAnsi="Times New Roman" w:cs="Times New Roman"/>
          <w:sz w:val="22"/>
        </w:rPr>
        <w:t xml:space="preserve"> </w:t>
      </w:r>
      <w:proofErr w:type="spellStart"/>
      <w:r w:rsidR="00AE0F0F" w:rsidRPr="006C5EFA">
        <w:rPr>
          <w:rFonts w:ascii="Times New Roman" w:hAnsi="Times New Roman" w:cs="Times New Roman"/>
          <w:sz w:val="22"/>
        </w:rPr>
        <w:t>mandshurica</w:t>
      </w:r>
      <w:proofErr w:type="spellEnd"/>
      <w:r w:rsidR="00AE0F0F" w:rsidRPr="006C5EFA">
        <w:rPr>
          <w:rFonts w:ascii="Times New Roman" w:hAnsi="Times New Roman" w:cs="Times New Roman"/>
          <w:sz w:val="22"/>
        </w:rPr>
        <w:t xml:space="preserve"> provenances, WC and HL, under complete nitrogen and nitrogen deficiency</w:t>
      </w:r>
      <w:r w:rsidR="00426DD9" w:rsidRPr="006C5EFA">
        <w:rPr>
          <w:rFonts w:ascii="Times New Roman" w:hAnsi="Times New Roman" w:cs="Times New Roman"/>
          <w:sz w:val="22"/>
        </w:rPr>
        <w:t>. Each data point represents the average of three replicates, and nine seedlings were used for each treatment. Error bars represent mean ± SE. Different lowercase letters indicate significant differences at P&lt;0.05.</w:t>
      </w:r>
    </w:p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>
      <w:r w:rsidRPr="00DB7851">
        <w:rPr>
          <w:rFonts w:ascii="Tahoma" w:eastAsia="微软雅黑" w:hAnsi="Tahoma" w:cs="Times New Roman"/>
          <w:noProof/>
          <w:kern w:val="0"/>
          <w:sz w:val="22"/>
        </w:rPr>
        <w:lastRenderedPageBreak/>
        <w:drawing>
          <wp:inline distT="0" distB="0" distL="0" distR="0" wp14:anchorId="2C5FC45A" wp14:editId="70FC8AC2">
            <wp:extent cx="5274310" cy="5513705"/>
            <wp:effectExtent l="0" t="0" r="2540" b="0"/>
            <wp:docPr id="7" name="图片 7" descr="F:\yule\氮缺乏转录组\20201022之后\转录组数据作图\氮代谢酶活性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yule\氮缺乏转录组\20201022之后\转录组数据作图\氮代谢酶活性.em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513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7851" w:rsidRPr="006C5EFA" w:rsidRDefault="008860DC" w:rsidP="008C4D61">
      <w:pPr>
        <w:widowControl/>
        <w:adjustRightInd w:val="0"/>
        <w:snapToGrid w:val="0"/>
        <w:spacing w:after="200" w:line="220" w:lineRule="atLeast"/>
        <w:rPr>
          <w:rFonts w:ascii="Times New Roman" w:eastAsia="微软雅黑" w:hAnsi="Times New Roman" w:cs="Times New Roman"/>
          <w:kern w:val="0"/>
          <w:sz w:val="22"/>
        </w:rPr>
      </w:pPr>
      <w:r w:rsidRPr="006C5EFA">
        <w:rPr>
          <w:rFonts w:ascii="Times New Roman" w:eastAsia="微软雅黑" w:hAnsi="Times New Roman" w:cs="Times New Roman"/>
          <w:kern w:val="0"/>
          <w:sz w:val="22"/>
        </w:rPr>
        <w:t>Fig.S3</w:t>
      </w:r>
      <w:r w:rsidR="004C56EC" w:rsidRPr="006C5EFA">
        <w:rPr>
          <w:rFonts w:ascii="Times New Roman" w:eastAsia="微软雅黑" w:hAnsi="Times New Roman" w:cs="Times New Roman"/>
          <w:kern w:val="0"/>
          <w:sz w:val="22"/>
        </w:rPr>
        <w:t xml:space="preserve"> The nitrogen assimilation enzyme activities (NR</w:t>
      </w:r>
      <w:proofErr w:type="gramStart"/>
      <w:r w:rsidR="004C56EC" w:rsidRPr="006C5EFA">
        <w:rPr>
          <w:rFonts w:ascii="Times New Roman" w:eastAsia="微软雅黑" w:hAnsi="Times New Roman" w:cs="Times New Roman"/>
          <w:kern w:val="0"/>
          <w:sz w:val="22"/>
        </w:rPr>
        <w:t>,GS</w:t>
      </w:r>
      <w:proofErr w:type="gramEnd"/>
      <w:r w:rsidR="004C56EC" w:rsidRPr="006C5EFA">
        <w:rPr>
          <w:rFonts w:ascii="Times New Roman" w:eastAsia="微软雅黑" w:hAnsi="Times New Roman" w:cs="Times New Roman"/>
          <w:kern w:val="0"/>
          <w:sz w:val="22"/>
        </w:rPr>
        <w:t xml:space="preserve"> and GOGAT) in foliar and roots of two </w:t>
      </w:r>
      <w:proofErr w:type="spellStart"/>
      <w:r w:rsidR="004C56EC" w:rsidRPr="006C5EFA">
        <w:rPr>
          <w:rFonts w:ascii="Times New Roman" w:eastAsia="微软雅黑" w:hAnsi="Times New Roman" w:cs="Times New Roman"/>
          <w:kern w:val="0"/>
          <w:sz w:val="22"/>
        </w:rPr>
        <w:t>Fraxinus</w:t>
      </w:r>
      <w:proofErr w:type="spellEnd"/>
      <w:r w:rsidR="004C56EC" w:rsidRPr="006C5EFA">
        <w:rPr>
          <w:rFonts w:ascii="Times New Roman" w:eastAsia="微软雅黑" w:hAnsi="Times New Roman" w:cs="Times New Roman"/>
          <w:kern w:val="0"/>
          <w:sz w:val="22"/>
        </w:rPr>
        <w:t xml:space="preserve"> </w:t>
      </w:r>
      <w:proofErr w:type="spellStart"/>
      <w:r w:rsidR="004C56EC" w:rsidRPr="006C5EFA">
        <w:rPr>
          <w:rFonts w:ascii="Times New Roman" w:eastAsia="微软雅黑" w:hAnsi="Times New Roman" w:cs="Times New Roman"/>
          <w:kern w:val="0"/>
          <w:sz w:val="22"/>
        </w:rPr>
        <w:t>mandshurica</w:t>
      </w:r>
      <w:proofErr w:type="spellEnd"/>
      <w:r w:rsidR="004C56EC" w:rsidRPr="006C5EFA">
        <w:rPr>
          <w:rFonts w:ascii="Times New Roman" w:eastAsia="微软雅黑" w:hAnsi="Times New Roman" w:cs="Times New Roman"/>
          <w:kern w:val="0"/>
          <w:sz w:val="22"/>
        </w:rPr>
        <w:t xml:space="preserve"> provenances, WC and HL, under complete nitrogen and nitrogen deficiency</w:t>
      </w:r>
      <w:r w:rsidR="00426DD9" w:rsidRPr="006C5EFA">
        <w:rPr>
          <w:rFonts w:ascii="Times New Roman" w:eastAsia="微软雅黑" w:hAnsi="Times New Roman" w:cs="Times New Roman"/>
          <w:kern w:val="0"/>
          <w:sz w:val="22"/>
        </w:rPr>
        <w:t>.</w:t>
      </w:r>
      <w:r w:rsidR="00426DD9" w:rsidRPr="006C5EFA">
        <w:rPr>
          <w:rFonts w:ascii="Times New Roman" w:hAnsi="Times New Roman" w:cs="Times New Roman"/>
        </w:rPr>
        <w:t xml:space="preserve"> </w:t>
      </w:r>
      <w:r w:rsidR="00426DD9" w:rsidRPr="006C5EFA">
        <w:rPr>
          <w:rFonts w:ascii="Times New Roman" w:eastAsia="微软雅黑" w:hAnsi="Times New Roman" w:cs="Times New Roman"/>
          <w:kern w:val="0"/>
          <w:sz w:val="22"/>
        </w:rPr>
        <w:t>Each data point represents the average of three replicates, and nine seedlings were used for each treatment. Error bars represent mean ± SE. Different lowercase letters indicate significant differences at P&lt;0.05.</w:t>
      </w:r>
    </w:p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>
      <w:r w:rsidRPr="00110943">
        <w:rPr>
          <w:noProof/>
          <w:sz w:val="12"/>
          <w:szCs w:val="12"/>
        </w:rPr>
        <w:lastRenderedPageBreak/>
        <w:drawing>
          <wp:inline distT="0" distB="0" distL="0" distR="0" wp14:anchorId="596450F4" wp14:editId="78827E13">
            <wp:extent cx="5274310" cy="3401060"/>
            <wp:effectExtent l="0" t="0" r="0" b="0"/>
            <wp:docPr id="20" name="图表 2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DB7851" w:rsidRPr="006C5EFA" w:rsidRDefault="008860DC" w:rsidP="008C4D61">
      <w:pPr>
        <w:rPr>
          <w:rFonts w:ascii="Times New Roman" w:hAnsi="Times New Roman" w:cs="Times New Roman"/>
          <w:sz w:val="22"/>
        </w:rPr>
      </w:pPr>
      <w:r w:rsidRPr="006C5EFA">
        <w:rPr>
          <w:rFonts w:ascii="Times New Roman" w:eastAsia="微软雅黑" w:hAnsi="Times New Roman" w:cs="Times New Roman"/>
          <w:kern w:val="0"/>
          <w:sz w:val="22"/>
        </w:rPr>
        <w:t>Fig.S4</w:t>
      </w:r>
      <w:r w:rsidR="00DB7851" w:rsidRPr="006C5EFA">
        <w:rPr>
          <w:rFonts w:ascii="Times New Roman" w:hAnsi="Times New Roman" w:cs="Times New Roman"/>
          <w:sz w:val="22"/>
        </w:rPr>
        <w:t xml:space="preserve"> Length distribution of </w:t>
      </w:r>
      <w:proofErr w:type="spellStart"/>
      <w:r w:rsidR="00DB7851" w:rsidRPr="006C5EFA">
        <w:rPr>
          <w:rFonts w:ascii="Times New Roman" w:hAnsi="Times New Roman" w:cs="Times New Roman"/>
          <w:sz w:val="22"/>
        </w:rPr>
        <w:t>Fraxinus</w:t>
      </w:r>
      <w:proofErr w:type="spellEnd"/>
      <w:r w:rsidR="00DB7851" w:rsidRPr="006C5EFA">
        <w:rPr>
          <w:rFonts w:ascii="Times New Roman" w:hAnsi="Times New Roman" w:cs="Times New Roman"/>
          <w:sz w:val="22"/>
        </w:rPr>
        <w:t xml:space="preserve"> </w:t>
      </w:r>
      <w:proofErr w:type="spellStart"/>
      <w:r w:rsidR="00DB7851" w:rsidRPr="006C5EFA">
        <w:rPr>
          <w:rFonts w:ascii="Times New Roman" w:hAnsi="Times New Roman" w:cs="Times New Roman"/>
          <w:sz w:val="22"/>
        </w:rPr>
        <w:t>mandschurica</w:t>
      </w:r>
      <w:proofErr w:type="spellEnd"/>
      <w:r w:rsidR="00DB7851" w:rsidRPr="006C5EFA">
        <w:rPr>
          <w:rFonts w:ascii="Times New Roman" w:hAnsi="Times New Roman" w:cs="Times New Roman"/>
          <w:sz w:val="22"/>
        </w:rPr>
        <w:t xml:space="preserve"> </w:t>
      </w:r>
      <w:proofErr w:type="spellStart"/>
      <w:r w:rsidR="00DB7851" w:rsidRPr="006C5EFA">
        <w:rPr>
          <w:rFonts w:ascii="Times New Roman" w:hAnsi="Times New Roman" w:cs="Times New Roman"/>
          <w:sz w:val="22"/>
        </w:rPr>
        <w:t>unigenes</w:t>
      </w:r>
      <w:proofErr w:type="spellEnd"/>
    </w:p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DB7851" w:rsidRDefault="00DB7851"/>
    <w:p w:rsidR="007D06BD" w:rsidRDefault="007D06BD"/>
    <w:p w:rsidR="007D06BD" w:rsidRDefault="007D06BD"/>
    <w:p w:rsidR="007D06BD" w:rsidRDefault="007D06BD"/>
    <w:p w:rsidR="007D06BD" w:rsidRDefault="007D06BD"/>
    <w:p w:rsidR="00DB7851" w:rsidRDefault="00C660F5">
      <w:r w:rsidRPr="00C660F5">
        <w:rPr>
          <w:noProof/>
        </w:rPr>
        <w:lastRenderedPageBreak/>
        <w:drawing>
          <wp:inline distT="0" distB="0" distL="0" distR="0">
            <wp:extent cx="5274310" cy="3690115"/>
            <wp:effectExtent l="0" t="0" r="2540" b="5715"/>
            <wp:docPr id="3" name="图片 3" descr="F:\yule\氮缺乏转录组\transcriptome\sequencingGDR2986-Fraxinus_mandschurica-24-Denovo_result\GDR2986-Fraxinus_mandschurica-24-Denovo_result\4_basic_annotation\COG_KOG\Fraxinus_mandschurica-Unigene.fa.ko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yule\氮缺乏转录组\transcriptome\sequencingGDR2986-Fraxinus_mandschurica-24-Denovo_result\GDR2986-Fraxinus_mandschurica-24-Denovo_result\4_basic_annotation\COG_KOG\Fraxinus_mandschurica-Unigene.fa.kog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90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7851" w:rsidRPr="006C5EFA" w:rsidRDefault="008860DC">
      <w:pPr>
        <w:rPr>
          <w:rFonts w:ascii="Times New Roman" w:hAnsi="Times New Roman" w:cs="Times New Roman"/>
          <w:sz w:val="22"/>
        </w:rPr>
      </w:pPr>
      <w:r w:rsidRPr="006C5EFA">
        <w:rPr>
          <w:rFonts w:ascii="Times New Roman" w:hAnsi="Times New Roman" w:cs="Times New Roman"/>
          <w:sz w:val="22"/>
        </w:rPr>
        <w:t>Fig.S5</w:t>
      </w:r>
      <w:r w:rsidR="00925043" w:rsidRPr="006C5EFA">
        <w:rPr>
          <w:rFonts w:ascii="Times New Roman" w:hAnsi="Times New Roman" w:cs="Times New Roman"/>
          <w:sz w:val="22"/>
        </w:rPr>
        <w:t xml:space="preserve"> Histogram of clusters orthologous groups (KOG) classification, a total of 35879 </w:t>
      </w:r>
      <w:proofErr w:type="spellStart"/>
      <w:r w:rsidR="00925043" w:rsidRPr="006C5EFA">
        <w:rPr>
          <w:rFonts w:ascii="Times New Roman" w:hAnsi="Times New Roman" w:cs="Times New Roman"/>
          <w:sz w:val="22"/>
        </w:rPr>
        <w:t>unigenes</w:t>
      </w:r>
      <w:proofErr w:type="spellEnd"/>
      <w:r w:rsidR="00925043" w:rsidRPr="006C5EFA">
        <w:rPr>
          <w:rFonts w:ascii="Times New Roman" w:hAnsi="Times New Roman" w:cs="Times New Roman"/>
          <w:sz w:val="22"/>
        </w:rPr>
        <w:t xml:space="preserve"> with lengths more than 300 </w:t>
      </w:r>
      <w:proofErr w:type="spellStart"/>
      <w:r w:rsidR="00925043" w:rsidRPr="006C5EFA">
        <w:rPr>
          <w:rFonts w:ascii="Times New Roman" w:hAnsi="Times New Roman" w:cs="Times New Roman"/>
          <w:sz w:val="22"/>
        </w:rPr>
        <w:t>bp</w:t>
      </w:r>
      <w:proofErr w:type="spellEnd"/>
      <w:r w:rsidR="00925043" w:rsidRPr="006C5EFA">
        <w:rPr>
          <w:rFonts w:ascii="Times New Roman" w:hAnsi="Times New Roman" w:cs="Times New Roman"/>
          <w:sz w:val="22"/>
        </w:rPr>
        <w:t xml:space="preserve"> were divided into 25 KOG categories</w:t>
      </w:r>
      <w:r w:rsidR="00426DD9" w:rsidRPr="006C5EFA">
        <w:rPr>
          <w:rFonts w:ascii="Times New Roman" w:hAnsi="Times New Roman" w:cs="Times New Roman"/>
          <w:sz w:val="22"/>
        </w:rPr>
        <w:t>.</w:t>
      </w:r>
    </w:p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DB7851" w:rsidRDefault="00C660F5">
      <w:r w:rsidRPr="00C660F5">
        <w:rPr>
          <w:noProof/>
        </w:rPr>
        <w:lastRenderedPageBreak/>
        <w:drawing>
          <wp:inline distT="0" distB="0" distL="0" distR="0">
            <wp:extent cx="5274310" cy="2511002"/>
            <wp:effectExtent l="0" t="0" r="2540" b="3810"/>
            <wp:docPr id="4" name="图片 4" descr="F:\yule\氮缺乏转录组\transcriptome\sequencingGDR2986-Fraxinus_mandschurica-24-Denovo_result\GDR2986-Fraxinus_mandschurica-24-Denovo_result\4_basic_annotation\GO\Fraxinus_mandschurica-Unigene.fa.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yule\氮缺乏转录组\transcriptome\sequencingGDR2986-Fraxinus_mandschurica-24-Denovo_result\GDR2986-Fraxinus_mandschurica-24-Denovo_result\4_basic_annotation\GO\Fraxinus_mandschurica-Unigene.fa.GO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11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7851" w:rsidRPr="006C5EFA" w:rsidRDefault="008860DC">
      <w:pPr>
        <w:rPr>
          <w:rFonts w:ascii="Times New Roman" w:hAnsi="Times New Roman" w:cs="Times New Roman"/>
          <w:sz w:val="22"/>
        </w:rPr>
      </w:pPr>
      <w:r w:rsidRPr="006C5EFA">
        <w:rPr>
          <w:rFonts w:ascii="Times New Roman" w:hAnsi="Times New Roman" w:cs="Times New Roman"/>
          <w:sz w:val="22"/>
        </w:rPr>
        <w:t>Fig.S6</w:t>
      </w:r>
      <w:r w:rsidR="00925043" w:rsidRPr="006C5EFA">
        <w:rPr>
          <w:rFonts w:ascii="Times New Roman" w:hAnsi="Times New Roman" w:cs="Times New Roman"/>
          <w:sz w:val="22"/>
        </w:rPr>
        <w:t xml:space="preserve"> Functional annotation of assembled sequences based on gene ontology (GO) categorization, 16,028 </w:t>
      </w:r>
      <w:proofErr w:type="spellStart"/>
      <w:r w:rsidR="00925043" w:rsidRPr="006C5EFA">
        <w:rPr>
          <w:rFonts w:ascii="Times New Roman" w:hAnsi="Times New Roman" w:cs="Times New Roman"/>
          <w:sz w:val="22"/>
        </w:rPr>
        <w:t>unigenes</w:t>
      </w:r>
      <w:proofErr w:type="spellEnd"/>
      <w:r w:rsidR="00925043" w:rsidRPr="006C5EFA">
        <w:rPr>
          <w:rFonts w:ascii="Times New Roman" w:hAnsi="Times New Roman" w:cs="Times New Roman"/>
          <w:sz w:val="22"/>
        </w:rPr>
        <w:t xml:space="preserve"> were grouped into the three main GO domains: “cellular component”, “molecular function”, and “biological process”</w:t>
      </w:r>
      <w:r w:rsidR="00426DD9" w:rsidRPr="006C5EFA">
        <w:rPr>
          <w:rFonts w:ascii="Times New Roman" w:hAnsi="Times New Roman" w:cs="Times New Roman"/>
          <w:sz w:val="22"/>
        </w:rPr>
        <w:t>.</w:t>
      </w:r>
    </w:p>
    <w:p w:rsidR="00DB7851" w:rsidRDefault="00DB7851"/>
    <w:p w:rsidR="00DB7851" w:rsidRDefault="00DB7851"/>
    <w:p w:rsidR="00DC22AE" w:rsidRDefault="00DC22AE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7D06BD" w:rsidRDefault="007D06BD"/>
    <w:p w:rsidR="00DC22AE" w:rsidRDefault="00B47059">
      <w:r w:rsidRPr="00B47059">
        <w:rPr>
          <w:noProof/>
        </w:rPr>
        <w:lastRenderedPageBreak/>
        <w:drawing>
          <wp:inline distT="0" distB="0" distL="0" distR="0">
            <wp:extent cx="5224145" cy="5526405"/>
            <wp:effectExtent l="0" t="0" r="0" b="0"/>
            <wp:docPr id="5" name="图片 5" descr="F:\yule\氮缺乏转录组\转录组文章写作\第四次组织\碳性状\图表\Fig.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yule\氮缺乏转录组\转录组文章写作\第四次组织\碳性状\图表\Fig.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4145" cy="552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3D01" w:rsidRPr="006C5EFA" w:rsidRDefault="008860DC" w:rsidP="008C4D61">
      <w:pPr>
        <w:rPr>
          <w:rFonts w:ascii="Times New Roman" w:hAnsi="Times New Roman" w:cs="Times New Roman"/>
          <w:sz w:val="22"/>
        </w:rPr>
      </w:pPr>
      <w:r w:rsidRPr="006C5EFA">
        <w:rPr>
          <w:rFonts w:ascii="Times New Roman" w:hAnsi="Times New Roman" w:cs="Times New Roman"/>
          <w:sz w:val="22"/>
        </w:rPr>
        <w:t>Fig.S7</w:t>
      </w:r>
      <w:r w:rsidR="00483D01" w:rsidRPr="006C5EFA">
        <w:rPr>
          <w:rFonts w:ascii="Times New Roman" w:hAnsi="Times New Roman" w:cs="Times New Roman"/>
          <w:sz w:val="22"/>
        </w:rPr>
        <w:t xml:space="preserve"> </w:t>
      </w:r>
      <w:proofErr w:type="gramStart"/>
      <w:r w:rsidR="00483D01" w:rsidRPr="006C5EFA">
        <w:rPr>
          <w:rFonts w:ascii="Times New Roman" w:hAnsi="Times New Roman" w:cs="Times New Roman"/>
          <w:sz w:val="22"/>
        </w:rPr>
        <w:t>The</w:t>
      </w:r>
      <w:proofErr w:type="gramEnd"/>
      <w:r w:rsidR="00483D01" w:rsidRPr="006C5EFA">
        <w:rPr>
          <w:rFonts w:ascii="Times New Roman" w:hAnsi="Times New Roman" w:cs="Times New Roman"/>
          <w:sz w:val="22"/>
        </w:rPr>
        <w:t xml:space="preserve"> relative expression levels of (a) nine DEGs identified in the comparison CP1 and (b)</w:t>
      </w:r>
      <w:r w:rsidR="000861CA" w:rsidRPr="006C5EFA">
        <w:rPr>
          <w:rFonts w:ascii="Times New Roman" w:hAnsi="Times New Roman" w:cs="Times New Roman"/>
          <w:sz w:val="22"/>
        </w:rPr>
        <w:t xml:space="preserve"> </w:t>
      </w:r>
      <w:r w:rsidR="00483D01" w:rsidRPr="006C5EFA">
        <w:rPr>
          <w:rFonts w:ascii="Times New Roman" w:hAnsi="Times New Roman" w:cs="Times New Roman"/>
          <w:sz w:val="22"/>
        </w:rPr>
        <w:t>six DEGs identified in the comparison CP4 and CP5 between RNA-</w:t>
      </w:r>
      <w:proofErr w:type="spellStart"/>
      <w:r w:rsidR="00483D01" w:rsidRPr="006C5EFA">
        <w:rPr>
          <w:rFonts w:ascii="Times New Roman" w:hAnsi="Times New Roman" w:cs="Times New Roman"/>
          <w:sz w:val="22"/>
        </w:rPr>
        <w:t>Seq</w:t>
      </w:r>
      <w:proofErr w:type="spellEnd"/>
      <w:r w:rsidR="00483D01" w:rsidRPr="006C5EFA">
        <w:rPr>
          <w:rFonts w:ascii="Times New Roman" w:hAnsi="Times New Roman" w:cs="Times New Roman"/>
          <w:sz w:val="22"/>
        </w:rPr>
        <w:t xml:space="preserve"> and </w:t>
      </w:r>
      <w:proofErr w:type="spellStart"/>
      <w:r w:rsidR="00483D01" w:rsidRPr="006C5EFA">
        <w:rPr>
          <w:rFonts w:ascii="Times New Roman" w:hAnsi="Times New Roman" w:cs="Times New Roman"/>
          <w:sz w:val="22"/>
        </w:rPr>
        <w:t>qRT</w:t>
      </w:r>
      <w:proofErr w:type="spellEnd"/>
      <w:r w:rsidR="00483D01" w:rsidRPr="006C5EFA">
        <w:rPr>
          <w:rFonts w:ascii="Times New Roman" w:hAnsi="Times New Roman" w:cs="Times New Roman"/>
          <w:sz w:val="22"/>
        </w:rPr>
        <w:t>-PCR. The genes relative expression levels were determined by 2</w:t>
      </w:r>
      <w:r w:rsidR="00483D01" w:rsidRPr="006C5EFA">
        <w:rPr>
          <w:rFonts w:ascii="Times New Roman" w:hAnsi="Times New Roman" w:cs="Times New Roman"/>
          <w:sz w:val="22"/>
          <w:vertAlign w:val="superscript"/>
        </w:rPr>
        <w:t>-ΔΔCT</w:t>
      </w:r>
      <w:r w:rsidR="00483D01" w:rsidRPr="006C5EFA">
        <w:rPr>
          <w:rFonts w:ascii="Times New Roman" w:hAnsi="Times New Roman" w:cs="Times New Roman"/>
          <w:sz w:val="22"/>
        </w:rPr>
        <w:t xml:space="preserve"> as expressed, and were normalized to the expression level of TU.</w:t>
      </w:r>
    </w:p>
    <w:p w:rsidR="00DB7851" w:rsidRPr="00483D01" w:rsidRDefault="00DB7851"/>
    <w:p w:rsidR="00DB7851" w:rsidRDefault="00DB7851"/>
    <w:p w:rsidR="00DB7851" w:rsidRDefault="00DB7851"/>
    <w:p w:rsidR="00B47059" w:rsidRDefault="00B47059"/>
    <w:p w:rsidR="00276A3F" w:rsidRDefault="00276A3F"/>
    <w:p w:rsidR="00276A3F" w:rsidRDefault="00276A3F"/>
    <w:p w:rsidR="00276A3F" w:rsidRDefault="00276A3F"/>
    <w:p w:rsidR="00276A3F" w:rsidRDefault="00276A3F"/>
    <w:p w:rsidR="00276A3F" w:rsidRDefault="00276A3F"/>
    <w:p w:rsidR="00276A3F" w:rsidRDefault="00276A3F"/>
    <w:p w:rsidR="00276A3F" w:rsidRDefault="00276A3F"/>
    <w:p w:rsidR="00276A3F" w:rsidRDefault="00276A3F"/>
    <w:p w:rsidR="00B47059" w:rsidRDefault="00B47059">
      <w:r w:rsidRPr="00B47059">
        <w:rPr>
          <w:noProof/>
        </w:rPr>
        <w:lastRenderedPageBreak/>
        <w:drawing>
          <wp:inline distT="0" distB="0" distL="0" distR="0">
            <wp:extent cx="5274310" cy="3557021"/>
            <wp:effectExtent l="0" t="0" r="2540" b="5715"/>
            <wp:docPr id="6" name="图片 6" descr="F:\yule\氮缺乏转录组\转录组文章写作\第四次组织\碳性状\图表\Fig.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yule\氮缺乏转录组\转录组文章写作\第四次组织\碳性状\图表\Fig.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57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7059" w:rsidRPr="006C5EFA" w:rsidRDefault="00B47059">
      <w:pPr>
        <w:rPr>
          <w:rFonts w:ascii="Times New Roman" w:hAnsi="Times New Roman" w:cs="Times New Roman"/>
          <w:sz w:val="22"/>
        </w:rPr>
      </w:pPr>
      <w:r w:rsidRPr="006C5EFA">
        <w:rPr>
          <w:rFonts w:ascii="Times New Roman" w:hAnsi="Times New Roman" w:cs="Times New Roman"/>
          <w:sz w:val="22"/>
        </w:rPr>
        <w:t>Fig.</w:t>
      </w:r>
      <w:r w:rsidR="008860DC" w:rsidRPr="006C5EFA">
        <w:rPr>
          <w:rFonts w:ascii="Times New Roman" w:hAnsi="Times New Roman" w:cs="Times New Roman"/>
          <w:sz w:val="22"/>
        </w:rPr>
        <w:t>S</w:t>
      </w:r>
      <w:r w:rsidRPr="006C5EFA">
        <w:rPr>
          <w:rFonts w:ascii="Times New Roman" w:hAnsi="Times New Roman" w:cs="Times New Roman"/>
          <w:sz w:val="22"/>
        </w:rPr>
        <w:t>8</w:t>
      </w:r>
      <w:r w:rsidR="00925043" w:rsidRPr="006C5EFA">
        <w:rPr>
          <w:rFonts w:ascii="Times New Roman" w:hAnsi="Times New Roman" w:cs="Times New Roman"/>
          <w:sz w:val="22"/>
        </w:rPr>
        <w:t xml:space="preserve"> </w:t>
      </w:r>
      <w:proofErr w:type="gramStart"/>
      <w:r w:rsidR="00925043" w:rsidRPr="006C5EFA">
        <w:rPr>
          <w:rFonts w:ascii="Times New Roman" w:hAnsi="Times New Roman" w:cs="Times New Roman"/>
          <w:sz w:val="22"/>
        </w:rPr>
        <w:t>A</w:t>
      </w:r>
      <w:proofErr w:type="gramEnd"/>
      <w:r w:rsidR="00925043" w:rsidRPr="006C5EFA">
        <w:rPr>
          <w:rFonts w:ascii="Times New Roman" w:hAnsi="Times New Roman" w:cs="Times New Roman"/>
          <w:sz w:val="22"/>
        </w:rPr>
        <w:t xml:space="preserve"> Venn diagram describing overlaps among differentially expressed genes (DEGs) in HL and WC. </w:t>
      </w:r>
      <w:r w:rsidR="00925043" w:rsidRPr="006C5EFA">
        <w:rPr>
          <w:rFonts w:ascii="Times New Roman" w:hAnsi="Times New Roman" w:cs="Times New Roman"/>
          <w:b/>
          <w:sz w:val="22"/>
        </w:rPr>
        <w:t>a</w:t>
      </w:r>
      <w:r w:rsidR="001510CF" w:rsidRPr="006C5EFA">
        <w:rPr>
          <w:rFonts w:ascii="Times New Roman" w:hAnsi="Times New Roman" w:cs="Times New Roman"/>
          <w:sz w:val="22"/>
        </w:rPr>
        <w:t>. Up</w:t>
      </w:r>
      <w:r w:rsidR="00925043" w:rsidRPr="006C5EFA">
        <w:rPr>
          <w:rFonts w:ascii="Times New Roman" w:hAnsi="Times New Roman" w:cs="Times New Roman"/>
          <w:sz w:val="22"/>
        </w:rPr>
        <w:t xml:space="preserve">-regulated gene in folium and root; </w:t>
      </w:r>
      <w:r w:rsidR="00925043" w:rsidRPr="006C5EFA">
        <w:rPr>
          <w:rFonts w:ascii="Times New Roman" w:hAnsi="Times New Roman" w:cs="Times New Roman"/>
          <w:b/>
          <w:sz w:val="22"/>
        </w:rPr>
        <w:t>b</w:t>
      </w:r>
      <w:r w:rsidR="001510CF" w:rsidRPr="006C5EFA">
        <w:rPr>
          <w:rFonts w:ascii="Times New Roman" w:hAnsi="Times New Roman" w:cs="Times New Roman"/>
          <w:sz w:val="22"/>
        </w:rPr>
        <w:t>. Down</w:t>
      </w:r>
      <w:r w:rsidR="00925043" w:rsidRPr="006C5EFA">
        <w:rPr>
          <w:rFonts w:ascii="Times New Roman" w:hAnsi="Times New Roman" w:cs="Times New Roman"/>
          <w:sz w:val="22"/>
        </w:rPr>
        <w:t xml:space="preserve">-regulated gene in folium and root; </w:t>
      </w:r>
      <w:r w:rsidR="00925043" w:rsidRPr="006C5EFA">
        <w:rPr>
          <w:rFonts w:ascii="Times New Roman" w:hAnsi="Times New Roman" w:cs="Times New Roman"/>
          <w:b/>
          <w:sz w:val="22"/>
        </w:rPr>
        <w:t>c</w:t>
      </w:r>
      <w:r w:rsidR="00925043" w:rsidRPr="006C5EFA">
        <w:rPr>
          <w:rFonts w:ascii="Times New Roman" w:hAnsi="Times New Roman" w:cs="Times New Roman"/>
          <w:sz w:val="22"/>
        </w:rPr>
        <w:t xml:space="preserve">. </w:t>
      </w:r>
      <w:r w:rsidR="001510CF" w:rsidRPr="006C5EFA">
        <w:rPr>
          <w:rFonts w:ascii="Times New Roman" w:hAnsi="Times New Roman" w:cs="Times New Roman"/>
          <w:sz w:val="22"/>
        </w:rPr>
        <w:t>Up</w:t>
      </w:r>
      <w:r w:rsidR="00925043" w:rsidRPr="006C5EFA">
        <w:rPr>
          <w:rFonts w:ascii="Times New Roman" w:hAnsi="Times New Roman" w:cs="Times New Roman"/>
          <w:sz w:val="22"/>
        </w:rPr>
        <w:t xml:space="preserve">-regulated gene in folium and root under nitrogen deficiency; </w:t>
      </w:r>
      <w:r w:rsidR="00925043" w:rsidRPr="006C5EFA">
        <w:rPr>
          <w:rFonts w:ascii="Times New Roman" w:hAnsi="Times New Roman" w:cs="Times New Roman"/>
          <w:b/>
          <w:sz w:val="22"/>
        </w:rPr>
        <w:t>d</w:t>
      </w:r>
      <w:r w:rsidR="00925043" w:rsidRPr="006C5EFA">
        <w:rPr>
          <w:rFonts w:ascii="Times New Roman" w:hAnsi="Times New Roman" w:cs="Times New Roman"/>
          <w:sz w:val="22"/>
        </w:rPr>
        <w:t xml:space="preserve">. </w:t>
      </w:r>
      <w:r w:rsidR="001510CF" w:rsidRPr="006C5EFA">
        <w:rPr>
          <w:rFonts w:ascii="Times New Roman" w:hAnsi="Times New Roman" w:cs="Times New Roman"/>
          <w:sz w:val="22"/>
        </w:rPr>
        <w:t>Down</w:t>
      </w:r>
      <w:r w:rsidR="00925043" w:rsidRPr="006C5EFA">
        <w:rPr>
          <w:rFonts w:ascii="Times New Roman" w:hAnsi="Times New Roman" w:cs="Times New Roman"/>
          <w:sz w:val="22"/>
        </w:rPr>
        <w:t>-regulated gene in folium and root under nitrogen deficiency.</w:t>
      </w:r>
    </w:p>
    <w:p w:rsidR="00B47059" w:rsidRDefault="00B47059"/>
    <w:p w:rsidR="00B47059" w:rsidRDefault="00B47059"/>
    <w:p w:rsidR="00B47059" w:rsidRDefault="00B47059"/>
    <w:p w:rsidR="00B47059" w:rsidRDefault="00B47059"/>
    <w:p w:rsidR="00B47059" w:rsidRDefault="00B47059"/>
    <w:p w:rsidR="00721CFA" w:rsidRDefault="00721CFA"/>
    <w:p w:rsidR="00721CFA" w:rsidRDefault="00721CFA"/>
    <w:p w:rsidR="00721CFA" w:rsidRDefault="00721CFA"/>
    <w:p w:rsidR="00721CFA" w:rsidRDefault="00721CFA"/>
    <w:p w:rsidR="00721CFA" w:rsidRDefault="00721CFA"/>
    <w:p w:rsidR="00721CFA" w:rsidRDefault="00721CFA"/>
    <w:p w:rsidR="00721CFA" w:rsidRDefault="00721CFA"/>
    <w:p w:rsidR="00721CFA" w:rsidRDefault="00721CFA"/>
    <w:p w:rsidR="00721CFA" w:rsidRDefault="00721CFA"/>
    <w:p w:rsidR="00721CFA" w:rsidRDefault="00721CFA"/>
    <w:p w:rsidR="00721CFA" w:rsidRDefault="00721CFA"/>
    <w:p w:rsidR="00721CFA" w:rsidRDefault="00721CFA"/>
    <w:p w:rsidR="00721CFA" w:rsidRDefault="00721CFA"/>
    <w:p w:rsidR="00721CFA" w:rsidRDefault="00721CFA"/>
    <w:p w:rsidR="00721CFA" w:rsidRDefault="00721CFA"/>
    <w:p w:rsidR="00721CFA" w:rsidRDefault="00721CFA"/>
    <w:p w:rsidR="00721CFA" w:rsidRDefault="00721CFA"/>
    <w:p w:rsidR="00721CFA" w:rsidRDefault="00721CFA"/>
    <w:p w:rsidR="00721CFA" w:rsidRDefault="00721CFA">
      <w:r>
        <w:rPr>
          <w:noProof/>
        </w:rPr>
        <w:drawing>
          <wp:inline distT="0" distB="0" distL="0" distR="0" wp14:anchorId="43271C14" wp14:editId="4E6CFA50">
            <wp:extent cx="5274310" cy="469519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69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1CFA" w:rsidRPr="006C5EFA" w:rsidRDefault="00721CFA" w:rsidP="00721CFA">
      <w:pPr>
        <w:rPr>
          <w:rFonts w:ascii="Times New Roman" w:hAnsi="Times New Roman" w:cs="Times New Roman"/>
          <w:sz w:val="22"/>
        </w:rPr>
      </w:pPr>
      <w:r w:rsidRPr="006C5EFA">
        <w:rPr>
          <w:rFonts w:ascii="Times New Roman" w:hAnsi="Times New Roman" w:cs="Times New Roman"/>
          <w:sz w:val="22"/>
        </w:rPr>
        <w:t>Fig.S9 Nine significantly enriched KEGG pathways for HL vs. WC in foliar under complete nitrogen</w:t>
      </w:r>
    </w:p>
    <w:p w:rsidR="00721CFA" w:rsidRPr="00721CFA" w:rsidRDefault="00721CFA"/>
    <w:p w:rsidR="00721CFA" w:rsidRDefault="00721CFA"/>
    <w:p w:rsidR="00721CFA" w:rsidRDefault="00721CFA"/>
    <w:p w:rsidR="00721CFA" w:rsidRDefault="00721CFA"/>
    <w:p w:rsidR="00721CFA" w:rsidRDefault="00721CFA"/>
    <w:p w:rsidR="00721CFA" w:rsidRDefault="00721CFA"/>
    <w:p w:rsidR="00721CFA" w:rsidRDefault="00721CFA"/>
    <w:p w:rsidR="00721CFA" w:rsidRDefault="00721CFA"/>
    <w:p w:rsidR="00721CFA" w:rsidRDefault="00721CFA"/>
    <w:p w:rsidR="00721CFA" w:rsidRDefault="00721CFA"/>
    <w:p w:rsidR="00721CFA" w:rsidRDefault="00721CFA"/>
    <w:p w:rsidR="00721CFA" w:rsidRDefault="00721CFA"/>
    <w:p w:rsidR="00721CFA" w:rsidRDefault="00721CFA"/>
    <w:p w:rsidR="00721CFA" w:rsidRDefault="00721CFA"/>
    <w:p w:rsidR="00721CFA" w:rsidRDefault="00721CFA"/>
    <w:p w:rsidR="00721CFA" w:rsidRDefault="00721CFA"/>
    <w:p w:rsidR="00721CFA" w:rsidRDefault="00721CFA"/>
    <w:p w:rsidR="007D06BD" w:rsidRDefault="007D06BD"/>
    <w:p w:rsidR="00B47059" w:rsidRDefault="00B47059">
      <w:r>
        <w:rPr>
          <w:noProof/>
        </w:rPr>
        <w:drawing>
          <wp:inline distT="0" distB="0" distL="0" distR="0" wp14:anchorId="2E1AF855" wp14:editId="3CF18E77">
            <wp:extent cx="3226568" cy="8266599"/>
            <wp:effectExtent l="0" t="0" r="0" b="127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240603" cy="8302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06BD" w:rsidRDefault="00721CFA">
      <w:r w:rsidRPr="006C5EFA">
        <w:rPr>
          <w:rFonts w:ascii="Times New Roman" w:hAnsi="Times New Roman" w:cs="Times New Roman"/>
          <w:sz w:val="22"/>
        </w:rPr>
        <w:t>Fig.S10</w:t>
      </w:r>
      <w:r w:rsidR="00E154BA" w:rsidRPr="006C5EFA">
        <w:rPr>
          <w:rFonts w:ascii="Times New Roman" w:hAnsi="Times New Roman" w:cs="Times New Roman"/>
          <w:sz w:val="22"/>
        </w:rPr>
        <w:t xml:space="preserve"> The DEGs related to transcription factors unique to HL and WC in response to nitrogen </w:t>
      </w:r>
      <w:r w:rsidR="00E154BA" w:rsidRPr="00E154BA">
        <w:lastRenderedPageBreak/>
        <w:t>deficiency</w:t>
      </w:r>
      <w:r w:rsidR="00426DD9">
        <w:t>.</w:t>
      </w:r>
    </w:p>
    <w:p w:rsidR="00B47059" w:rsidRDefault="00B47059">
      <w:r>
        <w:rPr>
          <w:noProof/>
        </w:rPr>
        <w:drawing>
          <wp:inline distT="0" distB="0" distL="0" distR="0" wp14:anchorId="44104630" wp14:editId="6469D058">
            <wp:extent cx="1773569" cy="8287741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778804" cy="8312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7A2C" w:rsidRDefault="008860DC">
      <w:r w:rsidRPr="006C5EFA">
        <w:rPr>
          <w:rFonts w:ascii="Times New Roman" w:hAnsi="Times New Roman" w:cs="Times New Roman"/>
          <w:sz w:val="22"/>
        </w:rPr>
        <w:t>Fig.S1</w:t>
      </w:r>
      <w:r w:rsidR="00721CFA" w:rsidRPr="006C5EFA">
        <w:rPr>
          <w:rFonts w:ascii="Times New Roman" w:hAnsi="Times New Roman" w:cs="Times New Roman"/>
          <w:sz w:val="22"/>
        </w:rPr>
        <w:t>1</w:t>
      </w:r>
      <w:r w:rsidR="00E154BA" w:rsidRPr="006C5EFA">
        <w:rPr>
          <w:rFonts w:ascii="Times New Roman" w:hAnsi="Times New Roman" w:cs="Times New Roman"/>
          <w:sz w:val="22"/>
        </w:rPr>
        <w:t xml:space="preserve"> The DEGs related to protein kinases unique to HL and WC in response to nitrogen </w:t>
      </w:r>
      <w:r w:rsidR="00E154BA" w:rsidRPr="00E154BA">
        <w:lastRenderedPageBreak/>
        <w:t>deficiency</w:t>
      </w:r>
      <w:r w:rsidR="00426DD9">
        <w:t>.</w:t>
      </w:r>
    </w:p>
    <w:p w:rsidR="006A7A2C" w:rsidRDefault="006A7A2C">
      <w:r>
        <w:rPr>
          <w:noProof/>
        </w:rPr>
        <w:drawing>
          <wp:inline distT="0" distB="0" distL="0" distR="0" wp14:anchorId="01FFE3C9" wp14:editId="67328E61">
            <wp:extent cx="5274310" cy="7108190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08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7A2C" w:rsidRPr="006C5EFA" w:rsidRDefault="008860DC">
      <w:pPr>
        <w:rPr>
          <w:rFonts w:ascii="Times New Roman" w:hAnsi="Times New Roman" w:cs="Times New Roman"/>
          <w:sz w:val="22"/>
        </w:rPr>
      </w:pPr>
      <w:r w:rsidRPr="006C5EFA">
        <w:rPr>
          <w:rFonts w:ascii="Times New Roman" w:hAnsi="Times New Roman" w:cs="Times New Roman"/>
          <w:sz w:val="22"/>
        </w:rPr>
        <w:t>Fig.S1</w:t>
      </w:r>
      <w:r w:rsidR="00721CFA" w:rsidRPr="006C5EFA">
        <w:rPr>
          <w:rFonts w:ascii="Times New Roman" w:hAnsi="Times New Roman" w:cs="Times New Roman"/>
          <w:sz w:val="22"/>
        </w:rPr>
        <w:t>2</w:t>
      </w:r>
      <w:r w:rsidR="0053042F" w:rsidRPr="006C5EFA">
        <w:rPr>
          <w:rFonts w:ascii="Times New Roman" w:hAnsi="Times New Roman" w:cs="Times New Roman"/>
          <w:sz w:val="22"/>
        </w:rPr>
        <w:t xml:space="preserve"> The DEGs related to plant hormone signal transduction unique to HL and WC in response to nitrogen deficiency</w:t>
      </w:r>
      <w:r w:rsidR="00426DD9" w:rsidRPr="006C5EFA">
        <w:rPr>
          <w:rFonts w:ascii="Times New Roman" w:hAnsi="Times New Roman" w:cs="Times New Roman"/>
          <w:sz w:val="22"/>
        </w:rPr>
        <w:t>.</w:t>
      </w:r>
    </w:p>
    <w:p w:rsidR="006A7A2C" w:rsidRDefault="006A7A2C"/>
    <w:p w:rsidR="006A7A2C" w:rsidRDefault="006A7A2C"/>
    <w:p w:rsidR="006A7A2C" w:rsidRDefault="006A7A2C"/>
    <w:p w:rsidR="006A7A2C" w:rsidRDefault="006A7A2C"/>
    <w:p w:rsidR="006A7A2C" w:rsidRDefault="006A7A2C"/>
    <w:p w:rsidR="006A7A2C" w:rsidRDefault="006A7A2C"/>
    <w:p w:rsidR="006A7A2C" w:rsidRDefault="00925043">
      <w:r w:rsidRPr="00925043">
        <w:rPr>
          <w:noProof/>
        </w:rPr>
        <w:drawing>
          <wp:inline distT="0" distB="0" distL="0" distR="0">
            <wp:extent cx="5274310" cy="3704723"/>
            <wp:effectExtent l="0" t="0" r="0" b="0"/>
            <wp:docPr id="14" name="图片 14" descr="F:\yule\氮缺乏转录组\转录组文章写作\第四次组织\碳性状\图表\Fig.18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yule\氮缺乏转录组\转录组文章写作\第四次组织\碳性状\图表\Fig.18.emf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4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7A2C" w:rsidRPr="006C5EFA" w:rsidRDefault="00C6029C">
      <w:pPr>
        <w:rPr>
          <w:rFonts w:ascii="Times New Roman" w:hAnsi="Times New Roman" w:cs="Times New Roman"/>
          <w:sz w:val="22"/>
        </w:rPr>
      </w:pPr>
      <w:r w:rsidRPr="006C5EFA">
        <w:rPr>
          <w:rFonts w:ascii="Times New Roman" w:hAnsi="Times New Roman" w:cs="Times New Roman"/>
          <w:sz w:val="22"/>
        </w:rPr>
        <w:t>Fig.S13</w:t>
      </w:r>
      <w:r w:rsidR="000861CA" w:rsidRPr="006C5EFA">
        <w:rPr>
          <w:rFonts w:ascii="Times New Roman" w:hAnsi="Times New Roman" w:cs="Times New Roman"/>
          <w:sz w:val="22"/>
        </w:rPr>
        <w:t xml:space="preserve"> The lignin content in root of two </w:t>
      </w:r>
      <w:proofErr w:type="spellStart"/>
      <w:r w:rsidR="000861CA" w:rsidRPr="006C5EFA">
        <w:rPr>
          <w:rFonts w:ascii="Times New Roman" w:hAnsi="Times New Roman" w:cs="Times New Roman"/>
          <w:sz w:val="22"/>
        </w:rPr>
        <w:t>Fraxinus</w:t>
      </w:r>
      <w:proofErr w:type="spellEnd"/>
      <w:r w:rsidR="000861CA" w:rsidRPr="006C5EFA">
        <w:rPr>
          <w:rFonts w:ascii="Times New Roman" w:hAnsi="Times New Roman" w:cs="Times New Roman"/>
          <w:sz w:val="22"/>
        </w:rPr>
        <w:t xml:space="preserve"> </w:t>
      </w:r>
      <w:proofErr w:type="spellStart"/>
      <w:r w:rsidR="000861CA" w:rsidRPr="006C5EFA">
        <w:rPr>
          <w:rFonts w:ascii="Times New Roman" w:hAnsi="Times New Roman" w:cs="Times New Roman"/>
          <w:sz w:val="22"/>
        </w:rPr>
        <w:t>mandshurica</w:t>
      </w:r>
      <w:proofErr w:type="spellEnd"/>
      <w:r w:rsidR="000861CA" w:rsidRPr="006C5EFA">
        <w:rPr>
          <w:rFonts w:ascii="Times New Roman" w:hAnsi="Times New Roman" w:cs="Times New Roman"/>
          <w:sz w:val="22"/>
        </w:rPr>
        <w:t xml:space="preserve"> provenances, WC and HL, under complete nitrogen and nitrogen deficiency</w:t>
      </w:r>
      <w:r w:rsidR="00426DD9" w:rsidRPr="006C5EFA">
        <w:rPr>
          <w:rFonts w:ascii="Times New Roman" w:hAnsi="Times New Roman" w:cs="Times New Roman"/>
          <w:sz w:val="22"/>
        </w:rPr>
        <w:t>. Each data point represents the average of three replicates, and nine seedlings were used for each treatment. Error bars represent mean ± SE. Different lowercase letters indicate significant differences at P&lt;0.05.</w:t>
      </w:r>
    </w:p>
    <w:p w:rsidR="006A7A2C" w:rsidRDefault="006A7A2C"/>
    <w:p w:rsidR="006A7A2C" w:rsidRDefault="006A7A2C"/>
    <w:p w:rsidR="006A7A2C" w:rsidRPr="000861CA" w:rsidRDefault="006A7A2C"/>
    <w:p w:rsidR="006A7A2C" w:rsidRDefault="006A7A2C"/>
    <w:p w:rsidR="006A7A2C" w:rsidRDefault="006A7A2C"/>
    <w:p w:rsidR="006A7A2C" w:rsidRDefault="006A7A2C"/>
    <w:p w:rsidR="006A7A2C" w:rsidRDefault="006A7A2C"/>
    <w:p w:rsidR="006A7A2C" w:rsidRDefault="006A7A2C"/>
    <w:p w:rsidR="006A7A2C" w:rsidRDefault="006A7A2C"/>
    <w:p w:rsidR="006A7A2C" w:rsidRDefault="006A7A2C"/>
    <w:p w:rsidR="006A7A2C" w:rsidRDefault="006A7A2C"/>
    <w:p w:rsidR="006A7A2C" w:rsidRDefault="006A7A2C"/>
    <w:p w:rsidR="006A7A2C" w:rsidRDefault="006A7A2C"/>
    <w:p w:rsidR="006A7A2C" w:rsidRDefault="006A7A2C"/>
    <w:p w:rsidR="006A7A2C" w:rsidRDefault="006A7A2C"/>
    <w:p w:rsidR="00B47059" w:rsidRDefault="00B47059"/>
    <w:p w:rsidR="00B47059" w:rsidRDefault="00B47059"/>
    <w:p w:rsidR="00B47059" w:rsidRDefault="00B47059"/>
    <w:p w:rsidR="00B47059" w:rsidRDefault="00B47059"/>
    <w:p w:rsidR="00B47059" w:rsidRDefault="00B47059"/>
    <w:p w:rsidR="000861CA" w:rsidRDefault="000861CA"/>
    <w:p w:rsidR="000861CA" w:rsidRDefault="001A7D43">
      <w:r w:rsidRPr="001A7D43">
        <w:rPr>
          <w:noProof/>
        </w:rPr>
        <w:drawing>
          <wp:inline distT="0" distB="0" distL="0" distR="0">
            <wp:extent cx="5274310" cy="3719430"/>
            <wp:effectExtent l="0" t="0" r="0" b="0"/>
            <wp:docPr id="8" name="图片 8" descr="F:\yule\氮缺乏转录组\转录组文章写作\第四次组织\碳性状\图表\ABA and GA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yule\氮缺乏转录组\转录组文章写作\第四次组织\碳性状\图表\ABA and GA.emf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19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7D43" w:rsidRPr="006C5EFA" w:rsidRDefault="001A7D43">
      <w:pPr>
        <w:rPr>
          <w:rFonts w:ascii="Times New Roman" w:hAnsi="Times New Roman" w:cs="Times New Roman"/>
          <w:sz w:val="22"/>
        </w:rPr>
      </w:pPr>
      <w:r w:rsidRPr="006C5EFA">
        <w:rPr>
          <w:rFonts w:ascii="Times New Roman" w:hAnsi="Times New Roman" w:cs="Times New Roman"/>
          <w:sz w:val="22"/>
        </w:rPr>
        <w:t xml:space="preserve">Fig.S14 The content of endogenous ABA and GA in foliar and root of two </w:t>
      </w:r>
      <w:proofErr w:type="spellStart"/>
      <w:r w:rsidRPr="006C5EFA">
        <w:rPr>
          <w:rFonts w:ascii="Times New Roman" w:hAnsi="Times New Roman" w:cs="Times New Roman"/>
          <w:sz w:val="22"/>
        </w:rPr>
        <w:t>Fraxinus</w:t>
      </w:r>
      <w:proofErr w:type="spellEnd"/>
      <w:r w:rsidRPr="006C5EFA">
        <w:rPr>
          <w:rFonts w:ascii="Times New Roman" w:hAnsi="Times New Roman" w:cs="Times New Roman"/>
          <w:sz w:val="22"/>
        </w:rPr>
        <w:t xml:space="preserve"> </w:t>
      </w:r>
      <w:proofErr w:type="spellStart"/>
      <w:r w:rsidRPr="006C5EFA">
        <w:rPr>
          <w:rFonts w:ascii="Times New Roman" w:hAnsi="Times New Roman" w:cs="Times New Roman"/>
          <w:sz w:val="22"/>
        </w:rPr>
        <w:t>mandshurica</w:t>
      </w:r>
      <w:proofErr w:type="spellEnd"/>
      <w:r w:rsidRPr="006C5EFA">
        <w:rPr>
          <w:rFonts w:ascii="Times New Roman" w:hAnsi="Times New Roman" w:cs="Times New Roman"/>
          <w:sz w:val="22"/>
        </w:rPr>
        <w:t xml:space="preserve"> provenances, WC and HL, under complete nitrogen and nitrogen deficiency</w:t>
      </w:r>
      <w:r w:rsidR="00426DD9" w:rsidRPr="006C5EFA">
        <w:rPr>
          <w:rFonts w:ascii="Times New Roman" w:hAnsi="Times New Roman" w:cs="Times New Roman"/>
          <w:sz w:val="22"/>
        </w:rPr>
        <w:t>. Each data point represents the average of three replicates, and nine seedlings were used for each treatment. Error bars represent mean ± SE. Different lowercase letters indicate significant differences at P&lt;0.05.</w:t>
      </w:r>
    </w:p>
    <w:p w:rsidR="001A7D43" w:rsidRDefault="001A7D43"/>
    <w:p w:rsidR="001A7D43" w:rsidRDefault="001A7D43"/>
    <w:p w:rsidR="001A7D43" w:rsidRDefault="001A7D43"/>
    <w:p w:rsidR="001A7D43" w:rsidRDefault="001A7D43"/>
    <w:p w:rsidR="001A7D43" w:rsidRDefault="001A7D43"/>
    <w:p w:rsidR="001A7D43" w:rsidRDefault="001A7D43"/>
    <w:p w:rsidR="001A7D43" w:rsidRDefault="001A7D43"/>
    <w:p w:rsidR="001A7D43" w:rsidRDefault="001A7D43"/>
    <w:p w:rsidR="001A7D43" w:rsidRDefault="001A7D43"/>
    <w:p w:rsidR="001A7D43" w:rsidRDefault="001A7D43"/>
    <w:p w:rsidR="001A7D43" w:rsidRDefault="001A7D43"/>
    <w:p w:rsidR="001A7D43" w:rsidRDefault="001A7D43"/>
    <w:p w:rsidR="001A7D43" w:rsidRDefault="001A7D43"/>
    <w:p w:rsidR="001A7D43" w:rsidRDefault="001A7D43"/>
    <w:p w:rsidR="001A7D43" w:rsidRDefault="001A7D43"/>
    <w:p w:rsidR="001A7D43" w:rsidRDefault="001A7D43"/>
    <w:p w:rsidR="001A7D43" w:rsidRDefault="001A7D43"/>
    <w:p w:rsidR="001A7D43" w:rsidRDefault="001A7D43"/>
    <w:p w:rsidR="001A7D43" w:rsidRDefault="001A7D43"/>
    <w:p w:rsidR="001A7D43" w:rsidRDefault="001A7D43"/>
    <w:p w:rsidR="001A7D43" w:rsidRDefault="001A7D43">
      <w:r w:rsidRPr="001A7D43">
        <w:rPr>
          <w:noProof/>
        </w:rPr>
        <w:drawing>
          <wp:inline distT="0" distB="0" distL="0" distR="0">
            <wp:extent cx="5274310" cy="3719430"/>
            <wp:effectExtent l="0" t="0" r="2540" b="0"/>
            <wp:docPr id="9" name="图片 9" descr="F:\yule\氮缺乏转录组\转录组文章写作\第四次组织\碳性状\图表\IAA and ZR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yule\氮缺乏转录组\转录组文章写作\第四次组织\碳性状\图表\IAA and ZR.emf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19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7D43" w:rsidRPr="006C5EFA" w:rsidRDefault="001A7D43">
      <w:pPr>
        <w:rPr>
          <w:rFonts w:ascii="Times New Roman" w:hAnsi="Times New Roman" w:cs="Times New Roman"/>
          <w:sz w:val="22"/>
        </w:rPr>
      </w:pPr>
      <w:r w:rsidRPr="006C5EFA">
        <w:rPr>
          <w:rFonts w:ascii="Times New Roman" w:hAnsi="Times New Roman" w:cs="Times New Roman"/>
          <w:sz w:val="22"/>
        </w:rPr>
        <w:t xml:space="preserve">Fig.S15 The content of endogenous IAA and ZR in foliar and root of two </w:t>
      </w:r>
      <w:proofErr w:type="spellStart"/>
      <w:r w:rsidRPr="006C5EFA">
        <w:rPr>
          <w:rFonts w:ascii="Times New Roman" w:hAnsi="Times New Roman" w:cs="Times New Roman"/>
          <w:sz w:val="22"/>
        </w:rPr>
        <w:t>Fraxinus</w:t>
      </w:r>
      <w:proofErr w:type="spellEnd"/>
      <w:r w:rsidRPr="006C5EFA">
        <w:rPr>
          <w:rFonts w:ascii="Times New Roman" w:hAnsi="Times New Roman" w:cs="Times New Roman"/>
          <w:sz w:val="22"/>
        </w:rPr>
        <w:t xml:space="preserve"> </w:t>
      </w:r>
      <w:proofErr w:type="spellStart"/>
      <w:r w:rsidRPr="006C5EFA">
        <w:rPr>
          <w:rFonts w:ascii="Times New Roman" w:hAnsi="Times New Roman" w:cs="Times New Roman"/>
          <w:sz w:val="22"/>
        </w:rPr>
        <w:t>mandshurica</w:t>
      </w:r>
      <w:proofErr w:type="spellEnd"/>
      <w:r w:rsidRPr="006C5EFA">
        <w:rPr>
          <w:rFonts w:ascii="Times New Roman" w:hAnsi="Times New Roman" w:cs="Times New Roman"/>
          <w:sz w:val="22"/>
        </w:rPr>
        <w:t xml:space="preserve"> provenances, WC and HL, under complete nitrogen and nitrogen deficiency</w:t>
      </w:r>
      <w:r w:rsidR="00426DD9" w:rsidRPr="006C5EFA">
        <w:rPr>
          <w:rFonts w:ascii="Times New Roman" w:hAnsi="Times New Roman" w:cs="Times New Roman"/>
          <w:sz w:val="22"/>
        </w:rPr>
        <w:t>. Each data point represents the average of three replicates, and nine seedlings were used for each treatment. Error bars represent mean ± SE. Different lowercase letters indicate significant differences at P&lt;0.05.</w:t>
      </w:r>
    </w:p>
    <w:p w:rsidR="001A7D43" w:rsidRPr="006C5EFA" w:rsidRDefault="001A7D43">
      <w:pPr>
        <w:rPr>
          <w:rFonts w:ascii="Times New Roman" w:hAnsi="Times New Roman" w:cs="Times New Roman"/>
          <w:sz w:val="22"/>
        </w:rPr>
      </w:pPr>
    </w:p>
    <w:p w:rsidR="001A7D43" w:rsidRDefault="001A7D43"/>
    <w:p w:rsidR="001A7D43" w:rsidRDefault="001A7D43"/>
    <w:p w:rsidR="001A7D43" w:rsidRDefault="001A7D43"/>
    <w:p w:rsidR="001A7D43" w:rsidRDefault="001A7D43"/>
    <w:p w:rsidR="001A7D43" w:rsidRDefault="001A7D43"/>
    <w:p w:rsidR="001A7D43" w:rsidRDefault="001A7D43"/>
    <w:p w:rsidR="001A7D43" w:rsidRDefault="001A7D43"/>
    <w:p w:rsidR="001A7D43" w:rsidRDefault="001A7D43"/>
    <w:p w:rsidR="001A7D43" w:rsidRDefault="001A7D43"/>
    <w:p w:rsidR="00F81217" w:rsidRDefault="00F81217"/>
    <w:p w:rsidR="00F81217" w:rsidRDefault="00F81217"/>
    <w:p w:rsidR="00F81217" w:rsidRDefault="00F81217"/>
    <w:p w:rsidR="00F81217" w:rsidRDefault="00F81217"/>
    <w:p w:rsidR="00F81217" w:rsidRDefault="00F81217"/>
    <w:p w:rsidR="00F81217" w:rsidRDefault="00F81217"/>
    <w:p w:rsidR="00F81217" w:rsidRDefault="00F81217"/>
    <w:p w:rsidR="00F81217" w:rsidRDefault="00F81217"/>
    <w:p w:rsidR="00F81217" w:rsidRDefault="00F81217"/>
    <w:p w:rsidR="00F81217" w:rsidRPr="00F81217" w:rsidRDefault="00F81217">
      <w:pPr>
        <w:rPr>
          <w:rFonts w:hint="eastAsia"/>
        </w:rPr>
      </w:pPr>
      <w:r w:rsidRPr="00F81217">
        <w:rPr>
          <w:noProof/>
        </w:rPr>
        <w:lastRenderedPageBreak/>
        <w:drawing>
          <wp:inline distT="0" distB="0" distL="0" distR="0">
            <wp:extent cx="5274310" cy="5014052"/>
            <wp:effectExtent l="0" t="0" r="2540" b="0"/>
            <wp:docPr id="13" name="图片 13" descr="C:\Users\Administrator\Desktop\未标题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未标题-2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014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1217" w:rsidRPr="00DC6BD2" w:rsidRDefault="00F81217" w:rsidP="00F81217">
      <w:pPr>
        <w:rPr>
          <w:rFonts w:ascii="Times New Roman" w:hAnsi="Times New Roman" w:cs="Times New Roman"/>
          <w:sz w:val="22"/>
        </w:rPr>
      </w:pPr>
      <w:r w:rsidRPr="00DC6BD2">
        <w:rPr>
          <w:rFonts w:ascii="Times New Roman" w:hAnsi="Times New Roman" w:cs="Times New Roman"/>
          <w:sz w:val="22"/>
        </w:rPr>
        <w:t>Fig.S16 Top20 of pathway enrichment between complete nitrogen and nitrogen deficiency in HL foliar (a), HL root (b), WC Foliar (c) and WC root (d).</w:t>
      </w:r>
    </w:p>
    <w:p w:rsidR="001A7D43" w:rsidRPr="00F81217" w:rsidRDefault="001A7D43">
      <w:bookmarkStart w:id="0" w:name="_GoBack"/>
      <w:bookmarkEnd w:id="0"/>
    </w:p>
    <w:p w:rsidR="001A7D43" w:rsidRDefault="001A7D43"/>
    <w:p w:rsidR="001A7D43" w:rsidRDefault="001A7D43"/>
    <w:p w:rsidR="00B47059" w:rsidRDefault="00B47059"/>
    <w:sectPr w:rsidR="00B4705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3471A" w:rsidRDefault="0063471A" w:rsidP="001A7D43">
      <w:r>
        <w:separator/>
      </w:r>
    </w:p>
  </w:endnote>
  <w:endnote w:type="continuationSeparator" w:id="0">
    <w:p w:rsidR="0063471A" w:rsidRDefault="0063471A" w:rsidP="001A7D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3471A" w:rsidRDefault="0063471A" w:rsidP="001A7D43">
      <w:r>
        <w:separator/>
      </w:r>
    </w:p>
  </w:footnote>
  <w:footnote w:type="continuationSeparator" w:id="0">
    <w:p w:rsidR="0063471A" w:rsidRDefault="0063471A" w:rsidP="001A7D4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90441"/>
    <w:rsid w:val="000861CA"/>
    <w:rsid w:val="001510CF"/>
    <w:rsid w:val="001A7D43"/>
    <w:rsid w:val="00227464"/>
    <w:rsid w:val="00276A3F"/>
    <w:rsid w:val="00426DD9"/>
    <w:rsid w:val="00483D01"/>
    <w:rsid w:val="004C56EC"/>
    <w:rsid w:val="004E49A2"/>
    <w:rsid w:val="0053042F"/>
    <w:rsid w:val="0063471A"/>
    <w:rsid w:val="006A7A2C"/>
    <w:rsid w:val="006C5EFA"/>
    <w:rsid w:val="00721CFA"/>
    <w:rsid w:val="007D06BD"/>
    <w:rsid w:val="008860DC"/>
    <w:rsid w:val="008C4D61"/>
    <w:rsid w:val="00925043"/>
    <w:rsid w:val="00946AD1"/>
    <w:rsid w:val="00983FDC"/>
    <w:rsid w:val="00A72238"/>
    <w:rsid w:val="00AE0F0F"/>
    <w:rsid w:val="00B47059"/>
    <w:rsid w:val="00B90441"/>
    <w:rsid w:val="00B932EE"/>
    <w:rsid w:val="00BD2927"/>
    <w:rsid w:val="00BE0C4D"/>
    <w:rsid w:val="00C06DAF"/>
    <w:rsid w:val="00C6029C"/>
    <w:rsid w:val="00C660F5"/>
    <w:rsid w:val="00DB7851"/>
    <w:rsid w:val="00DC137E"/>
    <w:rsid w:val="00DC22AE"/>
    <w:rsid w:val="00DF734E"/>
    <w:rsid w:val="00E154BA"/>
    <w:rsid w:val="00E54B2B"/>
    <w:rsid w:val="00F81217"/>
    <w:rsid w:val="00F932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E19573F"/>
  <w15:chartTrackingRefBased/>
  <w15:docId w15:val="{374EC2FA-1DCE-44F3-B80C-753556FC0D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A7D4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1A7D43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1A7D4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1A7D43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7.jpeg"/><Relationship Id="rId18" Type="http://schemas.openxmlformats.org/officeDocument/2006/relationships/image" Target="media/image12.emf"/><Relationship Id="rId3" Type="http://schemas.openxmlformats.org/officeDocument/2006/relationships/webSettings" Target="webSettings.xml"/><Relationship Id="rId21" Type="http://schemas.openxmlformats.org/officeDocument/2006/relationships/image" Target="media/image15.png"/><Relationship Id="rId7" Type="http://schemas.openxmlformats.org/officeDocument/2006/relationships/image" Target="media/image2.emf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image" Target="media/image14.emf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emf"/><Relationship Id="rId4" Type="http://schemas.openxmlformats.org/officeDocument/2006/relationships/footnotes" Target="footnotes.xml"/><Relationship Id="rId9" Type="http://schemas.openxmlformats.org/officeDocument/2006/relationships/chart" Target="charts/chart1.xml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9.7513039620348435E-2"/>
          <c:y val="3.2807712889510919E-2"/>
          <c:w val="0.84877206686751439"/>
          <c:h val="0.7343437046097393"/>
        </c:manualLayout>
      </c:layout>
      <c:barChart>
        <c:barDir val="col"/>
        <c:grouping val="clustered"/>
        <c:varyColors val="0"/>
        <c:ser>
          <c:idx val="0"/>
          <c:order val="0"/>
          <c:spPr>
            <a:solidFill>
              <a:schemeClr val="tx1"/>
            </a:solidFill>
            <a:ln>
              <a:solidFill>
                <a:schemeClr val="tx1"/>
              </a:solidFill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spcFirstLastPara="1" vertOverflow="ellipsis" vert="eaVert" wrap="square" lIns="38100" tIns="19050" rIns="38100" bIns="19050" anchor="ctr" anchorCtr="1">
                <a:spAutoFit/>
              </a:bodyPr>
              <a:lstStyle/>
              <a:p>
                <a:pPr>
                  <a:defRPr sz="7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zh-CN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'模板1-2'!$F$3:$F$31</c:f>
              <c:strCache>
                <c:ptCount val="29"/>
                <c:pt idx="0">
                  <c:v>200-299</c:v>
                </c:pt>
                <c:pt idx="1">
                  <c:v>300-399</c:v>
                </c:pt>
                <c:pt idx="2">
                  <c:v>400-499</c:v>
                </c:pt>
                <c:pt idx="3">
                  <c:v>500-599</c:v>
                </c:pt>
                <c:pt idx="4">
                  <c:v>600-699</c:v>
                </c:pt>
                <c:pt idx="5">
                  <c:v>700-799</c:v>
                </c:pt>
                <c:pt idx="6">
                  <c:v>800-899</c:v>
                </c:pt>
                <c:pt idx="7">
                  <c:v>900-999</c:v>
                </c:pt>
                <c:pt idx="8">
                  <c:v>1000-1099</c:v>
                </c:pt>
                <c:pt idx="9">
                  <c:v>1100-1199</c:v>
                </c:pt>
                <c:pt idx="10">
                  <c:v>1200-1299</c:v>
                </c:pt>
                <c:pt idx="11">
                  <c:v>1300-1399</c:v>
                </c:pt>
                <c:pt idx="12">
                  <c:v>1400-1499</c:v>
                </c:pt>
                <c:pt idx="13">
                  <c:v>1500-1599</c:v>
                </c:pt>
                <c:pt idx="14">
                  <c:v>1600-1699</c:v>
                </c:pt>
                <c:pt idx="15">
                  <c:v>1700-1799</c:v>
                </c:pt>
                <c:pt idx="16">
                  <c:v>1800-1899</c:v>
                </c:pt>
                <c:pt idx="17">
                  <c:v>1900-1999</c:v>
                </c:pt>
                <c:pt idx="18">
                  <c:v>2000-2099</c:v>
                </c:pt>
                <c:pt idx="19">
                  <c:v>2100-2199</c:v>
                </c:pt>
                <c:pt idx="20">
                  <c:v>2200-2299</c:v>
                </c:pt>
                <c:pt idx="21">
                  <c:v>2300-2399</c:v>
                </c:pt>
                <c:pt idx="22">
                  <c:v>2400-2499</c:v>
                </c:pt>
                <c:pt idx="23">
                  <c:v>2500-2599</c:v>
                </c:pt>
                <c:pt idx="24">
                  <c:v>2600-2699</c:v>
                </c:pt>
                <c:pt idx="25">
                  <c:v>2700-2799</c:v>
                </c:pt>
                <c:pt idx="26">
                  <c:v>2800-2899</c:v>
                </c:pt>
                <c:pt idx="27">
                  <c:v>2900-2999</c:v>
                </c:pt>
                <c:pt idx="28">
                  <c:v>&gt;=3000</c:v>
                </c:pt>
              </c:strCache>
            </c:strRef>
          </c:cat>
          <c:val>
            <c:numRef>
              <c:f>'模板1-2'!$G$3:$G$31</c:f>
              <c:numCache>
                <c:formatCode>General</c:formatCode>
                <c:ptCount val="29"/>
                <c:pt idx="0">
                  <c:v>24809</c:v>
                </c:pt>
                <c:pt idx="1">
                  <c:v>14736</c:v>
                </c:pt>
                <c:pt idx="2">
                  <c:v>9209</c:v>
                </c:pt>
                <c:pt idx="3">
                  <c:v>6228</c:v>
                </c:pt>
                <c:pt idx="4">
                  <c:v>4510</c:v>
                </c:pt>
                <c:pt idx="5">
                  <c:v>3441</c:v>
                </c:pt>
                <c:pt idx="6">
                  <c:v>2672</c:v>
                </c:pt>
                <c:pt idx="7">
                  <c:v>2369</c:v>
                </c:pt>
                <c:pt idx="8">
                  <c:v>2092</c:v>
                </c:pt>
                <c:pt idx="9">
                  <c:v>1782</c:v>
                </c:pt>
                <c:pt idx="10">
                  <c:v>1674</c:v>
                </c:pt>
                <c:pt idx="11">
                  <c:v>1434</c:v>
                </c:pt>
                <c:pt idx="12">
                  <c:v>1341</c:v>
                </c:pt>
                <c:pt idx="13">
                  <c:v>1267</c:v>
                </c:pt>
                <c:pt idx="14">
                  <c:v>1233</c:v>
                </c:pt>
                <c:pt idx="15">
                  <c:v>1140</c:v>
                </c:pt>
                <c:pt idx="16">
                  <c:v>943</c:v>
                </c:pt>
                <c:pt idx="17">
                  <c:v>878</c:v>
                </c:pt>
                <c:pt idx="18">
                  <c:v>789</c:v>
                </c:pt>
                <c:pt idx="19">
                  <c:v>666</c:v>
                </c:pt>
                <c:pt idx="20">
                  <c:v>570</c:v>
                </c:pt>
                <c:pt idx="21">
                  <c:v>531</c:v>
                </c:pt>
                <c:pt idx="22">
                  <c:v>487</c:v>
                </c:pt>
                <c:pt idx="23">
                  <c:v>411</c:v>
                </c:pt>
                <c:pt idx="24">
                  <c:v>396</c:v>
                </c:pt>
                <c:pt idx="25">
                  <c:v>347</c:v>
                </c:pt>
                <c:pt idx="26">
                  <c:v>289</c:v>
                </c:pt>
                <c:pt idx="27">
                  <c:v>230</c:v>
                </c:pt>
                <c:pt idx="28">
                  <c:v>2181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473-4A4D-8E54-52066B44194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433626288"/>
        <c:axId val="433627272"/>
      </c:barChart>
      <c:catAx>
        <c:axId val="433626288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7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en-US" altLang="zh-CN" sz="700" b="1">
                    <a:solidFill>
                      <a:schemeClr val="tx1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Sequence</a:t>
                </a:r>
                <a:r>
                  <a:rPr lang="en-US" altLang="zh-CN" sz="700" b="1" baseline="0">
                    <a:solidFill>
                      <a:schemeClr val="tx1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 size(nt)</a:t>
                </a:r>
                <a:endParaRPr lang="zh-CN" altLang="en-US" sz="700" b="1">
                  <a:solidFill>
                    <a:schemeClr val="tx1"/>
                  </a:solidFill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0.43895315216587572"/>
              <c:y val="0.93971791147465789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0" spcFirstLastPara="1" vertOverflow="ellipsis" vert="eaVert" wrap="square" anchor="ctr" anchorCtr="1"/>
          <a:lstStyle/>
          <a:p>
            <a:pPr>
              <a:defRPr sz="700" b="1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zh-CN"/>
          </a:p>
        </c:txPr>
        <c:crossAx val="433627272"/>
        <c:crosses val="autoZero"/>
        <c:auto val="1"/>
        <c:lblAlgn val="ctr"/>
        <c:lblOffset val="100"/>
        <c:tickMarkSkip val="1"/>
        <c:noMultiLvlLbl val="0"/>
      </c:catAx>
      <c:valAx>
        <c:axId val="433627272"/>
        <c:scaling>
          <c:logBase val="10"/>
          <c:orientation val="minMax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7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en-US" altLang="zh-CN" sz="700" b="1">
                    <a:solidFill>
                      <a:schemeClr val="tx1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Number of Fraxinus mandschurica</a:t>
                </a:r>
                <a:r>
                  <a:rPr lang="en-US" altLang="zh-CN" sz="700" b="1" baseline="0">
                    <a:solidFill>
                      <a:schemeClr val="tx1"/>
                    </a:solidFill>
                    <a:latin typeface="Arial" panose="020B0604020202020204" pitchFamily="34" charset="0"/>
                    <a:cs typeface="Arial" panose="020B0604020202020204" pitchFamily="34" charset="0"/>
                  </a:rPr>
                  <a:t> unigenes</a:t>
                </a:r>
                <a:endParaRPr lang="zh-CN" altLang="en-US" sz="700" b="1">
                  <a:solidFill>
                    <a:schemeClr val="tx1"/>
                  </a:solidFill>
                  <a:latin typeface="Arial" panose="020B0604020202020204" pitchFamily="34" charset="0"/>
                  <a:cs typeface="Arial" panose="020B0604020202020204" pitchFamily="34" charset="0"/>
                </a:endParaRPr>
              </a:p>
            </c:rich>
          </c:tx>
          <c:layout>
            <c:manualLayout>
              <c:xMode val="edge"/>
              <c:yMode val="edge"/>
              <c:x val="1.3123991574253314E-3"/>
              <c:y val="0.13641100127607275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in"/>
        <c:minorTickMark val="in"/>
        <c:tickLblPos val="nextTo"/>
        <c:spPr>
          <a:noFill/>
          <a:ln>
            <a:solidFill>
              <a:schemeClr val="tx1">
                <a:alpha val="93000"/>
              </a:scheme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700" b="1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zh-CN"/>
          </a:p>
        </c:txPr>
        <c:crossAx val="43362628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/>
      </a:pPr>
      <a:endParaRPr lang="zh-CN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16</Pages>
  <Words>629</Words>
  <Characters>3591</Characters>
  <Application>Microsoft Office Word</Application>
  <DocSecurity>0</DocSecurity>
  <Lines>29</Lines>
  <Paragraphs>8</Paragraphs>
  <ScaleCrop>false</ScaleCrop>
  <Company>MicroWin10.com</Company>
  <LinksUpToDate>false</LinksUpToDate>
  <CharactersWithSpaces>4212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China</dc:creator>
  <cp:keywords/>
  <dc:description/>
  <cp:lastModifiedBy>China</cp:lastModifiedBy>
  <cp:revision>30</cp:revision>
  <dcterms:created xsi:type="dcterms:W3CDTF">2021-01-27T01:28:00Z</dcterms:created>
  <dcterms:modified xsi:type="dcterms:W3CDTF">2021-02-18T12:38:00Z</dcterms:modified>
</cp:coreProperties>
</file>