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AE6E981" w14:textId="77777777" w:rsidR="00E57E80" w:rsidRPr="00CA2CEE" w:rsidRDefault="00E57E80" w:rsidP="002718FD">
      <w:pPr>
        <w:widowControl w:val="0"/>
        <w:autoSpaceDE w:val="0"/>
        <w:autoSpaceDN w:val="0"/>
        <w:adjustRightInd w:val="0"/>
        <w:spacing w:line="480" w:lineRule="auto"/>
        <w:outlineLvl w:val="0"/>
        <w:rPr>
          <w:b/>
          <w:color w:val="000000" w:themeColor="text1"/>
          <w:u w:val="single"/>
          <w:lang w:eastAsia="ja-JP"/>
        </w:rPr>
      </w:pPr>
      <w:bookmarkStart w:id="0" w:name="_GoBack"/>
      <w:r w:rsidRPr="00CA2CEE">
        <w:rPr>
          <w:b/>
          <w:color w:val="000000" w:themeColor="text1"/>
          <w:u w:val="single"/>
          <w:lang w:eastAsia="ja-JP"/>
        </w:rPr>
        <w:t>Supplemental Materials</w:t>
      </w:r>
    </w:p>
    <w:bookmarkEnd w:id="0"/>
    <w:p w14:paraId="2798C385" w14:textId="77777777" w:rsidR="00E57E80" w:rsidRPr="00CA2CEE" w:rsidRDefault="00E57E80" w:rsidP="00E57E80">
      <w:pPr>
        <w:widowControl w:val="0"/>
        <w:autoSpaceDE w:val="0"/>
        <w:autoSpaceDN w:val="0"/>
        <w:adjustRightInd w:val="0"/>
        <w:spacing w:line="480" w:lineRule="auto"/>
        <w:jc w:val="center"/>
        <w:outlineLvl w:val="0"/>
        <w:rPr>
          <w:b/>
          <w:color w:val="000000" w:themeColor="text1"/>
          <w:lang w:eastAsia="ja-JP"/>
        </w:rPr>
      </w:pPr>
      <w:r w:rsidRPr="00CA2CEE">
        <w:rPr>
          <w:b/>
          <w:noProof/>
          <w:color w:val="000000" w:themeColor="text1"/>
        </w:rPr>
        <w:drawing>
          <wp:inline distT="0" distB="0" distL="0" distR="0" wp14:anchorId="3636FEF5" wp14:editId="76DFC6F5">
            <wp:extent cx="4572000" cy="265769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Ccontent_TotalReads_v6jpw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65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18E00" w14:textId="32F447A6" w:rsidR="00E57E80" w:rsidRPr="00CA2CEE" w:rsidRDefault="00E57E80" w:rsidP="00E57E80">
      <w:pPr>
        <w:widowControl w:val="0"/>
        <w:autoSpaceDE w:val="0"/>
        <w:autoSpaceDN w:val="0"/>
        <w:adjustRightInd w:val="0"/>
        <w:spacing w:before="120" w:after="240" w:line="260" w:lineRule="atLeast"/>
        <w:ind w:left="432" w:right="432"/>
        <w:outlineLvl w:val="0"/>
        <w:rPr>
          <w:rFonts w:ascii="Palatino Linotype" w:hAnsi="Palatino Linotype"/>
          <w:color w:val="000000" w:themeColor="text1"/>
          <w:sz w:val="18"/>
          <w:szCs w:val="18"/>
          <w:lang w:eastAsia="ja-JP"/>
        </w:rPr>
      </w:pP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 xml:space="preserve">Figure S1. GC-contents of total RNA have a bimodal distribution for T4 infections.  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The %GC-content of total reads from RNA-seq for each replicate of (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>a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) T4 wt and (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>b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) T4 </w:t>
      </w:r>
      <w:r w:rsidRPr="00CA2CEE">
        <w:rPr>
          <w:rFonts w:ascii="Palatino Linotype" w:hAnsi="Palatino Linotype"/>
          <w:i/>
          <w:color w:val="000000" w:themeColor="text1"/>
          <w:sz w:val="18"/>
          <w:szCs w:val="18"/>
          <w:lang w:eastAsia="ja-JP"/>
        </w:rPr>
        <w:t>motB</w:t>
      </w:r>
      <w:r w:rsidRPr="00CA2CEE">
        <w:rPr>
          <w:rFonts w:ascii="Palatino Linotype" w:hAnsi="Palatino Linotype"/>
          <w:i/>
          <w:color w:val="000000" w:themeColor="text1"/>
          <w:sz w:val="18"/>
          <w:szCs w:val="18"/>
          <w:vertAlign w:val="superscript"/>
          <w:lang w:eastAsia="ja-JP"/>
        </w:rPr>
        <w:t>am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infections of NapIV NS </w:t>
      </w:r>
      <w:r w:rsidRPr="00CA2CEE">
        <w:rPr>
          <w:rFonts w:ascii="Palatino Linotype" w:hAnsi="Palatino Linotype"/>
          <w:i/>
          <w:color w:val="000000" w:themeColor="text1"/>
          <w:sz w:val="18"/>
          <w:szCs w:val="18"/>
          <w:lang w:eastAsia="ja-JP"/>
        </w:rPr>
        <w:t>E. coli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was determined during quality analysis of sequence data in 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>CLC Genomics Workbench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.  A bimodal distribution is consistent with a mixed population of 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>host-encoded (~55% GC) and T4-encoded (34.5% GC) RNA.</w:t>
      </w:r>
    </w:p>
    <w:p w14:paraId="2D0150D2" w14:textId="77777777" w:rsidR="00E57E80" w:rsidRPr="00CA2CEE" w:rsidRDefault="00E57E80" w:rsidP="00E57E80">
      <w:pPr>
        <w:widowControl w:val="0"/>
        <w:autoSpaceDE w:val="0"/>
        <w:autoSpaceDN w:val="0"/>
        <w:adjustRightInd w:val="0"/>
        <w:spacing w:line="480" w:lineRule="auto"/>
        <w:jc w:val="center"/>
        <w:outlineLvl w:val="0"/>
        <w:rPr>
          <w:b/>
          <w:color w:val="000000" w:themeColor="text1"/>
          <w:lang w:eastAsia="ja-JP"/>
        </w:rPr>
      </w:pPr>
      <w:r w:rsidRPr="00CA2CEE">
        <w:rPr>
          <w:b/>
          <w:color w:val="000000" w:themeColor="text1"/>
          <w:u w:val="single"/>
          <w:lang w:eastAsia="ja-JP"/>
        </w:rPr>
        <w:br w:type="column"/>
      </w:r>
      <w:r w:rsidR="00EA4257" w:rsidRPr="00CA2CEE">
        <w:rPr>
          <w:b/>
          <w:noProof/>
          <w:color w:val="000000" w:themeColor="text1"/>
        </w:rPr>
        <w:lastRenderedPageBreak/>
        <w:drawing>
          <wp:inline distT="0" distB="0" distL="0" distR="0" wp14:anchorId="01E08990" wp14:editId="6FC2D33E">
            <wp:extent cx="3275586" cy="3200400"/>
            <wp:effectExtent l="0" t="0" r="127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oxicity_TaggedMotB_v6jpw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5586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65252" w14:textId="3D45E5B1" w:rsidR="00E57E80" w:rsidRPr="00CA2CEE" w:rsidRDefault="00E57E80" w:rsidP="00E57E80">
      <w:pPr>
        <w:widowControl w:val="0"/>
        <w:autoSpaceDE w:val="0"/>
        <w:autoSpaceDN w:val="0"/>
        <w:adjustRightInd w:val="0"/>
        <w:spacing w:before="120" w:after="240" w:line="260" w:lineRule="atLeast"/>
        <w:ind w:left="432" w:right="432"/>
        <w:outlineLvl w:val="0"/>
        <w:rPr>
          <w:rFonts w:ascii="Palatino Linotype" w:hAnsi="Palatino Linotype"/>
          <w:color w:val="000000" w:themeColor="text1"/>
          <w:sz w:val="18"/>
          <w:szCs w:val="18"/>
          <w:lang w:eastAsia="ja-JP"/>
        </w:rPr>
      </w:pP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 xml:space="preserve">Figure S2. Toxicity of C-terminally tagged MotB constructs in </w:t>
      </w:r>
      <w:r w:rsidRPr="00CA2CEE">
        <w:rPr>
          <w:rFonts w:ascii="Palatino Linotype" w:hAnsi="Palatino Linotype"/>
          <w:b/>
          <w:i/>
          <w:color w:val="000000" w:themeColor="text1"/>
          <w:sz w:val="18"/>
          <w:szCs w:val="18"/>
          <w:lang w:eastAsia="ja-JP"/>
        </w:rPr>
        <w:t xml:space="preserve">E. coli.  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(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>a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) BL21(DE3)/pLysE containing either the control vector pTXB1(circles) or expression vector pTXB1-MotB</w:t>
      </w:r>
      <w:r w:rsidR="00E365D9"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(squares)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was grown at 25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sym w:font="Symbol" w:char="F0B0"/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C, and protein production was induced by the addition of 2 mM IPTG.</w:t>
      </w:r>
      <w:r w:rsidR="0068030C"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(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>b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) </w:t>
      </w:r>
      <w:r w:rsidRPr="00CA2CEE">
        <w:rPr>
          <w:rFonts w:ascii="Palatino Linotype" w:hAnsi="Palatino Linotype"/>
          <w:color w:val="000000" w:themeColor="text1"/>
          <w:sz w:val="20"/>
        </w:rPr>
        <w:t>TOP10F’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containing either the empty vector pNW129 (circles) or expression vector pNW129-MotB (squares) was grown at 37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sym w:font="Symbol" w:char="F0B0"/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C, and protein production was induced by the addition of 0.2% (w/v) arabinose.  Growth curves are representative of at least three independent replicates. </w:t>
      </w:r>
    </w:p>
    <w:p w14:paraId="0A10D8F4" w14:textId="77777777" w:rsidR="00E57E80" w:rsidRPr="00CA2CEE" w:rsidRDefault="00E57E80" w:rsidP="00E57E80">
      <w:pPr>
        <w:widowControl w:val="0"/>
        <w:autoSpaceDE w:val="0"/>
        <w:autoSpaceDN w:val="0"/>
        <w:adjustRightInd w:val="0"/>
        <w:spacing w:line="480" w:lineRule="auto"/>
        <w:jc w:val="center"/>
        <w:outlineLvl w:val="0"/>
        <w:rPr>
          <w:color w:val="000000" w:themeColor="text1"/>
          <w:lang w:eastAsia="ja-JP"/>
        </w:rPr>
      </w:pPr>
      <w:r w:rsidRPr="00CA2CEE">
        <w:rPr>
          <w:color w:val="000000" w:themeColor="text1"/>
          <w:lang w:eastAsia="ja-JP"/>
        </w:rPr>
        <w:br w:type="column"/>
      </w:r>
      <w:r w:rsidRPr="00CA2CEE">
        <w:rPr>
          <w:noProof/>
          <w:color w:val="000000" w:themeColor="text1"/>
        </w:rPr>
        <w:lastRenderedPageBreak/>
        <w:drawing>
          <wp:inline distT="0" distB="0" distL="0" distR="0" wp14:anchorId="01408295" wp14:editId="69C81085">
            <wp:extent cx="4824079" cy="5029200"/>
            <wp:effectExtent l="0" t="0" r="2540" b="0"/>
            <wp:docPr id="2" name="Picture 2" descr="ProteinPurification_v3jp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roteinPurification_v3jpw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079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FAEDB" w14:textId="03C4DF3D" w:rsidR="00E57E80" w:rsidRPr="00CA2CEE" w:rsidRDefault="00E57E80" w:rsidP="00E57E80">
      <w:pPr>
        <w:widowControl w:val="0"/>
        <w:autoSpaceDE w:val="0"/>
        <w:autoSpaceDN w:val="0"/>
        <w:adjustRightInd w:val="0"/>
        <w:spacing w:before="120" w:after="240" w:line="260" w:lineRule="atLeast"/>
        <w:ind w:left="432" w:right="432"/>
        <w:outlineLvl w:val="0"/>
        <w:rPr>
          <w:rFonts w:ascii="Palatino Linotype" w:hAnsi="Palatino Linotype"/>
          <w:color w:val="000000" w:themeColor="text1"/>
          <w:sz w:val="18"/>
          <w:szCs w:val="18"/>
          <w:lang w:eastAsia="ja-JP"/>
        </w:rPr>
      </w:pP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>Figure S3. Purification of MotB.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 SDS-PAGE gels, stained with Coomassie, of fractions from the purification of MotB (from MotB-Intein/CBD) (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>a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) and MotB-His (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>b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).  Fractions in (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>a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) are pre-induction (lane 2), 4 </w:t>
      </w:r>
      <w:proofErr w:type="spellStart"/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hr</w:t>
      </w:r>
      <w:r w:rsidR="0068030C"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s</w:t>
      </w:r>
      <w:proofErr w:type="spellEnd"/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post-induction negative control (lane 3), 4 </w:t>
      </w:r>
      <w:proofErr w:type="spellStart"/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hr</w:t>
      </w:r>
      <w:r w:rsidR="0068030C"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s</w:t>
      </w:r>
      <w:proofErr w:type="spellEnd"/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post-induction sample (lane 4), supernatant (lane 5), pellet (lane 6), chitin column flow through (lane 7), chitin column wash (lane 8), resin sample at 0 </w:t>
      </w:r>
      <w:proofErr w:type="spellStart"/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hr</w:t>
      </w:r>
      <w:proofErr w:type="spellEnd"/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(lane 9), resin sample at 42 </w:t>
      </w:r>
      <w:proofErr w:type="spellStart"/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hr</w:t>
      </w:r>
      <w:r w:rsidR="0068030C"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s</w:t>
      </w:r>
      <w:proofErr w:type="spellEnd"/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after elution (lan</w:t>
      </w:r>
      <w:r w:rsidR="00D128DD"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e 10), and elution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(lane 11).  Fractions in (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>b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) are pre-induction (lane 3), post-induction (lane 4), sonication (lane 5), supernatant 1 (lane 6), supernatant 2 (lane 7), resuspended pellet (lane 8), Ni</w:t>
      </w:r>
      <w:r w:rsidRPr="00CA2CEE">
        <w:rPr>
          <w:rFonts w:ascii="Palatino Linotype" w:hAnsi="Palatino Linotype"/>
          <w:color w:val="000000" w:themeColor="text1"/>
          <w:sz w:val="18"/>
          <w:szCs w:val="18"/>
          <w:vertAlign w:val="superscript"/>
          <w:lang w:eastAsia="ja-JP"/>
        </w:rPr>
        <w:t>2+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column flow through (lane 9), binding buffer (lane 10), wash buffer </w:t>
      </w:r>
      <w:r w:rsidR="00D128DD"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(lane 11), and elution 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(lane 12-14).  The protein standard in lane 1 of (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>a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) and (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>b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) is SeeBlue Plus2 Protein Standard (Invitrogen) and Precision Plus Protein Standard All Blue (Bio-Rad), respectively.</w:t>
      </w:r>
    </w:p>
    <w:p w14:paraId="48C3D376" w14:textId="1AA70849" w:rsidR="00E57E80" w:rsidRPr="00CA2CEE" w:rsidRDefault="00E57E80" w:rsidP="00E71174">
      <w:pPr>
        <w:widowControl w:val="0"/>
        <w:autoSpaceDE w:val="0"/>
        <w:autoSpaceDN w:val="0"/>
        <w:adjustRightInd w:val="0"/>
        <w:spacing w:before="120" w:line="260" w:lineRule="atLeast"/>
        <w:ind w:left="432" w:right="432"/>
        <w:jc w:val="center"/>
        <w:outlineLvl w:val="0"/>
        <w:rPr>
          <w:color w:val="000000" w:themeColor="text1"/>
          <w:lang w:eastAsia="ja-JP"/>
        </w:rPr>
      </w:pPr>
      <w:r w:rsidRPr="00CA2CEE">
        <w:rPr>
          <w:color w:val="000000" w:themeColor="text1"/>
          <w:lang w:eastAsia="ja-JP"/>
        </w:rPr>
        <w:br w:type="column"/>
      </w:r>
      <w:r w:rsidR="000E41CB" w:rsidRPr="00CA2CEE">
        <w:rPr>
          <w:noProof/>
          <w:color w:val="000000" w:themeColor="text1"/>
        </w:rPr>
        <w:lastRenderedPageBreak/>
        <w:drawing>
          <wp:inline distT="0" distB="0" distL="0" distR="0" wp14:anchorId="14F5931E" wp14:editId="41F65BA1">
            <wp:extent cx="5029200" cy="3496669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EMSA_P8oligos_v7jpw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496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42FC9" w14:textId="1FF7217F" w:rsidR="00E57E80" w:rsidRPr="00CA2CEE" w:rsidRDefault="00E57E80" w:rsidP="00E71174">
      <w:pPr>
        <w:spacing w:before="120" w:line="260" w:lineRule="atLeast"/>
        <w:ind w:left="432" w:right="432"/>
        <w:rPr>
          <w:rFonts w:ascii="Palatino Linotype" w:hAnsi="Palatino Linotype"/>
          <w:color w:val="000000" w:themeColor="text1"/>
          <w:sz w:val="18"/>
          <w:szCs w:val="18"/>
          <w:lang w:eastAsia="ja-JP"/>
        </w:rPr>
      </w:pP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>Figure S4. MotB binding to P8 oligonucleotides</w:t>
      </w:r>
      <w:r w:rsidR="00753244"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 xml:space="preserve"> of various lengths.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 xml:space="preserve"> 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(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 xml:space="preserve">a) 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Sequences of the top strand of the ds P8 oligonucleotides used in this study.  Representative EMSA gels for MotB</w:t>
      </w:r>
      <w:r w:rsidR="002541BF"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-His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binding to (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>b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) the 23 bp and (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>c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) the 20 bp P8 oligonucleotides are shown.  (EMSA gel for the 37 bp P8 oligonucleotide is in Figure 3a.)  DNA (1 </w:t>
      </w:r>
      <w:proofErr w:type="spellStart"/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nM</w:t>
      </w:r>
      <w:proofErr w:type="spellEnd"/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) was incubated with the indicated concentrations of MotB</w:t>
      </w:r>
      <w:r w:rsidR="002541BF"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-His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at 37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sym w:font="Symbol" w:char="F0B0"/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C for 10 min and then electrophoresed on a 12% native gel.  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The corresponding </w:t>
      </w:r>
      <w:proofErr w:type="spellStart"/>
      <w:r w:rsidRPr="00CA2CEE">
        <w:rPr>
          <w:rFonts w:ascii="Palatino Linotype" w:hAnsi="Palatino Linotype"/>
          <w:i/>
          <w:color w:val="000000" w:themeColor="text1"/>
          <w:sz w:val="18"/>
          <w:szCs w:val="18"/>
        </w:rPr>
        <w:t>K</w:t>
      </w:r>
      <w:r w:rsidRPr="00CA2CEE">
        <w:rPr>
          <w:rFonts w:ascii="Palatino Linotype" w:hAnsi="Palatino Linotype"/>
          <w:i/>
          <w:color w:val="000000" w:themeColor="text1"/>
          <w:sz w:val="18"/>
          <w:szCs w:val="18"/>
          <w:vertAlign w:val="subscript"/>
        </w:rPr>
        <w:t>d</w:t>
      </w:r>
      <w:proofErr w:type="spellEnd"/>
      <w:r w:rsidRPr="00CA2CEE">
        <w:rPr>
          <w:rFonts w:ascii="Palatino Linotype" w:hAnsi="Palatino Linotype"/>
          <w:i/>
          <w:color w:val="000000" w:themeColor="text1"/>
          <w:sz w:val="18"/>
          <w:szCs w:val="18"/>
          <w:vertAlign w:val="subscript"/>
        </w:rPr>
        <w:t>(app)</w:t>
      </w:r>
      <w:r w:rsidRPr="00CA2CEE">
        <w:rPr>
          <w:rFonts w:ascii="Palatino Linotype" w:hAnsi="Palatino Linotype"/>
          <w:color w:val="000000" w:themeColor="text1"/>
          <w:sz w:val="18"/>
          <w:szCs w:val="18"/>
          <w:vertAlign w:val="subscript"/>
        </w:rPr>
        <w:t xml:space="preserve"> 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>is shown below each gel.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 Three and two independent replicates were performed for the 23 bp and 20</w:t>
      </w:r>
      <w:r w:rsidR="00D128DD"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bp fragment</w:t>
      </w:r>
      <w:r w:rsidR="00D128DD"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s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, respectively.</w:t>
      </w:r>
    </w:p>
    <w:p w14:paraId="1EF9E44C" w14:textId="75B3C6A9" w:rsidR="00E57E80" w:rsidRPr="00CA2CEE" w:rsidRDefault="00E57E80" w:rsidP="000925E8">
      <w:pPr>
        <w:pStyle w:val="Heading2"/>
        <w:jc w:val="center"/>
        <w:rPr>
          <w:color w:val="000000" w:themeColor="text1"/>
          <w:lang w:eastAsia="ja-JP"/>
        </w:rPr>
      </w:pPr>
      <w:r w:rsidRPr="00CA2CEE">
        <w:rPr>
          <w:color w:val="000000" w:themeColor="text1"/>
          <w:lang w:eastAsia="ja-JP"/>
        </w:rPr>
        <w:br w:type="column"/>
      </w:r>
      <w:r w:rsidR="000925E8" w:rsidRPr="00CA2CEE">
        <w:rPr>
          <w:noProof/>
          <w:color w:val="000000" w:themeColor="text1"/>
        </w:rPr>
        <w:lastRenderedPageBreak/>
        <w:drawing>
          <wp:inline distT="0" distB="0" distL="0" distR="0" wp14:anchorId="0CD935E9" wp14:editId="0D5D24E6">
            <wp:extent cx="4572000" cy="2965803"/>
            <wp:effectExtent l="0" t="0" r="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otBam_PlaqueSize_v8jpw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965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80CE0" w14:textId="6D066EF6" w:rsidR="00E57E80" w:rsidRPr="00CA2CEE" w:rsidRDefault="00E57E80" w:rsidP="00E57E80">
      <w:pPr>
        <w:widowControl w:val="0"/>
        <w:autoSpaceDE w:val="0"/>
        <w:autoSpaceDN w:val="0"/>
        <w:adjustRightInd w:val="0"/>
        <w:spacing w:before="120" w:after="240"/>
        <w:ind w:left="432" w:right="432"/>
        <w:outlineLvl w:val="0"/>
        <w:rPr>
          <w:rFonts w:ascii="Palatino Linotype" w:hAnsi="Palatino Linotype"/>
          <w:color w:val="000000" w:themeColor="text1"/>
          <w:sz w:val="18"/>
          <w:szCs w:val="18"/>
          <w:lang w:eastAsia="ja-JP"/>
        </w:rPr>
      </w:pP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 xml:space="preserve">Figure S5. Effect of </w:t>
      </w:r>
      <w:r w:rsidR="0068564A"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heterologous production of MotB 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>on T4 plaque size.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 Low levels of MotB produced prior to infection increase T4 plaque size. </w:t>
      </w:r>
      <w:r w:rsidR="00753244"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BL21(DE3) containing either empty vector (pNW129, top panels) or expression vector (pNW129-MotB, bottom panels) was grown until early exponential phase and then induced with 0.1% (w/v) arabinose for 20 min prior to infection by T4 wt (left panels)</w:t>
      </w:r>
      <w:r w:rsidR="00B412E6"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, T4 </w:t>
      </w:r>
      <w:r w:rsidR="00B412E6" w:rsidRPr="00CA2CEE">
        <w:rPr>
          <w:rFonts w:ascii="Palatino Linotype" w:hAnsi="Palatino Linotype"/>
          <w:i/>
          <w:color w:val="000000" w:themeColor="text1"/>
          <w:sz w:val="18"/>
          <w:szCs w:val="18"/>
          <w:lang w:eastAsia="ja-JP"/>
        </w:rPr>
        <w:t>motB</w:t>
      </w:r>
      <w:r w:rsidR="00B412E6" w:rsidRPr="00CA2CEE">
        <w:rPr>
          <w:rFonts w:ascii="Palatino Linotype" w:hAnsi="Palatino Linotype"/>
          <w:i/>
          <w:color w:val="000000" w:themeColor="text1"/>
          <w:sz w:val="18"/>
          <w:szCs w:val="18"/>
          <w:vertAlign w:val="superscript"/>
          <w:lang w:eastAsia="ja-JP"/>
        </w:rPr>
        <w:t>am</w:t>
      </w:r>
      <w:r w:rsidR="00B412E6"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(center panels),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or T4 </w:t>
      </w:r>
      <w:r w:rsidRPr="00CA2CEE">
        <w:rPr>
          <w:rFonts w:ascii="Palatino Linotype" w:hAnsi="Palatino Linotype"/>
          <w:i/>
          <w:color w:val="000000" w:themeColor="text1"/>
          <w:sz w:val="18"/>
          <w:szCs w:val="18"/>
          <w:lang w:eastAsia="ja-JP"/>
        </w:rPr>
        <w:t>motA</w:t>
      </w:r>
      <w:r w:rsidRPr="00CA2CEE">
        <w:rPr>
          <w:rFonts w:ascii="Palatino Linotype" w:hAnsi="Palatino Linotype"/>
          <w:i/>
          <w:color w:val="000000" w:themeColor="text1"/>
          <w:sz w:val="18"/>
          <w:szCs w:val="18"/>
          <w:vertAlign w:val="superscript"/>
          <w:lang w:eastAsia="ja-JP"/>
        </w:rPr>
        <w:t>am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(right panels).  Images are representative of at least three independent replicates.</w:t>
      </w:r>
    </w:p>
    <w:p w14:paraId="76D2E256" w14:textId="77777777" w:rsidR="00E57E80" w:rsidRPr="00CA2CEE" w:rsidRDefault="00E57E80" w:rsidP="00E57E80">
      <w:pPr>
        <w:rPr>
          <w:color w:val="000000" w:themeColor="text1"/>
          <w:lang w:eastAsia="ja-JP"/>
        </w:rPr>
      </w:pPr>
      <w:r w:rsidRPr="00CA2CEE">
        <w:rPr>
          <w:color w:val="000000" w:themeColor="text1"/>
          <w:lang w:eastAsia="ja-JP"/>
        </w:rPr>
        <w:br w:type="column"/>
      </w:r>
    </w:p>
    <w:p w14:paraId="1341EBEA" w14:textId="6D0FD872" w:rsidR="00E57E80" w:rsidRPr="00CA2CEE" w:rsidRDefault="001500F6" w:rsidP="00E57E80">
      <w:pPr>
        <w:spacing w:line="480" w:lineRule="auto"/>
        <w:jc w:val="center"/>
        <w:rPr>
          <w:b/>
          <w:color w:val="000000" w:themeColor="text1"/>
          <w:highlight w:val="yellow"/>
          <w:lang w:eastAsia="ja-JP"/>
        </w:rPr>
      </w:pPr>
      <w:r w:rsidRPr="00CA2CEE">
        <w:rPr>
          <w:b/>
          <w:noProof/>
          <w:color w:val="000000" w:themeColor="text1"/>
        </w:rPr>
        <w:drawing>
          <wp:inline distT="0" distB="0" distL="0" distR="0" wp14:anchorId="13EF6D96" wp14:editId="680677B3">
            <wp:extent cx="4572000" cy="385187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5min_PrimerExtension_v8jpw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851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5CAD7" w14:textId="700F5DFB" w:rsidR="007A7AB6" w:rsidRPr="00CA2CEE" w:rsidRDefault="00E57E80" w:rsidP="00CA7AEA">
      <w:pPr>
        <w:spacing w:before="120" w:after="240" w:line="260" w:lineRule="atLeast"/>
        <w:ind w:left="432" w:right="432"/>
        <w:rPr>
          <w:rFonts w:ascii="Palatino Linotype" w:hAnsi="Palatino Linotype"/>
          <w:color w:val="000000" w:themeColor="text1"/>
          <w:sz w:val="18"/>
          <w:szCs w:val="18"/>
        </w:rPr>
      </w:pP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 xml:space="preserve">Figure S6. Primer extension products from selected T4 promoters in a T4 wt or a T4 </w:t>
      </w:r>
      <w:r w:rsidRPr="00CA2CEE">
        <w:rPr>
          <w:rFonts w:ascii="Palatino Linotype" w:hAnsi="Palatino Linotype"/>
          <w:b/>
          <w:i/>
          <w:color w:val="000000" w:themeColor="text1"/>
          <w:sz w:val="18"/>
          <w:szCs w:val="18"/>
          <w:lang w:eastAsia="ja-JP"/>
        </w:rPr>
        <w:t>motB</w:t>
      </w:r>
      <w:r w:rsidRPr="00CA2CEE">
        <w:rPr>
          <w:rFonts w:ascii="Palatino Linotype" w:hAnsi="Palatino Linotype"/>
          <w:b/>
          <w:i/>
          <w:color w:val="000000" w:themeColor="text1"/>
          <w:sz w:val="18"/>
          <w:szCs w:val="18"/>
          <w:vertAlign w:val="superscript"/>
          <w:lang w:eastAsia="ja-JP"/>
        </w:rPr>
        <w:t>am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 xml:space="preserve"> infection at</w:t>
      </w:r>
      <w:r w:rsidR="001500F6"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 xml:space="preserve"> 1 min and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 xml:space="preserve"> 5 min post-infection.  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Histograms show the level of primer extension product obtained from the indicated promoters using RNA from a 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T4 </w:t>
      </w:r>
      <w:r w:rsidRPr="00CA2CEE">
        <w:rPr>
          <w:rFonts w:ascii="Palatino Linotype" w:hAnsi="Palatino Linotype"/>
          <w:i/>
          <w:color w:val="000000" w:themeColor="text1"/>
          <w:sz w:val="18"/>
          <w:szCs w:val="18"/>
          <w:lang w:eastAsia="ja-JP"/>
        </w:rPr>
        <w:t>motB</w:t>
      </w:r>
      <w:r w:rsidRPr="00CA2CEE">
        <w:rPr>
          <w:rFonts w:ascii="Palatino Linotype" w:hAnsi="Palatino Linotype"/>
          <w:i/>
          <w:color w:val="000000" w:themeColor="text1"/>
          <w:sz w:val="18"/>
          <w:szCs w:val="18"/>
          <w:vertAlign w:val="superscript"/>
          <w:lang w:eastAsia="ja-JP"/>
        </w:rPr>
        <w:t>am</w:t>
      </w:r>
      <w:r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infection (open bar) relative to that from a T4 wt infection (black bar)</w:t>
      </w:r>
      <w:r w:rsidR="001500F6"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 xml:space="preserve"> at 1 min (</w:t>
      </w:r>
      <w:r w:rsidR="001500F6"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>a</w:t>
      </w:r>
      <w:r w:rsidR="001500F6"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) and 5 min (</w:t>
      </w:r>
      <w:r w:rsidR="001500F6"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>b</w:t>
      </w:r>
      <w:r w:rsidR="001500F6" w:rsidRPr="00CA2CEE">
        <w:rPr>
          <w:rFonts w:ascii="Palatino Linotype" w:hAnsi="Palatino Linotype"/>
          <w:color w:val="000000" w:themeColor="text1"/>
          <w:sz w:val="18"/>
          <w:szCs w:val="18"/>
          <w:lang w:eastAsia="ja-JP"/>
        </w:rPr>
        <w:t>) post-infection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; representative slices of DNA gels are shown below.  Primer extensions were repeated using 2 biological replicates.  The relative level of product for each replicate is shown as an open square (T4 </w:t>
      </w:r>
      <w:r w:rsidRPr="00CA2CEE">
        <w:rPr>
          <w:rFonts w:ascii="Palatino Linotype" w:hAnsi="Palatino Linotype"/>
          <w:i/>
          <w:color w:val="000000" w:themeColor="text1"/>
          <w:sz w:val="18"/>
          <w:szCs w:val="18"/>
        </w:rPr>
        <w:t>motB</w:t>
      </w:r>
      <w:r w:rsidRPr="00CA2CEE">
        <w:rPr>
          <w:rFonts w:ascii="Palatino Linotype" w:hAnsi="Palatino Linotype"/>
          <w:i/>
          <w:color w:val="000000" w:themeColor="text1"/>
          <w:sz w:val="18"/>
          <w:szCs w:val="18"/>
          <w:vertAlign w:val="superscript"/>
        </w:rPr>
        <w:t>am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).  The dotted line indicates the threshold for a 2-fold change in the level of RNA.  Primer extensions were also performed for </w:t>
      </w:r>
      <w:r w:rsidR="001500F6" w:rsidRPr="00CA2CEE">
        <w:rPr>
          <w:rFonts w:ascii="Palatino Linotype" w:hAnsi="Palatino Linotype"/>
          <w:color w:val="000000" w:themeColor="text1"/>
          <w:sz w:val="18"/>
          <w:szCs w:val="18"/>
        </w:rPr>
        <w:t>Pm</w:t>
      </w:r>
      <w:r w:rsidR="001500F6" w:rsidRPr="00CA2CEE">
        <w:rPr>
          <w:rFonts w:ascii="Palatino Linotype" w:hAnsi="Palatino Linotype"/>
          <w:i/>
          <w:color w:val="000000" w:themeColor="text1"/>
          <w:sz w:val="18"/>
          <w:szCs w:val="18"/>
          <w:vertAlign w:val="subscript"/>
        </w:rPr>
        <w:t>46</w:t>
      </w:r>
      <w:r w:rsidR="001500F6"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, </w:t>
      </w:r>
      <w:proofErr w:type="spellStart"/>
      <w:r w:rsidR="001500F6" w:rsidRPr="00CA2CEE">
        <w:rPr>
          <w:rFonts w:ascii="Palatino Linotype" w:hAnsi="Palatino Linotype"/>
          <w:color w:val="000000" w:themeColor="text1"/>
          <w:sz w:val="18"/>
          <w:szCs w:val="18"/>
        </w:rPr>
        <w:t>Pm</w:t>
      </w:r>
      <w:r w:rsidR="001500F6" w:rsidRPr="00CA2CEE">
        <w:rPr>
          <w:rFonts w:ascii="Palatino Linotype" w:hAnsi="Palatino Linotype"/>
          <w:i/>
          <w:color w:val="000000" w:themeColor="text1"/>
          <w:sz w:val="18"/>
          <w:szCs w:val="18"/>
          <w:vertAlign w:val="subscript"/>
        </w:rPr>
        <w:t>dsbA</w:t>
      </w:r>
      <w:proofErr w:type="spellEnd"/>
      <w:r w:rsidR="001500F6" w:rsidRPr="00CA2CEE">
        <w:rPr>
          <w:rFonts w:ascii="Palatino Linotype" w:hAnsi="Palatino Linotype"/>
          <w:color w:val="000000" w:themeColor="text1"/>
          <w:sz w:val="18"/>
          <w:szCs w:val="18"/>
        </w:rPr>
        <w:t>, and Pm</w:t>
      </w:r>
      <w:r w:rsidR="001500F6" w:rsidRPr="00CA2CEE">
        <w:rPr>
          <w:rFonts w:ascii="Palatino Linotype" w:hAnsi="Palatino Linotype"/>
          <w:i/>
          <w:color w:val="000000" w:themeColor="text1"/>
          <w:sz w:val="18"/>
          <w:szCs w:val="18"/>
          <w:vertAlign w:val="subscript"/>
        </w:rPr>
        <w:t>55</w:t>
      </w:r>
      <w:r w:rsidR="001500F6"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 at 1 min post-infection and Pe</w:t>
      </w:r>
      <w:r w:rsidR="001500F6" w:rsidRPr="00CA2CEE">
        <w:rPr>
          <w:rFonts w:ascii="Palatino Linotype" w:hAnsi="Palatino Linotype"/>
          <w:color w:val="000000" w:themeColor="text1"/>
          <w:sz w:val="18"/>
          <w:szCs w:val="18"/>
          <w:vertAlign w:val="subscript"/>
        </w:rPr>
        <w:t>72.6</w:t>
      </w:r>
      <w:r w:rsidR="001500F6" w:rsidRPr="00CA2CEE">
        <w:rPr>
          <w:rFonts w:ascii="Palatino Linotype" w:hAnsi="Palatino Linotype"/>
          <w:color w:val="000000" w:themeColor="text1"/>
          <w:sz w:val="18"/>
          <w:szCs w:val="18"/>
        </w:rPr>
        <w:t>, Pe</w:t>
      </w:r>
      <w:r w:rsidR="001500F6" w:rsidRPr="00CA2CEE">
        <w:rPr>
          <w:rFonts w:ascii="Palatino Linotype" w:hAnsi="Palatino Linotype"/>
          <w:color w:val="000000" w:themeColor="text1"/>
          <w:sz w:val="18"/>
          <w:szCs w:val="18"/>
          <w:vertAlign w:val="subscript"/>
        </w:rPr>
        <w:t>73</w:t>
      </w:r>
      <w:r w:rsidR="001500F6"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, 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>Pl</w:t>
      </w:r>
      <w:r w:rsidRPr="00CA2CEE">
        <w:rPr>
          <w:rFonts w:ascii="Palatino Linotype" w:hAnsi="Palatino Linotype"/>
          <w:i/>
          <w:color w:val="000000" w:themeColor="text1"/>
          <w:sz w:val="18"/>
          <w:szCs w:val="18"/>
          <w:vertAlign w:val="subscript"/>
        </w:rPr>
        <w:t>8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>, Pl</w:t>
      </w:r>
      <w:r w:rsidRPr="00CA2CEE">
        <w:rPr>
          <w:rFonts w:ascii="Palatino Linotype" w:hAnsi="Palatino Linotype"/>
          <w:i/>
          <w:color w:val="000000" w:themeColor="text1"/>
          <w:sz w:val="18"/>
          <w:szCs w:val="18"/>
          <w:vertAlign w:val="subscript"/>
        </w:rPr>
        <w:t>20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>,</w:t>
      </w:r>
      <w:r w:rsidR="001500F6" w:rsidRPr="00CA2CEE">
        <w:rPr>
          <w:rFonts w:ascii="Palatino Linotype" w:hAnsi="Palatino Linotype"/>
          <w:color w:val="000000" w:themeColor="text1"/>
          <w:sz w:val="18"/>
          <w:szCs w:val="18"/>
          <w:vertAlign w:val="superscript"/>
        </w:rPr>
        <w:t xml:space="preserve"> 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>and Pl</w:t>
      </w:r>
      <w:r w:rsidRPr="00CA2CEE">
        <w:rPr>
          <w:rFonts w:ascii="Palatino Linotype" w:hAnsi="Palatino Linotype"/>
          <w:i/>
          <w:color w:val="000000" w:themeColor="text1"/>
          <w:sz w:val="18"/>
          <w:szCs w:val="18"/>
          <w:vertAlign w:val="subscript"/>
        </w:rPr>
        <w:t>51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 at 5 min post-infection</w:t>
      </w:r>
      <w:r w:rsidR="001500F6" w:rsidRPr="00CA2CEE">
        <w:rPr>
          <w:rFonts w:ascii="Palatino Linotype" w:hAnsi="Palatino Linotype"/>
          <w:color w:val="000000" w:themeColor="text1"/>
          <w:sz w:val="18"/>
          <w:szCs w:val="18"/>
          <w:vertAlign w:val="subscript"/>
        </w:rPr>
        <w:t xml:space="preserve">, </w:t>
      </w:r>
      <w:r w:rsidR="001500F6" w:rsidRPr="00CA2CEE">
        <w:rPr>
          <w:rFonts w:ascii="Palatino Linotype" w:hAnsi="Palatino Linotype"/>
          <w:color w:val="000000" w:themeColor="text1"/>
          <w:sz w:val="18"/>
          <w:szCs w:val="18"/>
        </w:rPr>
        <w:t>h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>owever, the signal was too low to quantify accurately.</w:t>
      </w:r>
      <w:r w:rsidR="001500F6"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 </w:t>
      </w:r>
    </w:p>
    <w:p w14:paraId="17402EFB" w14:textId="698F1A70" w:rsidR="007A7AB6" w:rsidRPr="00CA2CEE" w:rsidRDefault="007A7AB6" w:rsidP="00CA7AEA">
      <w:pPr>
        <w:spacing w:before="120" w:after="240" w:line="260" w:lineRule="atLeast"/>
        <w:ind w:left="432" w:right="432"/>
        <w:rPr>
          <w:rFonts w:ascii="Palatino Linotype" w:hAnsi="Palatino Linotype"/>
          <w:color w:val="000000" w:themeColor="text1"/>
          <w:sz w:val="18"/>
          <w:szCs w:val="18"/>
        </w:rPr>
      </w:pPr>
      <w:r w:rsidRPr="00CA2CEE">
        <w:rPr>
          <w:rFonts w:ascii="Palatino Linotype" w:hAnsi="Palatino Linotype"/>
          <w:color w:val="000000" w:themeColor="text1"/>
          <w:sz w:val="18"/>
          <w:szCs w:val="18"/>
        </w:rPr>
        <w:br w:type="column"/>
      </w:r>
      <w:r w:rsidR="004D6891" w:rsidRPr="00CA2CEE">
        <w:rPr>
          <w:rFonts w:ascii="Palatino Linotype" w:hAnsi="Palatino Linotype"/>
          <w:noProof/>
          <w:color w:val="000000" w:themeColor="text1"/>
          <w:sz w:val="18"/>
          <w:szCs w:val="18"/>
        </w:rPr>
        <w:lastRenderedPageBreak/>
        <w:drawing>
          <wp:inline distT="0" distB="0" distL="0" distR="0" wp14:anchorId="31F62E9A" wp14:editId="03B5CA2D">
            <wp:extent cx="5029200" cy="3512024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rimerExtension_region_v3jpw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51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45D03" w14:textId="37DCB9AB" w:rsidR="007A7AB6" w:rsidRPr="00CA2CEE" w:rsidRDefault="007A7AB6" w:rsidP="00A54D5E">
      <w:pPr>
        <w:spacing w:before="120" w:after="240" w:line="260" w:lineRule="atLeast"/>
        <w:ind w:left="432" w:right="432"/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</w:pPr>
      <w:r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>Figure S7.</w:t>
      </w:r>
      <w:r w:rsidR="00A54D5E" w:rsidRPr="00CA2CEE">
        <w:rPr>
          <w:rFonts w:ascii="Palatino Linotype" w:hAnsi="Palatino Linotype"/>
          <w:b/>
          <w:color w:val="000000" w:themeColor="text1"/>
          <w:sz w:val="18"/>
          <w:szCs w:val="18"/>
          <w:lang w:eastAsia="ja-JP"/>
        </w:rPr>
        <w:t xml:space="preserve"> </w:t>
      </w:r>
      <w:r w:rsidR="00BF563E" w:rsidRPr="00CA2CEE">
        <w:rPr>
          <w:rFonts w:ascii="Palatino Linotype" w:hAnsi="Palatino Linotype"/>
          <w:b/>
          <w:color w:val="000000" w:themeColor="text1"/>
          <w:sz w:val="18"/>
          <w:szCs w:val="18"/>
        </w:rPr>
        <w:t>Transcripts in early, middle, and late regions are similar in T4 wt (+) or T4</w:t>
      </w:r>
      <w:r w:rsidR="003702B7" w:rsidRPr="00CA2CEE">
        <w:rPr>
          <w:rFonts w:ascii="Palatino Linotype" w:hAnsi="Palatino Linotype"/>
          <w:b/>
          <w:color w:val="000000" w:themeColor="text1"/>
          <w:sz w:val="18"/>
          <w:szCs w:val="18"/>
        </w:rPr>
        <w:t xml:space="preserve"> </w:t>
      </w:r>
      <w:r w:rsidR="00BF563E" w:rsidRPr="00CA2CEE">
        <w:rPr>
          <w:rFonts w:ascii="Palatino Linotype" w:hAnsi="Palatino Linotype"/>
          <w:b/>
          <w:i/>
          <w:color w:val="000000" w:themeColor="text1"/>
          <w:sz w:val="18"/>
          <w:szCs w:val="18"/>
        </w:rPr>
        <w:t>motB</w:t>
      </w:r>
      <w:r w:rsidR="00BF563E" w:rsidRPr="00CA2CEE">
        <w:rPr>
          <w:rFonts w:ascii="Palatino Linotype" w:hAnsi="Palatino Linotype"/>
          <w:b/>
          <w:i/>
          <w:color w:val="000000" w:themeColor="text1"/>
          <w:sz w:val="18"/>
          <w:szCs w:val="18"/>
          <w:vertAlign w:val="superscript"/>
        </w:rPr>
        <w:t>am</w:t>
      </w:r>
      <w:r w:rsidR="00BF563E" w:rsidRPr="00CA2CEE">
        <w:rPr>
          <w:rFonts w:ascii="Palatino Linotype" w:hAnsi="Palatino Linotype"/>
          <w:b/>
          <w:color w:val="000000" w:themeColor="text1"/>
          <w:sz w:val="18"/>
          <w:szCs w:val="18"/>
        </w:rPr>
        <w:t xml:space="preserve"> (</w:t>
      </w:r>
      <w:r w:rsidR="00BF563E" w:rsidRPr="00CA2CEE">
        <w:rPr>
          <w:rFonts w:ascii="Palatino Linotype" w:hAnsi="Palatino Linotype"/>
          <w:b/>
          <w:i/>
          <w:color w:val="000000" w:themeColor="text1"/>
          <w:sz w:val="18"/>
          <w:szCs w:val="18"/>
        </w:rPr>
        <w:t>am</w:t>
      </w:r>
      <w:r w:rsidR="00BF563E" w:rsidRPr="00CA2CEE">
        <w:rPr>
          <w:rFonts w:ascii="Palatino Linotype" w:hAnsi="Palatino Linotype"/>
          <w:b/>
          <w:color w:val="000000" w:themeColor="text1"/>
          <w:sz w:val="18"/>
          <w:szCs w:val="18"/>
        </w:rPr>
        <w:t>) infections</w:t>
      </w:r>
      <w:r w:rsidR="00BF563E" w:rsidRPr="00CA2CEE">
        <w:rPr>
          <w:rFonts w:ascii="Palatino Linotype" w:hAnsi="Palatino Linotype"/>
          <w:b/>
          <w:i/>
          <w:color w:val="000000" w:themeColor="text1"/>
          <w:sz w:val="18"/>
          <w:szCs w:val="18"/>
        </w:rPr>
        <w:t xml:space="preserve"> </w:t>
      </w:r>
      <w:r w:rsidR="00BF563E" w:rsidRPr="00CA2CEE">
        <w:rPr>
          <w:rFonts w:ascii="Palatino Linotype" w:hAnsi="Palatino Linotype"/>
          <w:b/>
          <w:color w:val="000000" w:themeColor="text1"/>
          <w:sz w:val="18"/>
          <w:szCs w:val="18"/>
        </w:rPr>
        <w:t>of NapIV NS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</w:rPr>
        <w:t>.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  <w:vertAlign w:val="superscript"/>
        </w:rPr>
        <w:t xml:space="preserve"> 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</w:rPr>
        <w:t xml:space="preserve"> 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>Representative gels show primer extension products from primers in</w:t>
      </w:r>
      <w:r w:rsidR="00A54D5E"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 the early gene </w:t>
      </w:r>
      <w:r w:rsidR="00A54D5E" w:rsidRPr="00CA2CEE">
        <w:rPr>
          <w:rFonts w:ascii="Palatino Linotype" w:hAnsi="Palatino Linotype"/>
          <w:i/>
          <w:color w:val="000000" w:themeColor="text1"/>
          <w:sz w:val="18"/>
          <w:szCs w:val="18"/>
        </w:rPr>
        <w:t>tRNA.4</w:t>
      </w:r>
      <w:r w:rsidR="00A54D5E"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 at 1 minute (</w:t>
      </w:r>
      <w:r w:rsidR="00A54D5E" w:rsidRPr="00CA2CEE">
        <w:rPr>
          <w:rFonts w:ascii="Palatino Linotype" w:hAnsi="Palatino Linotype"/>
          <w:b/>
          <w:color w:val="000000" w:themeColor="text1"/>
          <w:sz w:val="18"/>
          <w:szCs w:val="18"/>
        </w:rPr>
        <w:t>a</w:t>
      </w:r>
      <w:r w:rsidR="00A54D5E" w:rsidRPr="00CA2CEE">
        <w:rPr>
          <w:rFonts w:ascii="Palatino Linotype" w:hAnsi="Palatino Linotype"/>
          <w:color w:val="000000" w:themeColor="text1"/>
          <w:sz w:val="18"/>
          <w:szCs w:val="18"/>
        </w:rPr>
        <w:t>), middle gene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 </w:t>
      </w:r>
      <w:r w:rsidRPr="00CA2CEE">
        <w:rPr>
          <w:rFonts w:ascii="Palatino Linotype" w:hAnsi="Palatino Linotype"/>
          <w:i/>
          <w:color w:val="000000" w:themeColor="text1"/>
          <w:sz w:val="18"/>
          <w:szCs w:val="18"/>
        </w:rPr>
        <w:t>46</w:t>
      </w:r>
      <w:r w:rsidR="00A54D5E"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 at 5 minutes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 (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</w:rPr>
        <w:t>b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) and </w:t>
      </w:r>
      <w:r w:rsidR="00A54D5E"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late 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>gene 55</w:t>
      </w:r>
      <w:r w:rsidR="00A54D5E"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 at 10 minutes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 (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</w:rPr>
        <w:t>d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>)</w:t>
      </w:r>
      <w:r w:rsidR="00A54D5E"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 post-infection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. </w:t>
      </w:r>
      <w:r w:rsidR="00591E14"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Primer extensions were repeated using 2 biological replicates. 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Above each gel is </w:t>
      </w:r>
      <w:r w:rsidR="004D6891" w:rsidRPr="00CA2CEE">
        <w:rPr>
          <w:rFonts w:ascii="Palatino Linotype" w:hAnsi="Palatino Linotype"/>
          <w:color w:val="000000" w:themeColor="text1"/>
          <w:sz w:val="18"/>
          <w:szCs w:val="18"/>
        </w:rPr>
        <w:t>a schematic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 of the T4 genomic map from </w:t>
      </w:r>
      <w:r w:rsidR="003702B7"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map units </w:t>
      </w:r>
      <w:r w:rsidR="006E1B5C"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73,329-73,903 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>(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</w:rPr>
        <w:t>a</w:t>
      </w:r>
      <w:r w:rsidR="004D6891"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), </w:t>
      </w:r>
      <w:r w:rsidR="006E1B5C"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33,302-36,576 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>(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</w:rPr>
        <w:t>b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>), and</w:t>
      </w:r>
      <w:r w:rsidR="006E1B5C"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 103,023-104,095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 (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</w:rPr>
        <w:t>c</w:t>
      </w:r>
      <w:r w:rsidR="00A54D5E"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) 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showing previously identified promoters and relevant transcripts with lengths </w:t>
      </w:r>
      <w:r w:rsidR="003702B7" w:rsidRPr="00CA2CEE">
        <w:rPr>
          <w:rFonts w:ascii="Palatino Linotype" w:hAnsi="Palatino Linotype"/>
          <w:color w:val="000000" w:themeColor="text1"/>
          <w:sz w:val="18"/>
          <w:szCs w:val="18"/>
        </w:rPr>
        <w:t>of predicted primer extension products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.  </w:t>
      </w:r>
    </w:p>
    <w:p w14:paraId="71B48AA0" w14:textId="1B636ED0" w:rsidR="00872BE8" w:rsidRPr="00CA2CEE" w:rsidRDefault="00E57E80" w:rsidP="00CA7AEA">
      <w:pPr>
        <w:spacing w:before="240" w:after="120" w:line="260" w:lineRule="atLeast"/>
        <w:ind w:left="432" w:right="432"/>
        <w:rPr>
          <w:rFonts w:ascii="Palatino Linotype" w:hAnsi="Palatino Linotype"/>
          <w:color w:val="000000" w:themeColor="text1"/>
          <w:sz w:val="18"/>
          <w:szCs w:val="18"/>
        </w:rPr>
      </w:pPr>
      <w:r w:rsidRPr="00CA2CEE">
        <w:rPr>
          <w:b/>
          <w:color w:val="000000" w:themeColor="text1"/>
          <w:lang w:eastAsia="ja-JP"/>
        </w:rPr>
        <w:br w:type="page"/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</w:rPr>
        <w:lastRenderedPageBreak/>
        <w:t>Table S1.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 </w:t>
      </w:r>
      <w:r w:rsidRPr="00CA2CEE">
        <w:rPr>
          <w:rFonts w:ascii="Palatino Linotype" w:hAnsi="Palatino Linotype"/>
          <w:b/>
          <w:color w:val="000000" w:themeColor="text1"/>
          <w:sz w:val="18"/>
          <w:szCs w:val="18"/>
        </w:rPr>
        <w:t>Summary of all RNA-seq and RT-qPCR data.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  Genes with no significant change in expression are in white, whereas genes that had a ≥ 2-fold decrease in expression with a </w:t>
      </w:r>
      <w:r w:rsidRPr="00CA2CEE">
        <w:rPr>
          <w:rFonts w:ascii="Palatino Linotype" w:hAnsi="Palatino Linotype"/>
          <w:i/>
          <w:color w:val="000000" w:themeColor="text1"/>
          <w:sz w:val="18"/>
          <w:szCs w:val="18"/>
        </w:rPr>
        <w:t>p</w:t>
      </w:r>
      <w:r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 value ≤ 0.05 are in green.  Values for genes whose changes in gene expression were verified by RT-qPCR are given.  Fold changes that were not consistent between RNA-seq and RT-qPCR are given in red.</w:t>
      </w:r>
      <w:r w:rsidR="002541BF" w:rsidRPr="00CA2CEE">
        <w:rPr>
          <w:rFonts w:ascii="Palatino Linotype" w:hAnsi="Palatino Linotype"/>
          <w:color w:val="000000" w:themeColor="text1"/>
          <w:sz w:val="18"/>
          <w:szCs w:val="18"/>
        </w:rPr>
        <w:t xml:space="preserve"> (excel file)</w:t>
      </w:r>
    </w:p>
    <w:sectPr w:rsidR="00872BE8" w:rsidRPr="00CA2CEE" w:rsidSect="00181401">
      <w:headerReference w:type="even" r:id="rId13"/>
      <w:headerReference w:type="default" r:id="rId14"/>
      <w:footerReference w:type="default" r:id="rId15"/>
      <w:headerReference w:type="first" r:id="rId16"/>
      <w:footerReference w:type="first" r:id="rId17"/>
      <w:pgSz w:w="11906" w:h="16838" w:code="9"/>
      <w:pgMar w:top="1417" w:right="1531" w:bottom="1077" w:left="1531" w:header="1020" w:footer="850" w:gutter="0"/>
      <w:lnNumType w:countBy="1" w:restart="continuous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096C6CC" w14:textId="77777777" w:rsidR="007C4D10" w:rsidRDefault="007C4D10" w:rsidP="00E57E80">
      <w:r>
        <w:separator/>
      </w:r>
    </w:p>
  </w:endnote>
  <w:endnote w:type="continuationSeparator" w:id="0">
    <w:p w14:paraId="0B321EEC" w14:textId="77777777" w:rsidR="007C4D10" w:rsidRDefault="007C4D10" w:rsidP="00E57E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00002A87" w:usb1="80000000" w:usb2="00000008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9F782A" w14:textId="77777777" w:rsidR="009D46D9" w:rsidRPr="00CF0CC9" w:rsidRDefault="007C4D10" w:rsidP="00627F2D">
    <w:pPr>
      <w:pStyle w:val="Footer"/>
      <w:spacing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A4A1AD" w14:textId="77777777" w:rsidR="009D46D9" w:rsidRPr="00372FCD" w:rsidRDefault="007C4D10" w:rsidP="00627F2D">
    <w:pPr>
      <w:tabs>
        <w:tab w:val="right" w:pos="8844"/>
      </w:tabs>
      <w:adjustRightInd w:val="0"/>
      <w:snapToGrid w:val="0"/>
      <w:spacing w:before="120"/>
      <w:rPr>
        <w:rFonts w:ascii="Palatino Linotype" w:hAnsi="Palatino Linotype"/>
        <w:sz w:val="16"/>
        <w:szCs w:val="16"/>
        <w:lang w:val="fr-CH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0475809" w14:textId="77777777" w:rsidR="007C4D10" w:rsidRDefault="007C4D10" w:rsidP="00E57E80">
      <w:r>
        <w:separator/>
      </w:r>
    </w:p>
  </w:footnote>
  <w:footnote w:type="continuationSeparator" w:id="0">
    <w:p w14:paraId="3371E941" w14:textId="77777777" w:rsidR="007C4D10" w:rsidRDefault="007C4D10" w:rsidP="00E57E8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37D19A" w14:textId="77777777" w:rsidR="009D46D9" w:rsidRDefault="007C4D10" w:rsidP="00627F2D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70FEB0" w14:textId="77777777" w:rsidR="009D46D9" w:rsidRPr="00EE746E" w:rsidRDefault="00145293" w:rsidP="00627F2D">
    <w:pPr>
      <w:tabs>
        <w:tab w:val="right" w:pos="8844"/>
      </w:tabs>
      <w:adjustRightInd w:val="0"/>
      <w:snapToGrid w:val="0"/>
      <w:spacing w:after="240"/>
      <w:rPr>
        <w:rFonts w:ascii="Palatino Linotype" w:hAnsi="Palatino Linotype"/>
        <w:sz w:val="16"/>
      </w:rPr>
    </w:pPr>
    <w:r>
      <w:rPr>
        <w:rFonts w:ascii="Palatino Linotype" w:hAnsi="Palatino Linotype"/>
        <w:sz w:val="16"/>
      </w:rPr>
      <w:tab/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PAGE  </w:instrText>
    </w:r>
    <w:r>
      <w:rPr>
        <w:rFonts w:ascii="Palatino Linotype" w:hAnsi="Palatino Linotype"/>
        <w:sz w:val="16"/>
      </w:rPr>
      <w:fldChar w:fldCharType="separate"/>
    </w:r>
    <w:r w:rsidR="00E3695E">
      <w:rPr>
        <w:rFonts w:ascii="Palatino Linotype" w:hAnsi="Palatino Linotype"/>
        <w:noProof/>
        <w:sz w:val="16"/>
      </w:rPr>
      <w:t>6</w:t>
    </w:r>
    <w:r>
      <w:rPr>
        <w:rFonts w:ascii="Palatino Linotype" w:hAnsi="Palatino Linotype"/>
        <w:sz w:val="16"/>
      </w:rPr>
      <w:fldChar w:fldCharType="end"/>
    </w:r>
    <w:r>
      <w:rPr>
        <w:rFonts w:ascii="Palatino Linotype" w:hAnsi="Palatino Linotype"/>
        <w:sz w:val="16"/>
      </w:rPr>
      <w:t xml:space="preserve"> of </w:t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NUMPAGES  </w:instrText>
    </w:r>
    <w:r>
      <w:rPr>
        <w:rFonts w:ascii="Palatino Linotype" w:hAnsi="Palatino Linotype"/>
        <w:sz w:val="16"/>
      </w:rPr>
      <w:fldChar w:fldCharType="separate"/>
    </w:r>
    <w:r w:rsidR="00E3695E">
      <w:rPr>
        <w:rFonts w:ascii="Palatino Linotype" w:hAnsi="Palatino Linotype"/>
        <w:noProof/>
        <w:sz w:val="16"/>
      </w:rPr>
      <w:t>8</w:t>
    </w:r>
    <w:r>
      <w:rPr>
        <w:rFonts w:ascii="Palatino Linotype" w:hAnsi="Palatino Linotype"/>
        <w:sz w:val="16"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E58785" w14:textId="77777777" w:rsidR="009D46D9" w:rsidRDefault="00145293" w:rsidP="00627F2D">
    <w:pPr>
      <w:pStyle w:val="MDPIheaderjournallogo"/>
    </w:pPr>
    <w:r>
      <w:rPr>
        <w:noProof/>
        <w:lang w:eastAsia="en-US"/>
      </w:rPr>
      <mc:AlternateContent>
        <mc:Choice Requires="wps">
          <w:drawing>
            <wp:anchor distT="45720" distB="45720" distL="114300" distR="114300" simplePos="0" relativeHeight="251659264" behindDoc="1" locked="0" layoutInCell="1" allowOverlap="1" wp14:anchorId="6D5DA577" wp14:editId="3CA1A59E">
              <wp:simplePos x="0" y="0"/>
              <wp:positionH relativeFrom="page">
                <wp:posOffset>6029960</wp:posOffset>
              </wp:positionH>
              <wp:positionV relativeFrom="page">
                <wp:posOffset>647700</wp:posOffset>
              </wp:positionV>
              <wp:extent cx="123825" cy="709295"/>
              <wp:effectExtent l="0" t="0" r="0" b="0"/>
              <wp:wrapNone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123825" cy="709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05B71A5" w14:textId="77777777" w:rsidR="009D46D9" w:rsidRDefault="007C4D10" w:rsidP="00E57E80">
                          <w:pPr>
                            <w:pStyle w:val="MDPIheaderjournallogo"/>
                            <w:rPr>
                              <w:i w:val="0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non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mo="http://schemas.microsoft.com/office/mac/office/2008/main" xmlns:mv="urn:schemas-microsoft-com:mac:vml">
          <w:pict>
            <v:shapetype w14:anchorId="16F0A669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474.8pt;margin-top:51pt;width:43.5pt;height:55.85pt;z-index:-251657216;visibility:visible;mso-wrap-style:non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" stroked="f">
              <v:textbox inset="0,0,0,0">
                <w:txbxContent>
                  <w:p w:rsidR="009D46D9" w:rsidRDefault="00145293" w:rsidP="00E57E80">
                    <w:pPr>
                      <w:pStyle w:val="MDPIheaderjournallogo"/>
                      <w:rPr>
                        <w:i w:val="0"/>
                        <w:szCs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1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0718"/>
    <w:rsid w:val="000229E9"/>
    <w:rsid w:val="00027A73"/>
    <w:rsid w:val="00046E57"/>
    <w:rsid w:val="0006363F"/>
    <w:rsid w:val="000925E8"/>
    <w:rsid w:val="00097C8D"/>
    <w:rsid w:val="000B0EDE"/>
    <w:rsid w:val="000D065C"/>
    <w:rsid w:val="000E0ACE"/>
    <w:rsid w:val="000E41CB"/>
    <w:rsid w:val="00110978"/>
    <w:rsid w:val="00144340"/>
    <w:rsid w:val="00145293"/>
    <w:rsid w:val="001500F6"/>
    <w:rsid w:val="00196ABF"/>
    <w:rsid w:val="001C616B"/>
    <w:rsid w:val="001E0491"/>
    <w:rsid w:val="001E312D"/>
    <w:rsid w:val="001E3447"/>
    <w:rsid w:val="00246DF3"/>
    <w:rsid w:val="002541BF"/>
    <w:rsid w:val="002718FD"/>
    <w:rsid w:val="00297B1B"/>
    <w:rsid w:val="002B0B5F"/>
    <w:rsid w:val="002C303B"/>
    <w:rsid w:val="002E6586"/>
    <w:rsid w:val="00337D72"/>
    <w:rsid w:val="003662E5"/>
    <w:rsid w:val="003702B7"/>
    <w:rsid w:val="003815E9"/>
    <w:rsid w:val="003B5CC8"/>
    <w:rsid w:val="003B6648"/>
    <w:rsid w:val="003C5A4D"/>
    <w:rsid w:val="003C68F6"/>
    <w:rsid w:val="003E5357"/>
    <w:rsid w:val="004012B4"/>
    <w:rsid w:val="00454F1C"/>
    <w:rsid w:val="004733E7"/>
    <w:rsid w:val="00487815"/>
    <w:rsid w:val="00495588"/>
    <w:rsid w:val="004A5963"/>
    <w:rsid w:val="004C5591"/>
    <w:rsid w:val="004D6891"/>
    <w:rsid w:val="004F74EC"/>
    <w:rsid w:val="00525346"/>
    <w:rsid w:val="005401ED"/>
    <w:rsid w:val="005410BF"/>
    <w:rsid w:val="0055611B"/>
    <w:rsid w:val="0057214F"/>
    <w:rsid w:val="00591E14"/>
    <w:rsid w:val="00592155"/>
    <w:rsid w:val="006153FE"/>
    <w:rsid w:val="00632917"/>
    <w:rsid w:val="0068030C"/>
    <w:rsid w:val="0068564A"/>
    <w:rsid w:val="00690087"/>
    <w:rsid w:val="006A6FF7"/>
    <w:rsid w:val="006B4B3A"/>
    <w:rsid w:val="006C6169"/>
    <w:rsid w:val="006E1B5C"/>
    <w:rsid w:val="006E4459"/>
    <w:rsid w:val="00753244"/>
    <w:rsid w:val="007611CE"/>
    <w:rsid w:val="00764059"/>
    <w:rsid w:val="0079093C"/>
    <w:rsid w:val="007A7AB6"/>
    <w:rsid w:val="007C0A57"/>
    <w:rsid w:val="007C4D10"/>
    <w:rsid w:val="007E76F3"/>
    <w:rsid w:val="0080381E"/>
    <w:rsid w:val="008148B3"/>
    <w:rsid w:val="00820718"/>
    <w:rsid w:val="008240A4"/>
    <w:rsid w:val="00827760"/>
    <w:rsid w:val="00840E98"/>
    <w:rsid w:val="00855537"/>
    <w:rsid w:val="00867044"/>
    <w:rsid w:val="008745A7"/>
    <w:rsid w:val="0088378B"/>
    <w:rsid w:val="0090394C"/>
    <w:rsid w:val="0095348A"/>
    <w:rsid w:val="00984F9F"/>
    <w:rsid w:val="009A44F3"/>
    <w:rsid w:val="009B146E"/>
    <w:rsid w:val="009E65CD"/>
    <w:rsid w:val="00A1176C"/>
    <w:rsid w:val="00A14554"/>
    <w:rsid w:val="00A31378"/>
    <w:rsid w:val="00A46202"/>
    <w:rsid w:val="00A54D5E"/>
    <w:rsid w:val="00A550BC"/>
    <w:rsid w:val="00A6660D"/>
    <w:rsid w:val="00A80C1E"/>
    <w:rsid w:val="00AA57D8"/>
    <w:rsid w:val="00AD304F"/>
    <w:rsid w:val="00AE4430"/>
    <w:rsid w:val="00AE5F75"/>
    <w:rsid w:val="00AE63F9"/>
    <w:rsid w:val="00B138EE"/>
    <w:rsid w:val="00B379CF"/>
    <w:rsid w:val="00B412E6"/>
    <w:rsid w:val="00B54E5E"/>
    <w:rsid w:val="00B80627"/>
    <w:rsid w:val="00BB3B05"/>
    <w:rsid w:val="00BC170C"/>
    <w:rsid w:val="00BC754D"/>
    <w:rsid w:val="00BE1119"/>
    <w:rsid w:val="00BE6F19"/>
    <w:rsid w:val="00BF563E"/>
    <w:rsid w:val="00C4753C"/>
    <w:rsid w:val="00CA2CEE"/>
    <w:rsid w:val="00CA7AEA"/>
    <w:rsid w:val="00CD1487"/>
    <w:rsid w:val="00CF03BE"/>
    <w:rsid w:val="00D0558B"/>
    <w:rsid w:val="00D128DD"/>
    <w:rsid w:val="00D14641"/>
    <w:rsid w:val="00D75C4D"/>
    <w:rsid w:val="00D91AD2"/>
    <w:rsid w:val="00D96215"/>
    <w:rsid w:val="00DD281B"/>
    <w:rsid w:val="00DE7747"/>
    <w:rsid w:val="00E16A2C"/>
    <w:rsid w:val="00E23423"/>
    <w:rsid w:val="00E365D9"/>
    <w:rsid w:val="00E3695E"/>
    <w:rsid w:val="00E57E80"/>
    <w:rsid w:val="00E71174"/>
    <w:rsid w:val="00E876F0"/>
    <w:rsid w:val="00EA4257"/>
    <w:rsid w:val="00EB6D18"/>
    <w:rsid w:val="00EB7996"/>
    <w:rsid w:val="00EF6EF1"/>
    <w:rsid w:val="00F00151"/>
    <w:rsid w:val="00F671DD"/>
    <w:rsid w:val="00F86D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F3ADAE5"/>
  <w14:defaultImageDpi w14:val="32767"/>
  <w15:chartTrackingRefBased/>
  <w15:docId w15:val="{2AEB074A-DCCB-AA47-A49C-D70B3D6B20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E57E80"/>
    <w:rPr>
      <w:rFonts w:ascii="Times New Roman" w:eastAsia="Times New Roman" w:hAnsi="Times New Roman" w:cs="Times New Roman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925E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rsid w:val="00E57E80"/>
    <w:pPr>
      <w:tabs>
        <w:tab w:val="center" w:pos="4153"/>
        <w:tab w:val="right" w:pos="8306"/>
      </w:tabs>
      <w:snapToGrid w:val="0"/>
      <w:spacing w:line="240" w:lineRule="atLeast"/>
      <w:jc w:val="both"/>
    </w:pPr>
    <w:rPr>
      <w:color w:val="000000"/>
      <w:sz w:val="18"/>
      <w:szCs w:val="18"/>
      <w:lang w:eastAsia="de-DE"/>
    </w:rPr>
  </w:style>
  <w:style w:type="character" w:customStyle="1" w:styleId="FooterChar">
    <w:name w:val="Footer Char"/>
    <w:basedOn w:val="DefaultParagraphFont"/>
    <w:link w:val="Footer"/>
    <w:uiPriority w:val="99"/>
    <w:rsid w:val="00E57E80"/>
    <w:rPr>
      <w:rFonts w:ascii="Times New Roman" w:eastAsia="Times New Roman" w:hAnsi="Times New Roman" w:cs="Times New Roman"/>
      <w:color w:val="000000"/>
      <w:sz w:val="18"/>
      <w:szCs w:val="18"/>
      <w:lang w:eastAsia="de-DE"/>
    </w:rPr>
  </w:style>
  <w:style w:type="paragraph" w:styleId="Header">
    <w:name w:val="header"/>
    <w:basedOn w:val="Normal"/>
    <w:link w:val="HeaderChar"/>
    <w:uiPriority w:val="99"/>
    <w:rsid w:val="00E57E8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color w:val="000000"/>
      <w:sz w:val="18"/>
      <w:szCs w:val="18"/>
      <w:lang w:eastAsia="de-DE"/>
    </w:rPr>
  </w:style>
  <w:style w:type="character" w:customStyle="1" w:styleId="HeaderChar">
    <w:name w:val="Header Char"/>
    <w:basedOn w:val="DefaultParagraphFont"/>
    <w:link w:val="Header"/>
    <w:uiPriority w:val="99"/>
    <w:rsid w:val="00E57E80"/>
    <w:rPr>
      <w:rFonts w:ascii="Times New Roman" w:eastAsia="Times New Roman" w:hAnsi="Times New Roman" w:cs="Times New Roman"/>
      <w:color w:val="000000"/>
      <w:sz w:val="18"/>
      <w:szCs w:val="18"/>
      <w:lang w:eastAsia="de-DE"/>
    </w:rPr>
  </w:style>
  <w:style w:type="paragraph" w:customStyle="1" w:styleId="MDPIheaderjournallogo">
    <w:name w:val="MDPI_header_journal_logo"/>
    <w:qFormat/>
    <w:rsid w:val="00E57E80"/>
    <w:pPr>
      <w:adjustRightInd w:val="0"/>
      <w:snapToGrid w:val="0"/>
    </w:pPr>
    <w:rPr>
      <w:rFonts w:ascii="Palatino Linotype" w:eastAsia="Times New Roman" w:hAnsi="Palatino Linotype" w:cs="Times New Roman"/>
      <w:i/>
      <w:color w:val="000000"/>
      <w:szCs w:val="22"/>
      <w:lang w:eastAsia="de-CH"/>
    </w:rPr>
  </w:style>
  <w:style w:type="character" w:styleId="LineNumber">
    <w:name w:val="line number"/>
    <w:basedOn w:val="DefaultParagraphFont"/>
    <w:uiPriority w:val="99"/>
    <w:semiHidden/>
    <w:unhideWhenUsed/>
    <w:rsid w:val="00E57E80"/>
  </w:style>
  <w:style w:type="paragraph" w:styleId="BalloonText">
    <w:name w:val="Balloon Text"/>
    <w:basedOn w:val="Normal"/>
    <w:link w:val="BalloonTextChar"/>
    <w:uiPriority w:val="99"/>
    <w:semiHidden/>
    <w:unhideWhenUsed/>
    <w:rsid w:val="002541BF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541BF"/>
    <w:rPr>
      <w:rFonts w:ascii="Times New Roman" w:eastAsia="Times New Roman" w:hAnsi="Times New Roman" w:cs="Times New Roman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0925E8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741</Words>
  <Characters>4229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West, Jennifer (NIH/NIDDK) [F]</dc:creator>
  <cp:keywords/>
  <dc:description/>
  <cp:lastModifiedBy>West, Jennifer (NIH/NIDDK) [F]</cp:lastModifiedBy>
  <cp:revision>2</cp:revision>
  <cp:lastPrinted>2018-06-15T15:07:00Z</cp:lastPrinted>
  <dcterms:created xsi:type="dcterms:W3CDTF">2018-06-15T15:07:00Z</dcterms:created>
  <dcterms:modified xsi:type="dcterms:W3CDTF">2018-06-15T15:07:00Z</dcterms:modified>
</cp:coreProperties>
</file>