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EFB11" w14:textId="77777777" w:rsidR="007D7463" w:rsidRPr="008F2DD7" w:rsidRDefault="007D7463" w:rsidP="007D7463">
      <w:pPr>
        <w:rPr>
          <w:rFonts w:ascii="Palatino Linotype" w:hAnsi="Palatino Linotype"/>
          <w:b/>
          <w:bCs/>
          <w:sz w:val="20"/>
          <w:szCs w:val="20"/>
        </w:rPr>
      </w:pPr>
    </w:p>
    <w:p w14:paraId="69A28308" w14:textId="77777777" w:rsidR="007D7463" w:rsidRPr="008F2DD7" w:rsidRDefault="007D7463" w:rsidP="007D7463">
      <w:pPr>
        <w:rPr>
          <w:rFonts w:ascii="Palatino Linotype" w:hAnsi="Palatino Linotype"/>
          <w:sz w:val="20"/>
          <w:szCs w:val="20"/>
        </w:rPr>
      </w:pPr>
      <w:r w:rsidRPr="008F2DD7">
        <w:rPr>
          <w:rFonts w:ascii="Palatino Linotype" w:hAnsi="Palatino Linotype"/>
          <w:noProof/>
        </w:rPr>
        <w:drawing>
          <wp:inline distT="0" distB="0" distL="0" distR="0" wp14:anchorId="2E783B42" wp14:editId="55861403">
            <wp:extent cx="5943600" cy="2970530"/>
            <wp:effectExtent l="0" t="0" r="0" b="127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0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89AB2A" w14:textId="1E49DE43" w:rsidR="007D7463" w:rsidRPr="008F2DD7" w:rsidRDefault="007D7463" w:rsidP="007D7463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8F2DD7">
        <w:rPr>
          <w:rFonts w:ascii="Palatino Linotype" w:hAnsi="Palatino Linotype" w:cs="Times New Roman"/>
          <w:b/>
          <w:bCs/>
          <w:sz w:val="20"/>
          <w:szCs w:val="20"/>
        </w:rPr>
        <w:t xml:space="preserve">Supplementary Figure </w:t>
      </w:r>
      <w:r w:rsidR="0068320F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8F2DD7">
        <w:rPr>
          <w:rFonts w:ascii="Palatino Linotype" w:hAnsi="Palatino Linotype" w:cs="Times New Roman"/>
          <w:b/>
          <w:bCs/>
          <w:sz w:val="20"/>
          <w:szCs w:val="20"/>
        </w:rPr>
        <w:t>1</w:t>
      </w:r>
      <w:r w:rsidR="0068320F" w:rsidRPr="0068320F">
        <w:rPr>
          <w:rFonts w:ascii="Palatino Linotype" w:hAnsi="Palatino Linotype" w:cs="Times New Roman"/>
          <w:b/>
          <w:sz w:val="20"/>
          <w:szCs w:val="20"/>
        </w:rPr>
        <w:t>.</w:t>
      </w:r>
      <w:r w:rsidRPr="0068320F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8F2DD7">
        <w:rPr>
          <w:rFonts w:ascii="Palatino Linotype" w:hAnsi="Palatino Linotype" w:cs="Times New Roman"/>
          <w:sz w:val="20"/>
          <w:szCs w:val="20"/>
        </w:rPr>
        <w:t>Gating strategy for activated T lymphocytes and monocytes by flow cytometry. Representation of plots used to select and</w:t>
      </w:r>
      <w:bookmarkStart w:id="0" w:name="_GoBack"/>
      <w:bookmarkEnd w:id="0"/>
      <w:r w:rsidRPr="008F2DD7">
        <w:rPr>
          <w:rFonts w:ascii="Palatino Linotype" w:hAnsi="Palatino Linotype" w:cs="Times New Roman"/>
          <w:sz w:val="20"/>
          <w:szCs w:val="20"/>
        </w:rPr>
        <w:t xml:space="preserve"> analyze live CD4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 xml:space="preserve"> (CD3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>CD95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CD4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>) and CD8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>(CD3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>CD95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CD4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) T cells, and live monocytes (CD3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CD95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CD14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 xml:space="preserve"> and CD3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CD95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-</w:t>
      </w:r>
      <w:r w:rsidRPr="008F2DD7">
        <w:rPr>
          <w:rFonts w:ascii="Palatino Linotype" w:hAnsi="Palatino Linotype" w:cs="Times New Roman"/>
          <w:sz w:val="20"/>
          <w:szCs w:val="20"/>
        </w:rPr>
        <w:t>CD14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>CD16</w:t>
      </w:r>
      <w:r w:rsidRPr="008F2DD7">
        <w:rPr>
          <w:rFonts w:ascii="Palatino Linotype" w:hAnsi="Palatino Linotype" w:cs="Times New Roman"/>
          <w:sz w:val="20"/>
          <w:szCs w:val="20"/>
          <w:vertAlign w:val="superscript"/>
        </w:rPr>
        <w:t>+</w:t>
      </w:r>
      <w:r w:rsidRPr="008F2DD7">
        <w:rPr>
          <w:rFonts w:ascii="Palatino Linotype" w:hAnsi="Palatino Linotype" w:cs="Times New Roman"/>
          <w:sz w:val="20"/>
          <w:szCs w:val="20"/>
        </w:rPr>
        <w:t xml:space="preserve">), expressing the activated marker, HLA-DR, after antigen stimulation </w:t>
      </w:r>
      <w:r w:rsidRPr="008F2DD7">
        <w:rPr>
          <w:rFonts w:ascii="Palatino Linotype" w:hAnsi="Palatino Linotype" w:cs="Times New Roman"/>
          <w:i/>
          <w:sz w:val="20"/>
          <w:szCs w:val="20"/>
        </w:rPr>
        <w:t>in vitro</w:t>
      </w:r>
      <w:r w:rsidRPr="008F2DD7">
        <w:rPr>
          <w:rFonts w:ascii="Palatino Linotype" w:hAnsi="Palatino Linotype" w:cs="Times New Roman"/>
          <w:sz w:val="20"/>
          <w:szCs w:val="20"/>
        </w:rPr>
        <w:t xml:space="preserve"> to evaluate the immune response after YF vaccination.</w:t>
      </w:r>
    </w:p>
    <w:p w14:paraId="584E9D1C" w14:textId="77777777" w:rsidR="00696FFF" w:rsidRDefault="00696FFF"/>
    <w:sectPr w:rsidR="0069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63"/>
    <w:rsid w:val="0068320F"/>
    <w:rsid w:val="00696FFF"/>
    <w:rsid w:val="007D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FF987"/>
  <w15:chartTrackingRefBased/>
  <w15:docId w15:val="{AE2AE870-ED2F-47F8-A0CE-5D699CF2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350</Characters>
  <Application>Microsoft Office Word</Application>
  <DocSecurity>0</DocSecurity>
  <Lines>6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Tamiris Azamor da Costa Barros</dc:creator>
  <cp:keywords/>
  <dc:description/>
  <cp:lastModifiedBy>MDPI</cp:lastModifiedBy>
  <cp:revision>2</cp:revision>
  <dcterms:created xsi:type="dcterms:W3CDTF">2020-12-15T20:30:00Z</dcterms:created>
  <dcterms:modified xsi:type="dcterms:W3CDTF">2021-01-12T13:28:00Z</dcterms:modified>
</cp:coreProperties>
</file>