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DE9DE" w14:textId="7F8D461B" w:rsidR="00012597" w:rsidRPr="0006390E" w:rsidRDefault="00012597">
      <w:pPr>
        <w:rPr>
          <w:rFonts w:ascii="Palatino Linotype" w:hAnsi="Palatino Linotype"/>
          <w:b/>
          <w:bCs/>
          <w:i/>
          <w:iCs/>
          <w:sz w:val="20"/>
          <w:szCs w:val="20"/>
        </w:rPr>
      </w:pPr>
      <w:r w:rsidRPr="0006390E">
        <w:rPr>
          <w:rFonts w:ascii="Palatino Linotype" w:hAnsi="Palatino Linotype"/>
          <w:b/>
          <w:bCs/>
          <w:i/>
          <w:iCs/>
          <w:sz w:val="20"/>
          <w:szCs w:val="20"/>
        </w:rPr>
        <w:t xml:space="preserve">Section 1. </w:t>
      </w:r>
      <w:r w:rsidR="0006390E" w:rsidRPr="0006390E">
        <w:rPr>
          <w:rFonts w:ascii="Palatino Linotype" w:hAnsi="Palatino Linotype"/>
          <w:b/>
          <w:bCs/>
          <w:i/>
          <w:iCs/>
          <w:sz w:val="20"/>
          <w:szCs w:val="20"/>
        </w:rPr>
        <w:t>Mutations in Pseudotype Constructs</w:t>
      </w:r>
    </w:p>
    <w:p w14:paraId="5147D3C3" w14:textId="77777777" w:rsidR="00975C64" w:rsidRPr="0006390E" w:rsidRDefault="00975C64" w:rsidP="00975C64">
      <w:pPr>
        <w:pStyle w:val="MDPI31text"/>
        <w:ind w:left="0"/>
        <w:rPr>
          <w:szCs w:val="20"/>
        </w:rPr>
      </w:pPr>
      <w:r w:rsidRPr="0006390E">
        <w:rPr>
          <w:szCs w:val="20"/>
        </w:rPr>
        <w:t>Constructs bore the following mutations relative to the Wuhan-Hu-1 sequence (GenBank: MN908947):</w:t>
      </w:r>
    </w:p>
    <w:p w14:paraId="4B93BFE6" w14:textId="77777777" w:rsidR="00975C64" w:rsidRPr="0006390E" w:rsidRDefault="00975C64" w:rsidP="00975C64">
      <w:pPr>
        <w:pStyle w:val="MDPI31text"/>
        <w:numPr>
          <w:ilvl w:val="0"/>
          <w:numId w:val="1"/>
        </w:numPr>
        <w:ind w:left="785"/>
        <w:rPr>
          <w:szCs w:val="20"/>
        </w:rPr>
      </w:pPr>
      <w:r w:rsidRPr="0006390E">
        <w:rPr>
          <w:b/>
          <w:bCs/>
          <w:szCs w:val="20"/>
        </w:rPr>
        <w:t>B.1 (Wuhan-Hu-1 D614G)</w:t>
      </w:r>
      <w:r w:rsidRPr="0006390E">
        <w:rPr>
          <w:szCs w:val="20"/>
        </w:rPr>
        <w:t xml:space="preserve"> – D614G</w:t>
      </w:r>
    </w:p>
    <w:p w14:paraId="7E35AF25" w14:textId="77777777" w:rsidR="00975C64" w:rsidRPr="0006390E" w:rsidRDefault="00975C64" w:rsidP="00975C64">
      <w:pPr>
        <w:pStyle w:val="MDPI31text"/>
        <w:numPr>
          <w:ilvl w:val="0"/>
          <w:numId w:val="1"/>
        </w:numPr>
        <w:ind w:left="785"/>
        <w:rPr>
          <w:szCs w:val="20"/>
        </w:rPr>
      </w:pPr>
      <w:r w:rsidRPr="0006390E">
        <w:rPr>
          <w:b/>
          <w:bCs/>
          <w:szCs w:val="20"/>
        </w:rPr>
        <w:t>B.1.1.7 (Alpha)</w:t>
      </w:r>
      <w:r w:rsidRPr="0006390E">
        <w:rPr>
          <w:szCs w:val="20"/>
        </w:rPr>
        <w:t xml:space="preserve"> – Δ69-70, Δ144, N501Y, A570D, D614G, P681H, T716I, S982A, D1118H</w:t>
      </w:r>
    </w:p>
    <w:p w14:paraId="6C8D216A" w14:textId="77777777" w:rsidR="00975C64" w:rsidRPr="0006390E" w:rsidRDefault="00975C64" w:rsidP="00975C64">
      <w:pPr>
        <w:pStyle w:val="MDPI31text"/>
        <w:numPr>
          <w:ilvl w:val="0"/>
          <w:numId w:val="1"/>
        </w:numPr>
        <w:ind w:left="785"/>
        <w:rPr>
          <w:szCs w:val="20"/>
        </w:rPr>
      </w:pPr>
      <w:r w:rsidRPr="0006390E">
        <w:rPr>
          <w:b/>
          <w:bCs/>
          <w:szCs w:val="20"/>
        </w:rPr>
        <w:t>B.1.617.2 (Delta)</w:t>
      </w:r>
      <w:r w:rsidRPr="0006390E">
        <w:rPr>
          <w:szCs w:val="20"/>
        </w:rPr>
        <w:t xml:space="preserve"> – T19R, G142D, Δ156-157, R158G, L452R, T478K, D614G, P681R, D950N</w:t>
      </w:r>
    </w:p>
    <w:p w14:paraId="7D47CCD3" w14:textId="77777777" w:rsidR="00975C64" w:rsidRPr="0006390E" w:rsidRDefault="00975C64" w:rsidP="00975C64">
      <w:pPr>
        <w:pStyle w:val="MDPI31text"/>
        <w:numPr>
          <w:ilvl w:val="0"/>
          <w:numId w:val="1"/>
        </w:numPr>
        <w:ind w:left="785"/>
        <w:rPr>
          <w:szCs w:val="20"/>
        </w:rPr>
      </w:pPr>
      <w:r w:rsidRPr="0006390E">
        <w:rPr>
          <w:b/>
          <w:bCs/>
          <w:szCs w:val="20"/>
        </w:rPr>
        <w:t>B.1.1.529 (Omicron BA.1) -</w:t>
      </w:r>
      <w:r w:rsidRPr="0006390E">
        <w:rPr>
          <w:szCs w:val="20"/>
        </w:rPr>
        <w:t xml:space="preserve"> A67V, Δ69-70, T95I, G142D/Δ143-145, Δ211/L212I, ins214EPE, G339D, S371L, S373P, S375F, K417N, N440K, G446S, S477N, T478K, E484A, Q493R, G496S, Q498R, N501Y, Y505H, T547K, D614G, H655Y, N679K, P681H, N764K, D796Y, N856K, Q954H, N969K, L981F</w:t>
      </w:r>
    </w:p>
    <w:p w14:paraId="4689BB74" w14:textId="77777777" w:rsidR="00975C64" w:rsidRPr="0006390E" w:rsidRDefault="00975C64" w:rsidP="00975C64">
      <w:pPr>
        <w:pStyle w:val="MDPI31text"/>
        <w:numPr>
          <w:ilvl w:val="0"/>
          <w:numId w:val="1"/>
        </w:numPr>
        <w:ind w:left="785"/>
        <w:rPr>
          <w:b/>
          <w:bCs/>
          <w:szCs w:val="20"/>
        </w:rPr>
      </w:pPr>
      <w:r w:rsidRPr="0006390E">
        <w:rPr>
          <w:b/>
          <w:bCs/>
          <w:szCs w:val="20"/>
        </w:rPr>
        <w:t xml:space="preserve">Omicron BA.2 - </w:t>
      </w:r>
      <w:r w:rsidRPr="0006390E">
        <w:rPr>
          <w:szCs w:val="20"/>
        </w:rPr>
        <w:t xml:space="preserve">T19I, </w:t>
      </w:r>
      <w:r w:rsidRPr="0006390E">
        <w:rPr>
          <w:rFonts w:ascii="Cambria Math" w:hAnsi="Cambria Math" w:cs="Cambria Math"/>
          <w:szCs w:val="20"/>
        </w:rPr>
        <w:t>△</w:t>
      </w:r>
      <w:r w:rsidRPr="0006390E">
        <w:rPr>
          <w:szCs w:val="20"/>
        </w:rPr>
        <w:t>24/26, G142D, V213G, G339D, S371F, S373P, S375F, T376A, D405N, R408S, K417N, N440K, S477N, T478K, E484A, Q493R, Q498R, N501Y, Y505H, D614G, H655Y, N679K, P681H, N764K, D796Y, Q954H, N969K</w:t>
      </w:r>
    </w:p>
    <w:p w14:paraId="2CE93446" w14:textId="77777777" w:rsidR="00975C64" w:rsidRPr="0006390E" w:rsidRDefault="00975C64" w:rsidP="00975C64">
      <w:pPr>
        <w:pStyle w:val="MDPI31text"/>
        <w:numPr>
          <w:ilvl w:val="0"/>
          <w:numId w:val="1"/>
        </w:numPr>
        <w:ind w:left="785"/>
        <w:rPr>
          <w:szCs w:val="20"/>
          <w:lang w:val="en-GB"/>
        </w:rPr>
      </w:pPr>
      <w:r w:rsidRPr="0006390E">
        <w:rPr>
          <w:b/>
          <w:bCs/>
          <w:szCs w:val="20"/>
        </w:rPr>
        <w:t xml:space="preserve">Omicron BA.5 </w:t>
      </w:r>
      <w:r w:rsidRPr="0006390E">
        <w:rPr>
          <w:szCs w:val="20"/>
        </w:rPr>
        <w:t xml:space="preserve">- </w:t>
      </w:r>
      <w:r w:rsidRPr="0006390E">
        <w:rPr>
          <w:szCs w:val="20"/>
          <w:lang w:val="en-GB"/>
        </w:rPr>
        <w:t xml:space="preserve">T19I, </w:t>
      </w:r>
      <w:r w:rsidRPr="0006390E">
        <w:rPr>
          <w:rFonts w:ascii="Cambria Math" w:hAnsi="Cambria Math" w:cs="Cambria Math"/>
          <w:szCs w:val="20"/>
          <w:lang w:val="en-GB"/>
        </w:rPr>
        <w:t>△</w:t>
      </w:r>
      <w:r w:rsidRPr="0006390E">
        <w:rPr>
          <w:szCs w:val="20"/>
          <w:lang w:val="en-GB"/>
        </w:rPr>
        <w:t xml:space="preserve">24/26, </w:t>
      </w:r>
      <w:r w:rsidRPr="0006390E">
        <w:rPr>
          <w:rFonts w:ascii="Cambria Math" w:hAnsi="Cambria Math" w:cs="Cambria Math"/>
          <w:szCs w:val="20"/>
          <w:lang w:val="en-GB"/>
        </w:rPr>
        <w:t>△</w:t>
      </w:r>
      <w:r w:rsidRPr="0006390E">
        <w:rPr>
          <w:szCs w:val="20"/>
          <w:lang w:val="en-GB"/>
        </w:rPr>
        <w:t>69/70, G142D, V213G, G339D, S371F, S373P, S375F, T376A, D405N, R408S, K417N, N440K, L452R, S477N, T478K, E484A, F486V, Q498R, N501Y, Y505H, D614G, H655Y, N679K, P681H, N764K, D796Y, Q954H, N969K</w:t>
      </w:r>
    </w:p>
    <w:p w14:paraId="098720D3" w14:textId="77777777" w:rsidR="00975C64" w:rsidRPr="0006390E" w:rsidRDefault="00975C64" w:rsidP="00975C64">
      <w:pPr>
        <w:pStyle w:val="MDPI31text"/>
        <w:numPr>
          <w:ilvl w:val="0"/>
          <w:numId w:val="1"/>
        </w:numPr>
        <w:ind w:left="785"/>
        <w:rPr>
          <w:szCs w:val="20"/>
          <w:lang w:val="en-GB"/>
        </w:rPr>
      </w:pPr>
      <w:r w:rsidRPr="0006390E">
        <w:rPr>
          <w:b/>
          <w:bCs/>
          <w:szCs w:val="20"/>
        </w:rPr>
        <w:t xml:space="preserve">BQ.1.1 </w:t>
      </w:r>
      <w:r w:rsidRPr="0006390E">
        <w:rPr>
          <w:szCs w:val="20"/>
        </w:rPr>
        <w:t xml:space="preserve">- </w:t>
      </w:r>
      <w:r w:rsidRPr="0006390E">
        <w:rPr>
          <w:szCs w:val="20"/>
          <w:lang w:val="en-GB"/>
        </w:rPr>
        <w:t xml:space="preserve">T19I, </w:t>
      </w:r>
      <w:r w:rsidRPr="0006390E">
        <w:rPr>
          <w:rFonts w:ascii="Cambria Math" w:hAnsi="Cambria Math" w:cs="Cambria Math"/>
          <w:szCs w:val="20"/>
          <w:lang w:val="en-GB"/>
        </w:rPr>
        <w:t>△</w:t>
      </w:r>
      <w:r w:rsidRPr="0006390E">
        <w:rPr>
          <w:szCs w:val="20"/>
          <w:lang w:val="en-GB"/>
        </w:rPr>
        <w:t xml:space="preserve">24/26, </w:t>
      </w:r>
      <w:r w:rsidRPr="0006390E">
        <w:rPr>
          <w:rFonts w:ascii="Cambria Math" w:hAnsi="Cambria Math" w:cs="Cambria Math"/>
          <w:szCs w:val="20"/>
          <w:lang w:val="en-GB"/>
        </w:rPr>
        <w:t>△</w:t>
      </w:r>
      <w:r w:rsidRPr="0006390E">
        <w:rPr>
          <w:szCs w:val="20"/>
          <w:lang w:val="en-GB"/>
        </w:rPr>
        <w:t>69/70, G142D, V213G, G339D, R346T, S371F, S373P, S375F, T376A, D405N, R408S, K417N, N440K, K444T, L452R, N460K, S477N, T478K, E484A, F486V, Q498R, N501Y, Y505H, D614G, H655Y, N679K, P681H, N764K, D796Y, Q954H, N969K</w:t>
      </w:r>
    </w:p>
    <w:p w14:paraId="2002E564" w14:textId="77777777" w:rsidR="00975C64" w:rsidRPr="0006390E" w:rsidRDefault="00975C64" w:rsidP="00975C64">
      <w:pPr>
        <w:pStyle w:val="MDPI31text"/>
        <w:numPr>
          <w:ilvl w:val="0"/>
          <w:numId w:val="1"/>
        </w:numPr>
        <w:ind w:left="785"/>
        <w:rPr>
          <w:szCs w:val="20"/>
          <w:lang w:val="en-GB"/>
        </w:rPr>
      </w:pPr>
      <w:r w:rsidRPr="0006390E">
        <w:rPr>
          <w:b/>
          <w:bCs/>
          <w:szCs w:val="20"/>
        </w:rPr>
        <w:t xml:space="preserve">XBB - </w:t>
      </w:r>
      <w:r w:rsidRPr="0006390E">
        <w:rPr>
          <w:szCs w:val="20"/>
          <w:lang w:val="en-GB"/>
        </w:rPr>
        <w:t xml:space="preserve">T19I, </w:t>
      </w:r>
      <w:r w:rsidRPr="0006390E">
        <w:rPr>
          <w:rFonts w:ascii="Cambria Math" w:hAnsi="Cambria Math" w:cs="Cambria Math"/>
          <w:szCs w:val="20"/>
          <w:lang w:val="en-GB"/>
        </w:rPr>
        <w:t>△</w:t>
      </w:r>
      <w:r w:rsidRPr="0006390E">
        <w:rPr>
          <w:szCs w:val="20"/>
          <w:lang w:val="en-GB"/>
        </w:rPr>
        <w:t xml:space="preserve">24/26, V83A, G142D, </w:t>
      </w:r>
      <w:r w:rsidRPr="0006390E">
        <w:rPr>
          <w:rFonts w:ascii="Cambria Math" w:hAnsi="Cambria Math" w:cs="Cambria Math"/>
          <w:szCs w:val="20"/>
          <w:lang w:val="en-GB"/>
        </w:rPr>
        <w:t>△</w:t>
      </w:r>
      <w:r w:rsidRPr="0006390E">
        <w:rPr>
          <w:szCs w:val="20"/>
          <w:lang w:val="en-GB"/>
        </w:rPr>
        <w:t>144, H146Q, Q183E, V213E, G339H, R346T, L368I, S371F, S373P, S375F, T376A, D405N, R408S, K417N, N440K, V445P, G446S, N460K, S477N, T478K, E484A, F486S, F490S, Q498R, N501Y, Y505H, D614G, H655Y, N679K, P681H, N764K, D796Y, Q954H, N969K</w:t>
      </w:r>
    </w:p>
    <w:p w14:paraId="5C129E18" w14:textId="77777777" w:rsidR="00975C64" w:rsidRPr="0006390E" w:rsidRDefault="00975C64">
      <w:pPr>
        <w:rPr>
          <w:rFonts w:ascii="Palatino Linotype" w:hAnsi="Palatino Linotype"/>
          <w:sz w:val="20"/>
          <w:szCs w:val="20"/>
        </w:rPr>
      </w:pPr>
    </w:p>
    <w:p w14:paraId="4D8D0162" w14:textId="77777777" w:rsidR="00012597" w:rsidRPr="0006390E" w:rsidRDefault="00012597">
      <w:pPr>
        <w:rPr>
          <w:rFonts w:ascii="Palatino Linotype" w:hAnsi="Palatino Linotype"/>
          <w:sz w:val="20"/>
          <w:szCs w:val="20"/>
        </w:rPr>
      </w:pPr>
    </w:p>
    <w:p w14:paraId="476B88C6" w14:textId="436D3613" w:rsidR="00012597" w:rsidRPr="0006390E" w:rsidRDefault="00012597">
      <w:pPr>
        <w:rPr>
          <w:rFonts w:ascii="Palatino Linotype" w:hAnsi="Palatino Linotype"/>
          <w:b/>
          <w:bCs/>
          <w:i/>
          <w:iCs/>
          <w:sz w:val="20"/>
          <w:szCs w:val="20"/>
        </w:rPr>
      </w:pPr>
      <w:r w:rsidRPr="0006390E">
        <w:rPr>
          <w:rFonts w:ascii="Palatino Linotype" w:hAnsi="Palatino Linotype"/>
          <w:b/>
          <w:bCs/>
          <w:i/>
          <w:iCs/>
          <w:sz w:val="20"/>
          <w:szCs w:val="20"/>
        </w:rPr>
        <w:t>Section 2. Analysis of novel ELISA protocol</w:t>
      </w:r>
    </w:p>
    <w:p w14:paraId="093963CF" w14:textId="3198628E" w:rsidR="00012597" w:rsidRPr="0006390E" w:rsidRDefault="00012597">
      <w:pPr>
        <w:rPr>
          <w:rFonts w:ascii="Palatino Linotype" w:hAnsi="Palatino Linotype"/>
          <w:sz w:val="20"/>
          <w:szCs w:val="20"/>
        </w:rPr>
      </w:pPr>
      <w:r w:rsidRPr="0006390E">
        <w:rPr>
          <w:rFonts w:ascii="Palatino Linotype" w:hAnsi="Palatino Linotype"/>
          <w:sz w:val="20"/>
          <w:szCs w:val="20"/>
        </w:rPr>
        <w:t>In the absence of a</w:t>
      </w:r>
      <w:r w:rsidR="00225E9B">
        <w:rPr>
          <w:rFonts w:ascii="Palatino Linotype" w:hAnsi="Palatino Linotype"/>
          <w:sz w:val="20"/>
          <w:szCs w:val="20"/>
        </w:rPr>
        <w:t>n acknowledged</w:t>
      </w:r>
      <w:r w:rsidRPr="0006390E">
        <w:rPr>
          <w:rFonts w:ascii="Palatino Linotype" w:hAnsi="Palatino Linotype"/>
          <w:sz w:val="20"/>
          <w:szCs w:val="20"/>
        </w:rPr>
        <w:t xml:space="preserve"> gold standard test for the detection of anti-SARS-CoV-2 antibodies in cats, the ELISA developed in this study was tested against two established protocols - the Pseudotype-based virus neutralisation assay detailed in section 2.3 of the main text, and the Microimmune SARS-CoV-2 Double Antigen Bridging Assay Kit (COVT016) (Clin-Tech, Guildford, England).</w:t>
      </w:r>
    </w:p>
    <w:p w14:paraId="410327AE" w14:textId="3712EDA2" w:rsidR="00915096" w:rsidRPr="0006390E" w:rsidRDefault="00012597" w:rsidP="00915096">
      <w:pPr>
        <w:rPr>
          <w:rFonts w:ascii="Palatino Linotype" w:hAnsi="Palatino Linotype"/>
          <w:sz w:val="20"/>
          <w:szCs w:val="20"/>
        </w:rPr>
      </w:pPr>
      <w:r w:rsidRPr="0006390E">
        <w:rPr>
          <w:rFonts w:ascii="Palatino Linotype" w:hAnsi="Palatino Linotype"/>
          <w:sz w:val="20"/>
          <w:szCs w:val="20"/>
        </w:rPr>
        <w:t>Two different positive OD cut</w:t>
      </w:r>
      <w:r w:rsidR="00225E9B">
        <w:rPr>
          <w:rFonts w:ascii="Palatino Linotype" w:hAnsi="Palatino Linotype"/>
          <w:sz w:val="20"/>
          <w:szCs w:val="20"/>
        </w:rPr>
        <w:t>-</w:t>
      </w:r>
      <w:r w:rsidRPr="0006390E">
        <w:rPr>
          <w:rFonts w:ascii="Palatino Linotype" w:hAnsi="Palatino Linotype"/>
          <w:sz w:val="20"/>
          <w:szCs w:val="20"/>
        </w:rPr>
        <w:t>off values were selected – one stringent (</w:t>
      </w:r>
      <w:r w:rsidR="00FD756F" w:rsidRPr="00107457">
        <w:rPr>
          <w:rFonts w:hint="eastAsia"/>
        </w:rPr>
        <w:t>≥</w:t>
      </w:r>
      <w:r w:rsidRPr="0006390E">
        <w:rPr>
          <w:rFonts w:ascii="Palatino Linotype" w:hAnsi="Palatino Linotype"/>
          <w:sz w:val="20"/>
          <w:szCs w:val="20"/>
        </w:rPr>
        <w:t>0.5 -considered the positive cut</w:t>
      </w:r>
      <w:r w:rsidR="00225E9B">
        <w:rPr>
          <w:rFonts w:ascii="Palatino Linotype" w:hAnsi="Palatino Linotype"/>
          <w:sz w:val="20"/>
          <w:szCs w:val="20"/>
        </w:rPr>
        <w:t>-</w:t>
      </w:r>
      <w:r w:rsidRPr="0006390E">
        <w:rPr>
          <w:rFonts w:ascii="Palatino Linotype" w:hAnsi="Palatino Linotype"/>
          <w:sz w:val="20"/>
          <w:szCs w:val="20"/>
        </w:rPr>
        <w:t>off), and one less stringent (</w:t>
      </w:r>
      <w:r w:rsidR="00FD756F" w:rsidRPr="00107457">
        <w:rPr>
          <w:rFonts w:hint="eastAsia"/>
        </w:rPr>
        <w:t>≥</w:t>
      </w:r>
      <w:r w:rsidRPr="0006390E">
        <w:rPr>
          <w:rFonts w:ascii="Palatino Linotype" w:hAnsi="Palatino Linotype"/>
          <w:sz w:val="20"/>
          <w:szCs w:val="20"/>
        </w:rPr>
        <w:t>0.1</w:t>
      </w:r>
      <w:r w:rsidR="00FD756F">
        <w:rPr>
          <w:rFonts w:ascii="Palatino Linotype" w:hAnsi="Palatino Linotype"/>
          <w:sz w:val="20"/>
          <w:szCs w:val="20"/>
        </w:rPr>
        <w:t xml:space="preserve"> and</w:t>
      </w:r>
      <w:r w:rsidRPr="0006390E">
        <w:rPr>
          <w:rFonts w:ascii="Palatino Linotype" w:hAnsi="Palatino Linotype"/>
          <w:sz w:val="20"/>
          <w:szCs w:val="20"/>
        </w:rPr>
        <w:t xml:space="preserve"> &lt;0.5 – considered the equivocal cut</w:t>
      </w:r>
      <w:r w:rsidR="00225E9B">
        <w:rPr>
          <w:rFonts w:ascii="Palatino Linotype" w:hAnsi="Palatino Linotype"/>
          <w:sz w:val="20"/>
          <w:szCs w:val="20"/>
        </w:rPr>
        <w:t>-</w:t>
      </w:r>
      <w:r w:rsidRPr="0006390E">
        <w:rPr>
          <w:rFonts w:ascii="Palatino Linotype" w:hAnsi="Palatino Linotype"/>
          <w:sz w:val="20"/>
          <w:szCs w:val="20"/>
        </w:rPr>
        <w:t>off).</w:t>
      </w:r>
    </w:p>
    <w:p w14:paraId="5633F3F4" w14:textId="742541F7" w:rsidR="00012597" w:rsidRPr="0006390E" w:rsidRDefault="00012597">
      <w:pPr>
        <w:rPr>
          <w:rFonts w:ascii="Palatino Linotype" w:hAnsi="Palatino Linotype"/>
          <w:sz w:val="20"/>
          <w:szCs w:val="20"/>
        </w:rPr>
      </w:pPr>
      <w:r w:rsidRPr="0006390E">
        <w:rPr>
          <w:rFonts w:ascii="Palatino Linotype" w:hAnsi="Palatino Linotype"/>
          <w:sz w:val="20"/>
          <w:szCs w:val="20"/>
        </w:rPr>
        <w:t>Sensitivity and specificity comparisons of this ELISA are detailed below:</w:t>
      </w:r>
    </w:p>
    <w:tbl>
      <w:tblPr>
        <w:tblStyle w:val="PlainTable3"/>
        <w:tblW w:w="9955" w:type="dxa"/>
        <w:tblInd w:w="-462" w:type="dxa"/>
        <w:tblLook w:val="04A0" w:firstRow="1" w:lastRow="0" w:firstColumn="1" w:lastColumn="0" w:noHBand="0" w:noVBand="1"/>
      </w:tblPr>
      <w:tblGrid>
        <w:gridCol w:w="1738"/>
        <w:gridCol w:w="1803"/>
        <w:gridCol w:w="1876"/>
        <w:gridCol w:w="2269"/>
        <w:gridCol w:w="2269"/>
      </w:tblGrid>
      <w:tr w:rsidR="00012597" w:rsidRPr="0006390E" w14:paraId="6D804EAD" w14:textId="77777777" w:rsidTr="0006390E">
        <w:trPr>
          <w:cnfStyle w:val="100000000000" w:firstRow="1" w:lastRow="0" w:firstColumn="0" w:lastColumn="0" w:oddVBand="0" w:evenVBand="0" w:oddHBand="0" w:evenHBand="0" w:firstRowFirstColumn="0" w:firstRowLastColumn="0" w:lastRowFirstColumn="0" w:lastRowLastColumn="0"/>
          <w:trHeight w:val="1177"/>
        </w:trPr>
        <w:tc>
          <w:tcPr>
            <w:cnfStyle w:val="001000000100" w:firstRow="0" w:lastRow="0" w:firstColumn="1" w:lastColumn="0" w:oddVBand="0" w:evenVBand="0" w:oddHBand="0" w:evenHBand="0" w:firstRowFirstColumn="1" w:firstRowLastColumn="0" w:lastRowFirstColumn="0" w:lastRowLastColumn="0"/>
            <w:tcW w:w="1738" w:type="dxa"/>
          </w:tcPr>
          <w:p w14:paraId="54AC4967" w14:textId="77777777" w:rsidR="00012597" w:rsidRPr="0006390E" w:rsidRDefault="00012597">
            <w:pPr>
              <w:rPr>
                <w:rFonts w:ascii="Palatino Linotype" w:hAnsi="Palatino Linotype"/>
                <w:sz w:val="20"/>
                <w:szCs w:val="20"/>
              </w:rPr>
            </w:pPr>
          </w:p>
        </w:tc>
        <w:tc>
          <w:tcPr>
            <w:tcW w:w="1803" w:type="dxa"/>
          </w:tcPr>
          <w:p w14:paraId="7088E987" w14:textId="5C799F59" w:rsidR="00012597" w:rsidRPr="0006390E" w:rsidRDefault="00012597">
            <w:pPr>
              <w:cnfStyle w:val="100000000000" w:firstRow="1" w:lastRow="0" w:firstColumn="0" w:lastColumn="0" w:oddVBand="0" w:evenVBand="0" w:oddHBand="0" w:evenHBand="0" w:firstRowFirstColumn="0" w:firstRowLastColumn="0" w:lastRowFirstColumn="0" w:lastRowLastColumn="0"/>
              <w:rPr>
                <w:rFonts w:ascii="Palatino Linotype" w:hAnsi="Palatino Linotype"/>
                <w:sz w:val="20"/>
                <w:szCs w:val="20"/>
              </w:rPr>
            </w:pPr>
            <w:r w:rsidRPr="0006390E">
              <w:rPr>
                <w:rFonts w:ascii="Palatino Linotype" w:hAnsi="Palatino Linotype"/>
                <w:sz w:val="20"/>
                <w:szCs w:val="20"/>
              </w:rPr>
              <w:t>0.1 cut</w:t>
            </w:r>
            <w:r w:rsidR="00225E9B">
              <w:rPr>
                <w:rFonts w:ascii="Palatino Linotype" w:hAnsi="Palatino Linotype"/>
                <w:sz w:val="20"/>
                <w:szCs w:val="20"/>
              </w:rPr>
              <w:t>-</w:t>
            </w:r>
            <w:r w:rsidRPr="0006390E">
              <w:rPr>
                <w:rFonts w:ascii="Palatino Linotype" w:hAnsi="Palatino Linotype"/>
                <w:sz w:val="20"/>
                <w:szCs w:val="20"/>
              </w:rPr>
              <w:t>off (DABA comparison)</w:t>
            </w:r>
          </w:p>
        </w:tc>
        <w:tc>
          <w:tcPr>
            <w:tcW w:w="1876" w:type="dxa"/>
          </w:tcPr>
          <w:p w14:paraId="4F73DC93" w14:textId="663BDA44" w:rsidR="00012597" w:rsidRPr="0006390E" w:rsidRDefault="00012597">
            <w:pPr>
              <w:cnfStyle w:val="100000000000" w:firstRow="1" w:lastRow="0" w:firstColumn="0" w:lastColumn="0" w:oddVBand="0" w:evenVBand="0" w:oddHBand="0" w:evenHBand="0" w:firstRowFirstColumn="0" w:firstRowLastColumn="0" w:lastRowFirstColumn="0" w:lastRowLastColumn="0"/>
              <w:rPr>
                <w:rFonts w:ascii="Palatino Linotype" w:hAnsi="Palatino Linotype"/>
                <w:sz w:val="20"/>
                <w:szCs w:val="20"/>
              </w:rPr>
            </w:pPr>
            <w:r w:rsidRPr="0006390E">
              <w:rPr>
                <w:rFonts w:ascii="Palatino Linotype" w:hAnsi="Palatino Linotype"/>
                <w:sz w:val="20"/>
                <w:szCs w:val="20"/>
              </w:rPr>
              <w:t>0.5 cut</w:t>
            </w:r>
            <w:r w:rsidR="00225E9B">
              <w:rPr>
                <w:rFonts w:ascii="Palatino Linotype" w:hAnsi="Palatino Linotype"/>
                <w:sz w:val="20"/>
                <w:szCs w:val="20"/>
              </w:rPr>
              <w:t>-</w:t>
            </w:r>
            <w:r w:rsidRPr="0006390E">
              <w:rPr>
                <w:rFonts w:ascii="Palatino Linotype" w:hAnsi="Palatino Linotype"/>
                <w:sz w:val="20"/>
                <w:szCs w:val="20"/>
              </w:rPr>
              <w:t>off (DABA comparison)</w:t>
            </w:r>
          </w:p>
        </w:tc>
        <w:tc>
          <w:tcPr>
            <w:tcW w:w="2269" w:type="dxa"/>
          </w:tcPr>
          <w:p w14:paraId="2AE1C90C" w14:textId="5FF548A2" w:rsidR="00012597" w:rsidRPr="0006390E" w:rsidRDefault="00012597">
            <w:pPr>
              <w:cnfStyle w:val="100000000000" w:firstRow="1" w:lastRow="0" w:firstColumn="0" w:lastColumn="0" w:oddVBand="0" w:evenVBand="0" w:oddHBand="0" w:evenHBand="0" w:firstRowFirstColumn="0" w:firstRowLastColumn="0" w:lastRowFirstColumn="0" w:lastRowLastColumn="0"/>
              <w:rPr>
                <w:rFonts w:ascii="Palatino Linotype" w:hAnsi="Palatino Linotype"/>
                <w:sz w:val="20"/>
                <w:szCs w:val="20"/>
              </w:rPr>
            </w:pPr>
            <w:r w:rsidRPr="0006390E">
              <w:rPr>
                <w:rFonts w:ascii="Palatino Linotype" w:hAnsi="Palatino Linotype"/>
                <w:sz w:val="20"/>
                <w:szCs w:val="20"/>
              </w:rPr>
              <w:t>0.1 cut</w:t>
            </w:r>
            <w:r w:rsidR="00225E9B">
              <w:rPr>
                <w:rFonts w:ascii="Palatino Linotype" w:hAnsi="Palatino Linotype"/>
                <w:sz w:val="20"/>
                <w:szCs w:val="20"/>
              </w:rPr>
              <w:t>-</w:t>
            </w:r>
            <w:r w:rsidRPr="0006390E">
              <w:rPr>
                <w:rFonts w:ascii="Palatino Linotype" w:hAnsi="Palatino Linotype"/>
                <w:sz w:val="20"/>
                <w:szCs w:val="20"/>
              </w:rPr>
              <w:t>off (Pseudotype neutralisation comparison)</w:t>
            </w:r>
          </w:p>
        </w:tc>
        <w:tc>
          <w:tcPr>
            <w:tcW w:w="2269" w:type="dxa"/>
          </w:tcPr>
          <w:p w14:paraId="32EA9C70" w14:textId="0AD9F0D6" w:rsidR="00012597" w:rsidRPr="0006390E" w:rsidRDefault="00012597">
            <w:pPr>
              <w:cnfStyle w:val="100000000000" w:firstRow="1" w:lastRow="0" w:firstColumn="0" w:lastColumn="0" w:oddVBand="0" w:evenVBand="0" w:oddHBand="0" w:evenHBand="0" w:firstRowFirstColumn="0" w:firstRowLastColumn="0" w:lastRowFirstColumn="0" w:lastRowLastColumn="0"/>
              <w:rPr>
                <w:rFonts w:ascii="Palatino Linotype" w:hAnsi="Palatino Linotype"/>
                <w:sz w:val="20"/>
                <w:szCs w:val="20"/>
              </w:rPr>
            </w:pPr>
            <w:r w:rsidRPr="0006390E">
              <w:rPr>
                <w:rFonts w:ascii="Palatino Linotype" w:hAnsi="Palatino Linotype"/>
                <w:sz w:val="20"/>
                <w:szCs w:val="20"/>
              </w:rPr>
              <w:t>0.5 cut</w:t>
            </w:r>
            <w:r w:rsidR="00225E9B">
              <w:rPr>
                <w:rFonts w:ascii="Palatino Linotype" w:hAnsi="Palatino Linotype"/>
                <w:sz w:val="20"/>
                <w:szCs w:val="20"/>
              </w:rPr>
              <w:t>-</w:t>
            </w:r>
            <w:r w:rsidRPr="0006390E">
              <w:rPr>
                <w:rFonts w:ascii="Palatino Linotype" w:hAnsi="Palatino Linotype"/>
                <w:sz w:val="20"/>
                <w:szCs w:val="20"/>
              </w:rPr>
              <w:t>off (pseudotype neutralisation comparison</w:t>
            </w:r>
          </w:p>
        </w:tc>
      </w:tr>
      <w:tr w:rsidR="00012597" w:rsidRPr="0006390E" w14:paraId="76C13403" w14:textId="77777777" w:rsidTr="0006390E">
        <w:trPr>
          <w:cnfStyle w:val="000000100000" w:firstRow="0" w:lastRow="0" w:firstColumn="0" w:lastColumn="0" w:oddVBand="0" w:evenVBand="0" w:oddHBand="1" w:evenHBand="0" w:firstRowFirstColumn="0" w:firstRowLastColumn="0" w:lastRowFirstColumn="0" w:lastRowLastColumn="0"/>
          <w:trHeight w:val="333"/>
        </w:trPr>
        <w:tc>
          <w:tcPr>
            <w:cnfStyle w:val="001000000000" w:firstRow="0" w:lastRow="0" w:firstColumn="1" w:lastColumn="0" w:oddVBand="0" w:evenVBand="0" w:oddHBand="0" w:evenHBand="0" w:firstRowFirstColumn="0" w:firstRowLastColumn="0" w:lastRowFirstColumn="0" w:lastRowLastColumn="0"/>
            <w:tcW w:w="1738" w:type="dxa"/>
          </w:tcPr>
          <w:p w14:paraId="6E572274" w14:textId="3FD734D7" w:rsidR="00012597" w:rsidRPr="0006390E" w:rsidRDefault="00012597">
            <w:pPr>
              <w:rPr>
                <w:rFonts w:ascii="Palatino Linotype" w:hAnsi="Palatino Linotype"/>
                <w:sz w:val="20"/>
                <w:szCs w:val="20"/>
              </w:rPr>
            </w:pPr>
            <w:r w:rsidRPr="0006390E">
              <w:rPr>
                <w:rFonts w:ascii="Palatino Linotype" w:hAnsi="Palatino Linotype"/>
                <w:sz w:val="20"/>
                <w:szCs w:val="20"/>
              </w:rPr>
              <w:t>Sensitivity</w:t>
            </w:r>
          </w:p>
        </w:tc>
        <w:tc>
          <w:tcPr>
            <w:tcW w:w="1803" w:type="dxa"/>
          </w:tcPr>
          <w:p w14:paraId="1FD1B3A7" w14:textId="220B1D77" w:rsidR="00012597" w:rsidRPr="0006390E" w:rsidRDefault="00A67DD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06390E">
              <w:rPr>
                <w:rFonts w:ascii="Palatino Linotype" w:hAnsi="Palatino Linotype"/>
                <w:sz w:val="20"/>
                <w:szCs w:val="20"/>
              </w:rPr>
              <w:t>95.54%</w:t>
            </w:r>
          </w:p>
        </w:tc>
        <w:tc>
          <w:tcPr>
            <w:tcW w:w="1876" w:type="dxa"/>
          </w:tcPr>
          <w:p w14:paraId="4AE5DCB8" w14:textId="4862188B" w:rsidR="00012597" w:rsidRPr="0006390E" w:rsidRDefault="00A67DD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06390E">
              <w:rPr>
                <w:rFonts w:ascii="Palatino Linotype" w:hAnsi="Palatino Linotype"/>
                <w:sz w:val="20"/>
                <w:szCs w:val="20"/>
              </w:rPr>
              <w:t>83.93%</w:t>
            </w:r>
          </w:p>
        </w:tc>
        <w:tc>
          <w:tcPr>
            <w:tcW w:w="2269" w:type="dxa"/>
          </w:tcPr>
          <w:p w14:paraId="6F514A85" w14:textId="79FC9F31" w:rsidR="00012597" w:rsidRPr="0006390E" w:rsidRDefault="00A67DD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06390E">
              <w:rPr>
                <w:rFonts w:ascii="Palatino Linotype" w:hAnsi="Palatino Linotype"/>
                <w:sz w:val="20"/>
                <w:szCs w:val="20"/>
              </w:rPr>
              <w:t>99.45%</w:t>
            </w:r>
          </w:p>
        </w:tc>
        <w:tc>
          <w:tcPr>
            <w:tcW w:w="2269" w:type="dxa"/>
          </w:tcPr>
          <w:p w14:paraId="1CA4BBB1" w14:textId="442EBF65" w:rsidR="00012597" w:rsidRPr="0006390E" w:rsidRDefault="00A67DD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06390E">
              <w:rPr>
                <w:rFonts w:ascii="Palatino Linotype" w:hAnsi="Palatino Linotype"/>
                <w:sz w:val="20"/>
                <w:szCs w:val="20"/>
              </w:rPr>
              <w:t>79.07%</w:t>
            </w:r>
          </w:p>
        </w:tc>
      </w:tr>
      <w:tr w:rsidR="00012597" w:rsidRPr="0006390E" w14:paraId="1AAF5ACB" w14:textId="77777777" w:rsidTr="0006390E">
        <w:trPr>
          <w:trHeight w:val="294"/>
        </w:trPr>
        <w:tc>
          <w:tcPr>
            <w:cnfStyle w:val="001000000000" w:firstRow="0" w:lastRow="0" w:firstColumn="1" w:lastColumn="0" w:oddVBand="0" w:evenVBand="0" w:oddHBand="0" w:evenHBand="0" w:firstRowFirstColumn="0" w:firstRowLastColumn="0" w:lastRowFirstColumn="0" w:lastRowLastColumn="0"/>
            <w:tcW w:w="1738" w:type="dxa"/>
          </w:tcPr>
          <w:p w14:paraId="6CF55890" w14:textId="5E787328" w:rsidR="00012597" w:rsidRPr="0006390E" w:rsidRDefault="00012597">
            <w:pPr>
              <w:rPr>
                <w:rFonts w:ascii="Palatino Linotype" w:hAnsi="Palatino Linotype"/>
                <w:sz w:val="20"/>
                <w:szCs w:val="20"/>
              </w:rPr>
            </w:pPr>
            <w:r w:rsidRPr="0006390E">
              <w:rPr>
                <w:rFonts w:ascii="Palatino Linotype" w:hAnsi="Palatino Linotype"/>
                <w:sz w:val="20"/>
                <w:szCs w:val="20"/>
              </w:rPr>
              <w:t>Specificity</w:t>
            </w:r>
          </w:p>
        </w:tc>
        <w:tc>
          <w:tcPr>
            <w:tcW w:w="1803" w:type="dxa"/>
          </w:tcPr>
          <w:p w14:paraId="1B5387B9" w14:textId="6042B10D" w:rsidR="00012597" w:rsidRPr="0006390E" w:rsidRDefault="00A67DD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06390E">
              <w:rPr>
                <w:rFonts w:ascii="Palatino Linotype" w:hAnsi="Palatino Linotype"/>
                <w:sz w:val="20"/>
                <w:szCs w:val="20"/>
              </w:rPr>
              <w:t>30.19%</w:t>
            </w:r>
          </w:p>
        </w:tc>
        <w:tc>
          <w:tcPr>
            <w:tcW w:w="1876" w:type="dxa"/>
          </w:tcPr>
          <w:p w14:paraId="6E8A7DF9" w14:textId="549EE45C" w:rsidR="00012597" w:rsidRPr="0006390E" w:rsidRDefault="00A67DD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06390E">
              <w:rPr>
                <w:rFonts w:ascii="Palatino Linotype" w:hAnsi="Palatino Linotype"/>
                <w:sz w:val="20"/>
                <w:szCs w:val="20"/>
              </w:rPr>
              <w:t>75.47%</w:t>
            </w:r>
          </w:p>
        </w:tc>
        <w:tc>
          <w:tcPr>
            <w:tcW w:w="2269" w:type="dxa"/>
          </w:tcPr>
          <w:p w14:paraId="520FBB62" w14:textId="4CA489CB" w:rsidR="00012597" w:rsidRPr="0006390E" w:rsidRDefault="00A67DD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06390E">
              <w:rPr>
                <w:rFonts w:ascii="Palatino Linotype" w:hAnsi="Palatino Linotype"/>
                <w:sz w:val="20"/>
                <w:szCs w:val="20"/>
              </w:rPr>
              <w:t>35.17%</w:t>
            </w:r>
          </w:p>
        </w:tc>
        <w:tc>
          <w:tcPr>
            <w:tcW w:w="2269" w:type="dxa"/>
          </w:tcPr>
          <w:p w14:paraId="4094773E" w14:textId="6EE301D8" w:rsidR="00012597" w:rsidRPr="0006390E" w:rsidRDefault="00A67DD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06390E">
              <w:rPr>
                <w:rFonts w:ascii="Palatino Linotype" w:hAnsi="Palatino Linotype"/>
                <w:sz w:val="20"/>
                <w:szCs w:val="20"/>
              </w:rPr>
              <w:t>89.15%</w:t>
            </w:r>
          </w:p>
        </w:tc>
      </w:tr>
      <w:tr w:rsidR="00012597" w:rsidRPr="0006390E" w14:paraId="061488CD" w14:textId="77777777" w:rsidTr="0006390E">
        <w:trPr>
          <w:cnfStyle w:val="000000100000" w:firstRow="0" w:lastRow="0" w:firstColumn="0" w:lastColumn="0" w:oddVBand="0" w:evenVBand="0" w:oddHBand="1"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1738" w:type="dxa"/>
          </w:tcPr>
          <w:p w14:paraId="543AEC58" w14:textId="66CC6D5F" w:rsidR="00012597" w:rsidRPr="0006390E" w:rsidRDefault="00012597">
            <w:pPr>
              <w:rPr>
                <w:rFonts w:ascii="Palatino Linotype" w:hAnsi="Palatino Linotype"/>
                <w:sz w:val="20"/>
                <w:szCs w:val="20"/>
              </w:rPr>
            </w:pPr>
            <w:r w:rsidRPr="0006390E">
              <w:rPr>
                <w:rFonts w:ascii="Palatino Linotype" w:hAnsi="Palatino Linotype"/>
                <w:sz w:val="20"/>
                <w:szCs w:val="20"/>
              </w:rPr>
              <w:t>PPV</w:t>
            </w:r>
          </w:p>
        </w:tc>
        <w:tc>
          <w:tcPr>
            <w:tcW w:w="1803" w:type="dxa"/>
          </w:tcPr>
          <w:p w14:paraId="7389DA8F" w14:textId="49696BB8" w:rsidR="00012597" w:rsidRPr="0006390E" w:rsidRDefault="00A67DD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06390E">
              <w:rPr>
                <w:rFonts w:ascii="Palatino Linotype" w:hAnsi="Palatino Linotype"/>
                <w:sz w:val="20"/>
                <w:szCs w:val="20"/>
              </w:rPr>
              <w:t>74.31%</w:t>
            </w:r>
          </w:p>
        </w:tc>
        <w:tc>
          <w:tcPr>
            <w:tcW w:w="1876" w:type="dxa"/>
          </w:tcPr>
          <w:p w14:paraId="0A92A40D" w14:textId="1BA76CCD" w:rsidR="00012597" w:rsidRPr="0006390E" w:rsidRDefault="00A67DD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06390E">
              <w:rPr>
                <w:rFonts w:ascii="Palatino Linotype" w:hAnsi="Palatino Linotype"/>
                <w:sz w:val="20"/>
                <w:szCs w:val="20"/>
              </w:rPr>
              <w:t>87.85%</w:t>
            </w:r>
          </w:p>
        </w:tc>
        <w:tc>
          <w:tcPr>
            <w:tcW w:w="2269" w:type="dxa"/>
          </w:tcPr>
          <w:p w14:paraId="36AC4331" w14:textId="50DCE833" w:rsidR="00012597" w:rsidRPr="0006390E" w:rsidRDefault="00A67DD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06390E">
              <w:rPr>
                <w:rFonts w:ascii="Palatino Linotype" w:hAnsi="Palatino Linotype"/>
                <w:sz w:val="20"/>
                <w:szCs w:val="20"/>
              </w:rPr>
              <w:t>6.77%</w:t>
            </w:r>
          </w:p>
        </w:tc>
        <w:tc>
          <w:tcPr>
            <w:tcW w:w="2269" w:type="dxa"/>
          </w:tcPr>
          <w:p w14:paraId="099A78AF" w14:textId="1EFD3A5D" w:rsidR="00012597" w:rsidRPr="0006390E" w:rsidRDefault="00A67DD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06390E">
              <w:rPr>
                <w:rFonts w:ascii="Palatino Linotype" w:hAnsi="Palatino Linotype"/>
                <w:sz w:val="20"/>
                <w:szCs w:val="20"/>
              </w:rPr>
              <w:t>25.63%</w:t>
            </w:r>
          </w:p>
        </w:tc>
      </w:tr>
      <w:tr w:rsidR="00012597" w:rsidRPr="0006390E" w14:paraId="75BD1E3C" w14:textId="77777777" w:rsidTr="0006390E">
        <w:trPr>
          <w:trHeight w:val="294"/>
        </w:trPr>
        <w:tc>
          <w:tcPr>
            <w:cnfStyle w:val="001000000000" w:firstRow="0" w:lastRow="0" w:firstColumn="1" w:lastColumn="0" w:oddVBand="0" w:evenVBand="0" w:oddHBand="0" w:evenHBand="0" w:firstRowFirstColumn="0" w:firstRowLastColumn="0" w:lastRowFirstColumn="0" w:lastRowLastColumn="0"/>
            <w:tcW w:w="1738" w:type="dxa"/>
          </w:tcPr>
          <w:p w14:paraId="5CD0CEED" w14:textId="38089B08" w:rsidR="00012597" w:rsidRPr="0006390E" w:rsidRDefault="00012597">
            <w:pPr>
              <w:rPr>
                <w:rFonts w:ascii="Palatino Linotype" w:hAnsi="Palatino Linotype"/>
                <w:sz w:val="20"/>
                <w:szCs w:val="20"/>
              </w:rPr>
            </w:pPr>
            <w:r w:rsidRPr="0006390E">
              <w:rPr>
                <w:rFonts w:ascii="Palatino Linotype" w:hAnsi="Palatino Linotype"/>
                <w:sz w:val="20"/>
                <w:szCs w:val="20"/>
              </w:rPr>
              <w:t>NPV</w:t>
            </w:r>
          </w:p>
        </w:tc>
        <w:tc>
          <w:tcPr>
            <w:tcW w:w="1803" w:type="dxa"/>
          </w:tcPr>
          <w:p w14:paraId="519F4B9D" w14:textId="2090AF08" w:rsidR="00012597" w:rsidRPr="0006390E" w:rsidRDefault="00A67DD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06390E">
              <w:rPr>
                <w:rFonts w:ascii="Palatino Linotype" w:hAnsi="Palatino Linotype"/>
                <w:sz w:val="20"/>
                <w:szCs w:val="20"/>
              </w:rPr>
              <w:t>76.19%</w:t>
            </w:r>
          </w:p>
        </w:tc>
        <w:tc>
          <w:tcPr>
            <w:tcW w:w="1876" w:type="dxa"/>
          </w:tcPr>
          <w:p w14:paraId="6724A6FE" w14:textId="122AC58A" w:rsidR="00012597" w:rsidRPr="0006390E" w:rsidRDefault="00A67DD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06390E">
              <w:rPr>
                <w:rFonts w:ascii="Palatino Linotype" w:hAnsi="Palatino Linotype"/>
                <w:sz w:val="20"/>
                <w:szCs w:val="20"/>
              </w:rPr>
              <w:t>68.97%</w:t>
            </w:r>
          </w:p>
        </w:tc>
        <w:tc>
          <w:tcPr>
            <w:tcW w:w="2269" w:type="dxa"/>
          </w:tcPr>
          <w:p w14:paraId="042739C4" w14:textId="62FAA557" w:rsidR="00012597" w:rsidRPr="0006390E" w:rsidRDefault="00A67DD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06390E">
              <w:rPr>
                <w:rFonts w:ascii="Palatino Linotype" w:hAnsi="Palatino Linotype"/>
                <w:sz w:val="20"/>
                <w:szCs w:val="20"/>
              </w:rPr>
              <w:t>99.93%</w:t>
            </w:r>
          </w:p>
        </w:tc>
        <w:tc>
          <w:tcPr>
            <w:tcW w:w="2269" w:type="dxa"/>
          </w:tcPr>
          <w:p w14:paraId="6FDFBF5C" w14:textId="68CA0165" w:rsidR="00012597" w:rsidRPr="0006390E" w:rsidRDefault="00A67DD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06390E">
              <w:rPr>
                <w:rFonts w:ascii="Palatino Linotype" w:hAnsi="Palatino Linotype"/>
                <w:sz w:val="20"/>
                <w:szCs w:val="20"/>
              </w:rPr>
              <w:t>98.90%</w:t>
            </w:r>
          </w:p>
        </w:tc>
      </w:tr>
    </w:tbl>
    <w:p w14:paraId="1F4E018D" w14:textId="77777777" w:rsidR="00012597" w:rsidRPr="0006390E" w:rsidRDefault="00012597">
      <w:pPr>
        <w:rPr>
          <w:rFonts w:ascii="Palatino Linotype" w:hAnsi="Palatino Linotype"/>
          <w:sz w:val="20"/>
          <w:szCs w:val="20"/>
        </w:rPr>
      </w:pPr>
    </w:p>
    <w:p w14:paraId="18DFD006" w14:textId="7F81E891" w:rsidR="00012597" w:rsidRPr="0006390E" w:rsidRDefault="00012597">
      <w:pPr>
        <w:rPr>
          <w:rFonts w:ascii="Palatino Linotype" w:hAnsi="Palatino Linotype"/>
          <w:sz w:val="20"/>
          <w:szCs w:val="20"/>
        </w:rPr>
      </w:pPr>
      <w:r w:rsidRPr="0006390E">
        <w:rPr>
          <w:rFonts w:ascii="Palatino Linotype" w:hAnsi="Palatino Linotype"/>
          <w:sz w:val="20"/>
          <w:szCs w:val="20"/>
        </w:rPr>
        <w:t>It should be noted that neither of the</w:t>
      </w:r>
      <w:r w:rsidR="00FD756F">
        <w:rPr>
          <w:rFonts w:ascii="Palatino Linotype" w:hAnsi="Palatino Linotype"/>
          <w:sz w:val="20"/>
          <w:szCs w:val="20"/>
        </w:rPr>
        <w:t>se</w:t>
      </w:r>
      <w:r w:rsidRPr="0006390E">
        <w:rPr>
          <w:rFonts w:ascii="Palatino Linotype" w:hAnsi="Palatino Linotype"/>
          <w:sz w:val="20"/>
          <w:szCs w:val="20"/>
        </w:rPr>
        <w:t xml:space="preserve"> methods </w:t>
      </w:r>
      <w:r w:rsidR="00A67DD9" w:rsidRPr="0006390E">
        <w:rPr>
          <w:rFonts w:ascii="Palatino Linotype" w:hAnsi="Palatino Linotype"/>
          <w:sz w:val="20"/>
          <w:szCs w:val="20"/>
        </w:rPr>
        <w:t>are completely suited to an accurate comparison</w:t>
      </w:r>
      <w:r w:rsidR="00FD756F">
        <w:rPr>
          <w:rFonts w:ascii="Palatino Linotype" w:hAnsi="Palatino Linotype"/>
          <w:sz w:val="20"/>
          <w:szCs w:val="20"/>
        </w:rPr>
        <w:t xml:space="preserve"> with the ELISA</w:t>
      </w:r>
      <w:r w:rsidR="00A67DD9" w:rsidRPr="0006390E">
        <w:rPr>
          <w:rFonts w:ascii="Palatino Linotype" w:hAnsi="Palatino Linotype"/>
          <w:sz w:val="20"/>
          <w:szCs w:val="20"/>
        </w:rPr>
        <w:t xml:space="preserve">. The Pseudotype Neutralisation assay, while accurate, is only able to detect virus </w:t>
      </w:r>
      <w:r w:rsidR="00A67DD9" w:rsidRPr="0006390E">
        <w:rPr>
          <w:rFonts w:ascii="Palatino Linotype" w:hAnsi="Palatino Linotype"/>
          <w:sz w:val="20"/>
          <w:szCs w:val="20"/>
        </w:rPr>
        <w:lastRenderedPageBreak/>
        <w:t xml:space="preserve">neutralising antibodies which </w:t>
      </w:r>
      <w:r w:rsidR="00762083">
        <w:rPr>
          <w:rFonts w:ascii="Palatino Linotype" w:hAnsi="Palatino Linotype"/>
          <w:sz w:val="20"/>
          <w:szCs w:val="20"/>
        </w:rPr>
        <w:t xml:space="preserve">directly </w:t>
      </w:r>
      <w:r w:rsidR="00A67DD9" w:rsidRPr="0006390E">
        <w:rPr>
          <w:rFonts w:ascii="Palatino Linotype" w:hAnsi="Palatino Linotype"/>
          <w:sz w:val="20"/>
          <w:szCs w:val="20"/>
        </w:rPr>
        <w:t xml:space="preserve">prevent cell entry. This accounts for the </w:t>
      </w:r>
      <w:r w:rsidR="00762083">
        <w:rPr>
          <w:rFonts w:ascii="Palatino Linotype" w:hAnsi="Palatino Linotype"/>
          <w:sz w:val="20"/>
          <w:szCs w:val="20"/>
        </w:rPr>
        <w:t xml:space="preserve">apparent low specificity of the ELISA, as the ELISA would be predicted to detect </w:t>
      </w:r>
      <w:r w:rsidR="00A67DD9" w:rsidRPr="0006390E">
        <w:rPr>
          <w:rFonts w:ascii="Palatino Linotype" w:hAnsi="Palatino Linotype"/>
          <w:sz w:val="20"/>
          <w:szCs w:val="20"/>
        </w:rPr>
        <w:t>a</w:t>
      </w:r>
      <w:r w:rsidR="00762083">
        <w:rPr>
          <w:rFonts w:ascii="Palatino Linotype" w:hAnsi="Palatino Linotype"/>
          <w:sz w:val="20"/>
          <w:szCs w:val="20"/>
        </w:rPr>
        <w:t>ny</w:t>
      </w:r>
      <w:r w:rsidR="00A67DD9" w:rsidRPr="0006390E">
        <w:rPr>
          <w:rFonts w:ascii="Palatino Linotype" w:hAnsi="Palatino Linotype"/>
          <w:sz w:val="20"/>
          <w:szCs w:val="20"/>
        </w:rPr>
        <w:t xml:space="preserve"> feline anti-RBD antibodies</w:t>
      </w:r>
      <w:r w:rsidR="00762083">
        <w:rPr>
          <w:rFonts w:ascii="Palatino Linotype" w:hAnsi="Palatino Linotype"/>
          <w:sz w:val="20"/>
          <w:szCs w:val="20"/>
        </w:rPr>
        <w:t>, both neutralising and non-neutralising</w:t>
      </w:r>
      <w:r w:rsidR="00A67DD9" w:rsidRPr="0006390E">
        <w:rPr>
          <w:rFonts w:ascii="Palatino Linotype" w:hAnsi="Palatino Linotype"/>
          <w:sz w:val="20"/>
          <w:szCs w:val="20"/>
        </w:rPr>
        <w:t>. At the OD 0.1 cut</w:t>
      </w:r>
      <w:r w:rsidR="00762083">
        <w:rPr>
          <w:rFonts w:ascii="Palatino Linotype" w:hAnsi="Palatino Linotype"/>
          <w:sz w:val="20"/>
          <w:szCs w:val="20"/>
        </w:rPr>
        <w:t>-</w:t>
      </w:r>
      <w:r w:rsidR="00A67DD9" w:rsidRPr="0006390E">
        <w:rPr>
          <w:rFonts w:ascii="Palatino Linotype" w:hAnsi="Palatino Linotype"/>
          <w:sz w:val="20"/>
          <w:szCs w:val="20"/>
        </w:rPr>
        <w:t xml:space="preserve">off, the ELISA detected 99.45% of all neutralisation positive samples and additionally had a negative predictive value of 99.93%, </w:t>
      </w:r>
      <w:r w:rsidR="00762083">
        <w:rPr>
          <w:rFonts w:ascii="Palatino Linotype" w:hAnsi="Palatino Linotype"/>
          <w:sz w:val="20"/>
          <w:szCs w:val="20"/>
        </w:rPr>
        <w:t>demonstrating</w:t>
      </w:r>
      <w:r w:rsidR="00762083" w:rsidRPr="0006390E">
        <w:rPr>
          <w:rFonts w:ascii="Palatino Linotype" w:hAnsi="Palatino Linotype"/>
          <w:sz w:val="20"/>
          <w:szCs w:val="20"/>
        </w:rPr>
        <w:t xml:space="preserve"> </w:t>
      </w:r>
      <w:r w:rsidR="00762083">
        <w:rPr>
          <w:rFonts w:ascii="Palatino Linotype" w:hAnsi="Palatino Linotype"/>
          <w:sz w:val="20"/>
          <w:szCs w:val="20"/>
        </w:rPr>
        <w:t>it has a high capacity to detect such antibodies when present.</w:t>
      </w:r>
    </w:p>
    <w:p w14:paraId="62F58878" w14:textId="220AB651" w:rsidR="00A67DD9" w:rsidRPr="0006390E" w:rsidRDefault="00A67DD9">
      <w:pPr>
        <w:rPr>
          <w:rFonts w:ascii="Palatino Linotype" w:hAnsi="Palatino Linotype"/>
          <w:sz w:val="20"/>
          <w:szCs w:val="20"/>
        </w:rPr>
      </w:pPr>
      <w:r w:rsidRPr="0006390E">
        <w:rPr>
          <w:rFonts w:ascii="Palatino Linotype" w:hAnsi="Palatino Linotype"/>
          <w:sz w:val="20"/>
          <w:szCs w:val="20"/>
        </w:rPr>
        <w:t>When comparing this ELISA to the commercial DABA kit,</w:t>
      </w:r>
      <w:r w:rsidR="00910D3C" w:rsidRPr="0006390E">
        <w:rPr>
          <w:rFonts w:ascii="Palatino Linotype" w:hAnsi="Palatino Linotype"/>
          <w:sz w:val="20"/>
          <w:szCs w:val="20"/>
        </w:rPr>
        <w:t xml:space="preserve"> it should be noted that only 165 samples were tested using the DABA compared to over 4000 tested with the neutralisation assay. Additionally, very few neutralisation negative samples were tested with the DABA. Generally, only neutralisation positive samples were tested for confirmation of positivity, as production of the kit had </w:t>
      </w:r>
      <w:r w:rsidR="0006390E">
        <w:rPr>
          <w:rFonts w:ascii="Palatino Linotype" w:hAnsi="Palatino Linotype"/>
          <w:sz w:val="20"/>
          <w:szCs w:val="20"/>
        </w:rPr>
        <w:t>ceased,</w:t>
      </w:r>
      <w:r w:rsidR="00910D3C" w:rsidRPr="0006390E">
        <w:rPr>
          <w:rFonts w:ascii="Palatino Linotype" w:hAnsi="Palatino Linotype"/>
          <w:sz w:val="20"/>
          <w:szCs w:val="20"/>
        </w:rPr>
        <w:t xml:space="preserve"> </w:t>
      </w:r>
      <w:r w:rsidR="0006390E">
        <w:rPr>
          <w:rFonts w:ascii="Palatino Linotype" w:hAnsi="Palatino Linotype"/>
          <w:sz w:val="20"/>
          <w:szCs w:val="20"/>
        </w:rPr>
        <w:t>therefore</w:t>
      </w:r>
      <w:r w:rsidR="00910D3C" w:rsidRPr="0006390E">
        <w:rPr>
          <w:rFonts w:ascii="Palatino Linotype" w:hAnsi="Palatino Linotype"/>
          <w:sz w:val="20"/>
          <w:szCs w:val="20"/>
        </w:rPr>
        <w:t xml:space="preserve"> samples could not be screened in large quantities. </w:t>
      </w:r>
      <w:r w:rsidR="003F0C18">
        <w:rPr>
          <w:rFonts w:ascii="Palatino Linotype" w:hAnsi="Palatino Linotype"/>
          <w:sz w:val="20"/>
          <w:szCs w:val="20"/>
        </w:rPr>
        <w:t xml:space="preserve">Both of these conditions </w:t>
      </w:r>
      <w:r w:rsidR="00782BE4">
        <w:rPr>
          <w:rFonts w:ascii="Palatino Linotype" w:hAnsi="Palatino Linotype"/>
          <w:sz w:val="20"/>
          <w:szCs w:val="20"/>
        </w:rPr>
        <w:t xml:space="preserve">could </w:t>
      </w:r>
      <w:r w:rsidR="003F0C18">
        <w:rPr>
          <w:rFonts w:ascii="Palatino Linotype" w:hAnsi="Palatino Linotype"/>
          <w:sz w:val="20"/>
          <w:szCs w:val="20"/>
        </w:rPr>
        <w:t>have affected the results of this analysis.</w:t>
      </w:r>
    </w:p>
    <w:sectPr w:rsidR="00A67DD9" w:rsidRPr="000639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5B2588"/>
    <w:multiLevelType w:val="hybridMultilevel"/>
    <w:tmpl w:val="42725B06"/>
    <w:lvl w:ilvl="0" w:tplc="08090005">
      <w:start w:val="1"/>
      <w:numFmt w:val="bullet"/>
      <w:lvlText w:val=""/>
      <w:lvlJc w:val="left"/>
      <w:pPr>
        <w:ind w:left="3393" w:hanging="360"/>
      </w:pPr>
      <w:rPr>
        <w:rFonts w:ascii="Wingdings" w:hAnsi="Wingdings" w:hint="default"/>
      </w:rPr>
    </w:lvl>
    <w:lvl w:ilvl="1" w:tplc="08090003" w:tentative="1">
      <w:start w:val="1"/>
      <w:numFmt w:val="bullet"/>
      <w:lvlText w:val="o"/>
      <w:lvlJc w:val="left"/>
      <w:pPr>
        <w:ind w:left="4113" w:hanging="360"/>
      </w:pPr>
      <w:rPr>
        <w:rFonts w:ascii="Courier New" w:hAnsi="Courier New" w:cs="Courier New" w:hint="default"/>
      </w:rPr>
    </w:lvl>
    <w:lvl w:ilvl="2" w:tplc="08090005" w:tentative="1">
      <w:start w:val="1"/>
      <w:numFmt w:val="bullet"/>
      <w:lvlText w:val=""/>
      <w:lvlJc w:val="left"/>
      <w:pPr>
        <w:ind w:left="4833" w:hanging="360"/>
      </w:pPr>
      <w:rPr>
        <w:rFonts w:ascii="Wingdings" w:hAnsi="Wingdings" w:hint="default"/>
      </w:rPr>
    </w:lvl>
    <w:lvl w:ilvl="3" w:tplc="08090001" w:tentative="1">
      <w:start w:val="1"/>
      <w:numFmt w:val="bullet"/>
      <w:lvlText w:val=""/>
      <w:lvlJc w:val="left"/>
      <w:pPr>
        <w:ind w:left="5553" w:hanging="360"/>
      </w:pPr>
      <w:rPr>
        <w:rFonts w:ascii="Symbol" w:hAnsi="Symbol" w:hint="default"/>
      </w:rPr>
    </w:lvl>
    <w:lvl w:ilvl="4" w:tplc="08090003" w:tentative="1">
      <w:start w:val="1"/>
      <w:numFmt w:val="bullet"/>
      <w:lvlText w:val="o"/>
      <w:lvlJc w:val="left"/>
      <w:pPr>
        <w:ind w:left="6273" w:hanging="360"/>
      </w:pPr>
      <w:rPr>
        <w:rFonts w:ascii="Courier New" w:hAnsi="Courier New" w:cs="Courier New" w:hint="default"/>
      </w:rPr>
    </w:lvl>
    <w:lvl w:ilvl="5" w:tplc="08090005" w:tentative="1">
      <w:start w:val="1"/>
      <w:numFmt w:val="bullet"/>
      <w:lvlText w:val=""/>
      <w:lvlJc w:val="left"/>
      <w:pPr>
        <w:ind w:left="6993" w:hanging="360"/>
      </w:pPr>
      <w:rPr>
        <w:rFonts w:ascii="Wingdings" w:hAnsi="Wingdings" w:hint="default"/>
      </w:rPr>
    </w:lvl>
    <w:lvl w:ilvl="6" w:tplc="08090001" w:tentative="1">
      <w:start w:val="1"/>
      <w:numFmt w:val="bullet"/>
      <w:lvlText w:val=""/>
      <w:lvlJc w:val="left"/>
      <w:pPr>
        <w:ind w:left="7713" w:hanging="360"/>
      </w:pPr>
      <w:rPr>
        <w:rFonts w:ascii="Symbol" w:hAnsi="Symbol" w:hint="default"/>
      </w:rPr>
    </w:lvl>
    <w:lvl w:ilvl="7" w:tplc="08090003" w:tentative="1">
      <w:start w:val="1"/>
      <w:numFmt w:val="bullet"/>
      <w:lvlText w:val="o"/>
      <w:lvlJc w:val="left"/>
      <w:pPr>
        <w:ind w:left="8433" w:hanging="360"/>
      </w:pPr>
      <w:rPr>
        <w:rFonts w:ascii="Courier New" w:hAnsi="Courier New" w:cs="Courier New" w:hint="default"/>
      </w:rPr>
    </w:lvl>
    <w:lvl w:ilvl="8" w:tplc="08090005" w:tentative="1">
      <w:start w:val="1"/>
      <w:numFmt w:val="bullet"/>
      <w:lvlText w:val=""/>
      <w:lvlJc w:val="left"/>
      <w:pPr>
        <w:ind w:left="9153" w:hanging="360"/>
      </w:pPr>
      <w:rPr>
        <w:rFonts w:ascii="Wingdings" w:hAnsi="Wingdings" w:hint="default"/>
      </w:rPr>
    </w:lvl>
  </w:abstractNum>
  <w:num w:numId="1" w16cid:durableId="7071472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jGwMDc3tLA0NTY2NLZQ0lEKTi0uzszPAykwrAUAwHONdywAAAA="/>
  </w:docVars>
  <w:rsids>
    <w:rsidRoot w:val="00012597"/>
    <w:rsid w:val="00012597"/>
    <w:rsid w:val="0006390E"/>
    <w:rsid w:val="000B0821"/>
    <w:rsid w:val="00123393"/>
    <w:rsid w:val="00225E9B"/>
    <w:rsid w:val="003F0C18"/>
    <w:rsid w:val="00762083"/>
    <w:rsid w:val="00782BE4"/>
    <w:rsid w:val="00910D3C"/>
    <w:rsid w:val="00915096"/>
    <w:rsid w:val="00975C64"/>
    <w:rsid w:val="00A159A5"/>
    <w:rsid w:val="00A67DD9"/>
    <w:rsid w:val="00BB41E2"/>
    <w:rsid w:val="00BD2C05"/>
    <w:rsid w:val="00C7511F"/>
    <w:rsid w:val="00CB5288"/>
    <w:rsid w:val="00FD756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E90A0"/>
  <w15:chartTrackingRefBased/>
  <w15:docId w15:val="{592D5429-36E3-498B-A46F-B26B370FC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125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910D3C"/>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MDPI31text">
    <w:name w:val="MDPI_3.1_text"/>
    <w:qFormat/>
    <w:rsid w:val="00975C64"/>
    <w:pPr>
      <w:adjustRightInd w:val="0"/>
      <w:snapToGrid w:val="0"/>
      <w:spacing w:after="0" w:line="228" w:lineRule="auto"/>
      <w:ind w:left="2608" w:firstLine="425"/>
      <w:jc w:val="both"/>
    </w:pPr>
    <w:rPr>
      <w:rFonts w:ascii="Palatino Linotype" w:eastAsia="Times New Roman" w:hAnsi="Palatino Linotype" w:cs="Times New Roman"/>
      <w:snapToGrid w:val="0"/>
      <w:color w:val="000000"/>
      <w:kern w:val="0"/>
      <w:sz w:val="20"/>
      <w:lang w:val="en-US" w:eastAsia="de-DE" w:bidi="en-US"/>
      <w14:ligatures w14:val="none"/>
    </w:rPr>
  </w:style>
  <w:style w:type="paragraph" w:styleId="Revision">
    <w:name w:val="Revision"/>
    <w:hidden/>
    <w:uiPriority w:val="99"/>
    <w:semiHidden/>
    <w:rsid w:val="00225E9B"/>
    <w:pPr>
      <w:spacing w:after="0" w:line="240" w:lineRule="auto"/>
    </w:pPr>
  </w:style>
  <w:style w:type="character" w:styleId="CommentReference">
    <w:name w:val="annotation reference"/>
    <w:basedOn w:val="DefaultParagraphFont"/>
    <w:uiPriority w:val="99"/>
    <w:semiHidden/>
    <w:unhideWhenUsed/>
    <w:rsid w:val="00FD756F"/>
    <w:rPr>
      <w:sz w:val="16"/>
      <w:szCs w:val="16"/>
    </w:rPr>
  </w:style>
  <w:style w:type="paragraph" w:styleId="CommentText">
    <w:name w:val="annotation text"/>
    <w:basedOn w:val="Normal"/>
    <w:link w:val="CommentTextChar"/>
    <w:uiPriority w:val="99"/>
    <w:semiHidden/>
    <w:unhideWhenUsed/>
    <w:rsid w:val="00FD756F"/>
    <w:pPr>
      <w:spacing w:line="240" w:lineRule="auto"/>
    </w:pPr>
    <w:rPr>
      <w:sz w:val="20"/>
      <w:szCs w:val="20"/>
    </w:rPr>
  </w:style>
  <w:style w:type="character" w:customStyle="1" w:styleId="CommentTextChar">
    <w:name w:val="Comment Text Char"/>
    <w:basedOn w:val="DefaultParagraphFont"/>
    <w:link w:val="CommentText"/>
    <w:uiPriority w:val="99"/>
    <w:semiHidden/>
    <w:rsid w:val="00FD756F"/>
    <w:rPr>
      <w:sz w:val="20"/>
      <w:szCs w:val="20"/>
    </w:rPr>
  </w:style>
  <w:style w:type="paragraph" w:styleId="CommentSubject">
    <w:name w:val="annotation subject"/>
    <w:basedOn w:val="CommentText"/>
    <w:next w:val="CommentText"/>
    <w:link w:val="CommentSubjectChar"/>
    <w:uiPriority w:val="99"/>
    <w:semiHidden/>
    <w:unhideWhenUsed/>
    <w:rsid w:val="00FD756F"/>
    <w:rPr>
      <w:b/>
      <w:bCs/>
    </w:rPr>
  </w:style>
  <w:style w:type="character" w:customStyle="1" w:styleId="CommentSubjectChar">
    <w:name w:val="Comment Subject Char"/>
    <w:basedOn w:val="CommentTextChar"/>
    <w:link w:val="CommentSubject"/>
    <w:uiPriority w:val="99"/>
    <w:semiHidden/>
    <w:rsid w:val="00FD756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558</Words>
  <Characters>3182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Grace Tyson (PGR)</dc:creator>
  <cp:keywords/>
  <dc:description/>
  <cp:lastModifiedBy>Grace Tyson (PGR)</cp:lastModifiedBy>
  <cp:revision>2</cp:revision>
  <dcterms:created xsi:type="dcterms:W3CDTF">2023-07-25T15:26:00Z</dcterms:created>
  <dcterms:modified xsi:type="dcterms:W3CDTF">2023-07-25T15:26:00Z</dcterms:modified>
</cp:coreProperties>
</file>