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306" w:rsidRPr="005554A7" w:rsidRDefault="00753BB0" w:rsidP="00590C10">
      <w:pPr>
        <w:adjustRightInd w:val="0"/>
        <w:snapToGrid w:val="0"/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54A7">
        <w:rPr>
          <w:rFonts w:ascii="Times New Roman" w:hAnsi="Times New Roman" w:cs="Times New Roman"/>
          <w:b/>
          <w:sz w:val="36"/>
          <w:szCs w:val="36"/>
        </w:rPr>
        <w:t>References used in Table S1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1.</w:t>
      </w:r>
      <w:r w:rsidRPr="00C7285C">
        <w:rPr>
          <w:rFonts w:ascii="Times New Roman" w:hAnsi="Times New Roman" w:cs="Times New Roman"/>
          <w:sz w:val="24"/>
          <w:szCs w:val="24"/>
        </w:rPr>
        <w:tab/>
        <w:t xml:space="preserve">Drosten, C.; Göttig, S.; Schilling, S.; Asper, M.; Panning, M.; Schmitz, H.; Günther, S. Rapid detection and quantification of rna of ebola and marburg viruses, lassa virus, crimean-congo hemorrhagic fever virus, rift valley fever virus, dengue virus, and yellow fever virus by real-time reverse transcription-pcr.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J Clin Microbiol </w:t>
      </w:r>
      <w:r w:rsidRPr="00C7285C">
        <w:rPr>
          <w:rFonts w:ascii="Times New Roman" w:hAnsi="Times New Roman" w:cs="Times New Roman"/>
          <w:b/>
          <w:sz w:val="24"/>
          <w:szCs w:val="24"/>
        </w:rPr>
        <w:t>2002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40</w:t>
      </w:r>
      <w:r w:rsidRPr="00C7285C">
        <w:rPr>
          <w:rFonts w:ascii="Times New Roman" w:hAnsi="Times New Roman" w:cs="Times New Roman"/>
          <w:sz w:val="24"/>
          <w:szCs w:val="24"/>
        </w:rPr>
        <w:t>, 2323-2330.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2.</w:t>
      </w:r>
      <w:r w:rsidRPr="00C7285C">
        <w:rPr>
          <w:rFonts w:ascii="Times New Roman" w:hAnsi="Times New Roman" w:cs="Times New Roman"/>
          <w:sz w:val="24"/>
          <w:szCs w:val="24"/>
        </w:rPr>
        <w:tab/>
        <w:t>Gibb, T.R.; Norwood, D.A.; W</w:t>
      </w:r>
      <w:bookmarkStart w:id="0" w:name="_GoBack"/>
      <w:bookmarkEnd w:id="0"/>
      <w:r w:rsidRPr="00C7285C">
        <w:rPr>
          <w:rFonts w:ascii="Times New Roman" w:hAnsi="Times New Roman" w:cs="Times New Roman"/>
          <w:sz w:val="24"/>
          <w:szCs w:val="24"/>
        </w:rPr>
        <w:t xml:space="preserve">oollen, N.; Henchal, E.A. Development and evaluation of a fluorogenic 5' nuclease assay to detect and differentiate between ebola virus subtypes zaire and sudan.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J Clin Microbiol </w:t>
      </w:r>
      <w:r w:rsidRPr="00C7285C">
        <w:rPr>
          <w:rFonts w:ascii="Times New Roman" w:hAnsi="Times New Roman" w:cs="Times New Roman"/>
          <w:b/>
          <w:sz w:val="24"/>
          <w:szCs w:val="24"/>
        </w:rPr>
        <w:t>2001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39</w:t>
      </w:r>
      <w:r w:rsidRPr="00C7285C">
        <w:rPr>
          <w:rFonts w:ascii="Times New Roman" w:hAnsi="Times New Roman" w:cs="Times New Roman"/>
          <w:sz w:val="24"/>
          <w:szCs w:val="24"/>
        </w:rPr>
        <w:t>, 4125-4130.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3.</w:t>
      </w:r>
      <w:r w:rsidRPr="00C7285C">
        <w:rPr>
          <w:rFonts w:ascii="Times New Roman" w:hAnsi="Times New Roman" w:cs="Times New Roman"/>
          <w:sz w:val="24"/>
          <w:szCs w:val="24"/>
        </w:rPr>
        <w:tab/>
        <w:t>Gire, S.K.; Goba, A.; Andersen, K.G.; Sealfon, R.S.; Park, D.J.; Kanneh, L.; Jalloh, S.; Momoh, M.; Fullah, M.; Dudas, G.</w:t>
      </w:r>
      <w:r w:rsidR="00437037">
        <w:rPr>
          <w:rFonts w:ascii="Times New Roman" w:hAnsi="Times New Roman" w:cs="Times New Roman"/>
          <w:sz w:val="24"/>
          <w:szCs w:val="24"/>
        </w:rPr>
        <w:t>;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 et al.</w:t>
      </w:r>
      <w:r w:rsidRPr="00C7285C">
        <w:rPr>
          <w:rFonts w:ascii="Times New Roman" w:hAnsi="Times New Roman" w:cs="Times New Roman"/>
          <w:sz w:val="24"/>
          <w:szCs w:val="24"/>
        </w:rPr>
        <w:t xml:space="preserve"> Genomic surveillance elucidates ebola virus origin and transmission during the 2014 outbreak.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Science </w:t>
      </w:r>
      <w:r w:rsidRPr="00C7285C">
        <w:rPr>
          <w:rFonts w:ascii="Times New Roman" w:hAnsi="Times New Roman" w:cs="Times New Roman"/>
          <w:b/>
          <w:sz w:val="24"/>
          <w:szCs w:val="24"/>
        </w:rPr>
        <w:t>2014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345</w:t>
      </w:r>
      <w:r w:rsidRPr="00C7285C">
        <w:rPr>
          <w:rFonts w:ascii="Times New Roman" w:hAnsi="Times New Roman" w:cs="Times New Roman"/>
          <w:sz w:val="24"/>
          <w:szCs w:val="24"/>
        </w:rPr>
        <w:t>, 1369-1372.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4.</w:t>
      </w:r>
      <w:r w:rsidRPr="00C7285C">
        <w:rPr>
          <w:rFonts w:ascii="Times New Roman" w:hAnsi="Times New Roman" w:cs="Times New Roman"/>
          <w:sz w:val="24"/>
          <w:szCs w:val="24"/>
        </w:rPr>
        <w:tab/>
        <w:t xml:space="preserve">Grard, G.; Biek, R.; Tamfum, J.J.; Fair, J.; Wolfe, N.; Formenty, P.; Paweska, J.; Leroy, E. Emergence of divergent zaire ebola virus strains in democratic republic of the congo in 2007 and 2008.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J Infect Dis </w:t>
      </w:r>
      <w:r w:rsidRPr="00C7285C">
        <w:rPr>
          <w:rFonts w:ascii="Times New Roman" w:hAnsi="Times New Roman" w:cs="Times New Roman"/>
          <w:b/>
          <w:sz w:val="24"/>
          <w:szCs w:val="24"/>
        </w:rPr>
        <w:t>2011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204 Suppl 3</w:t>
      </w:r>
      <w:r w:rsidRPr="00C7285C">
        <w:rPr>
          <w:rFonts w:ascii="Times New Roman" w:hAnsi="Times New Roman" w:cs="Times New Roman"/>
          <w:sz w:val="24"/>
          <w:szCs w:val="24"/>
        </w:rPr>
        <w:t>, S776-784.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5.</w:t>
      </w:r>
      <w:r w:rsidRPr="00C7285C">
        <w:rPr>
          <w:rFonts w:ascii="Times New Roman" w:hAnsi="Times New Roman" w:cs="Times New Roman"/>
          <w:sz w:val="24"/>
          <w:szCs w:val="24"/>
        </w:rPr>
        <w:tab/>
        <w:t xml:space="preserve">Kobinger, G.P.; Leung, A.; Neufeld, J.; Richardson, J.S.; Falzarano, D.; Smith, G.; Tierney, K.; Patel, A.; Weingartl, H.M. Replication, pathogenicity, shedding, and transmission of zaire ebolavirus in pigs.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J Infect Dis </w:t>
      </w:r>
      <w:r w:rsidRPr="00C7285C">
        <w:rPr>
          <w:rFonts w:ascii="Times New Roman" w:hAnsi="Times New Roman" w:cs="Times New Roman"/>
          <w:b/>
          <w:sz w:val="24"/>
          <w:szCs w:val="24"/>
        </w:rPr>
        <w:t>2011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204</w:t>
      </w:r>
      <w:r w:rsidRPr="00C7285C">
        <w:rPr>
          <w:rFonts w:ascii="Times New Roman" w:hAnsi="Times New Roman" w:cs="Times New Roman"/>
          <w:sz w:val="24"/>
          <w:szCs w:val="24"/>
        </w:rPr>
        <w:t>, 200-208.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6.</w:t>
      </w:r>
      <w:r w:rsidRPr="00C7285C">
        <w:rPr>
          <w:rFonts w:ascii="Times New Roman" w:hAnsi="Times New Roman" w:cs="Times New Roman"/>
          <w:sz w:val="24"/>
          <w:szCs w:val="24"/>
        </w:rPr>
        <w:tab/>
        <w:t>Morvan, J.M.; Deubel, V.; Gounon, P.; Nakouné, E.; Barrière, P.; Murri, S.; Perpète, O.; Selekon, B.; Coudrier, D.; Gautier-Hion, A.</w:t>
      </w:r>
      <w:r w:rsidRPr="00C7285C">
        <w:rPr>
          <w:rFonts w:ascii="Times New Roman" w:hAnsi="Times New Roman" w:cs="Times New Roman"/>
          <w:i/>
          <w:sz w:val="24"/>
          <w:szCs w:val="24"/>
        </w:rPr>
        <w:t>, et al.</w:t>
      </w:r>
      <w:r w:rsidRPr="00C7285C">
        <w:rPr>
          <w:rFonts w:ascii="Times New Roman" w:hAnsi="Times New Roman" w:cs="Times New Roman"/>
          <w:sz w:val="24"/>
          <w:szCs w:val="24"/>
        </w:rPr>
        <w:t xml:space="preserve"> Identification of ebola virus sequences present as rna or dna in organs of terrestrial small mammals of the central african republic.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Microbes Infect </w:t>
      </w:r>
      <w:r w:rsidRPr="00C7285C">
        <w:rPr>
          <w:rFonts w:ascii="Times New Roman" w:hAnsi="Times New Roman" w:cs="Times New Roman"/>
          <w:b/>
          <w:sz w:val="24"/>
          <w:szCs w:val="24"/>
        </w:rPr>
        <w:t>1999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1</w:t>
      </w:r>
      <w:r w:rsidRPr="00C7285C">
        <w:rPr>
          <w:rFonts w:ascii="Times New Roman" w:hAnsi="Times New Roman" w:cs="Times New Roman"/>
          <w:sz w:val="24"/>
          <w:szCs w:val="24"/>
        </w:rPr>
        <w:t>, 1193-1201.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7.</w:t>
      </w:r>
      <w:r w:rsidRPr="00C7285C">
        <w:rPr>
          <w:rFonts w:ascii="Times New Roman" w:hAnsi="Times New Roman" w:cs="Times New Roman"/>
          <w:sz w:val="24"/>
          <w:szCs w:val="24"/>
        </w:rPr>
        <w:tab/>
        <w:t xml:space="preserve">Sanchez, A.; Ksiazek, T.G.; Rollin, P.E.; Miranda, M.E.; Trappier, S.G.; Khan, A.S.; Peters, C.J.; Nichol, S.T. Detection and molecular characterization of ebola viruses causing disease in human and nonhuman primates.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J Infect Dis </w:t>
      </w:r>
      <w:r w:rsidRPr="00C7285C">
        <w:rPr>
          <w:rFonts w:ascii="Times New Roman" w:hAnsi="Times New Roman" w:cs="Times New Roman"/>
          <w:b/>
          <w:sz w:val="24"/>
          <w:szCs w:val="24"/>
        </w:rPr>
        <w:t>1999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179 Suppl 1</w:t>
      </w:r>
      <w:r w:rsidRPr="00C7285C">
        <w:rPr>
          <w:rFonts w:ascii="Times New Roman" w:hAnsi="Times New Roman" w:cs="Times New Roman"/>
          <w:sz w:val="24"/>
          <w:szCs w:val="24"/>
        </w:rPr>
        <w:t>, S164-169.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8.</w:t>
      </w:r>
      <w:r w:rsidRPr="00C7285C">
        <w:rPr>
          <w:rFonts w:ascii="Times New Roman" w:hAnsi="Times New Roman" w:cs="Times New Roman"/>
          <w:sz w:val="24"/>
          <w:szCs w:val="24"/>
        </w:rPr>
        <w:tab/>
        <w:t xml:space="preserve">Towner, J.S.; Sealy, T.K.; Ksiazek, T.G.; Nichol, S.T. High-throughput molecular detection of hemorrhagic fever virus threats with applications for outbreak settings.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J Infect Dis </w:t>
      </w:r>
      <w:r w:rsidRPr="00C7285C">
        <w:rPr>
          <w:rFonts w:ascii="Times New Roman" w:hAnsi="Times New Roman" w:cs="Times New Roman"/>
          <w:b/>
          <w:sz w:val="24"/>
          <w:szCs w:val="24"/>
        </w:rPr>
        <w:t>2007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196 Suppl 2</w:t>
      </w:r>
      <w:r w:rsidRPr="00C7285C">
        <w:rPr>
          <w:rFonts w:ascii="Times New Roman" w:hAnsi="Times New Roman" w:cs="Times New Roman"/>
          <w:sz w:val="24"/>
          <w:szCs w:val="24"/>
        </w:rPr>
        <w:t>, S205-212.</w:t>
      </w:r>
    </w:p>
    <w:p w:rsidR="006D6306" w:rsidRPr="00C7285C" w:rsidRDefault="006D6306" w:rsidP="005554A7">
      <w:pPr>
        <w:pStyle w:val="EndNoteBibliography"/>
        <w:adjustRightInd w:val="0"/>
        <w:snapToGrid w:val="0"/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9.</w:t>
      </w:r>
      <w:r w:rsidRPr="00C7285C">
        <w:rPr>
          <w:rFonts w:ascii="Times New Roman" w:hAnsi="Times New Roman" w:cs="Times New Roman"/>
          <w:sz w:val="24"/>
          <w:szCs w:val="24"/>
        </w:rPr>
        <w:tab/>
        <w:t>Trombley, A.R.; Wachter, L.; Garrison, J.; Buckley-Beason, V.A.; Jahrling, J.; Hensley, L.E.; Schoepp, R.J.; Norwood, D.A.; Goba, A.; Fair, J.N.</w:t>
      </w:r>
      <w:r w:rsidRPr="00C7285C">
        <w:rPr>
          <w:rFonts w:ascii="Times New Roman" w:hAnsi="Times New Roman" w:cs="Times New Roman"/>
          <w:i/>
          <w:sz w:val="24"/>
          <w:szCs w:val="24"/>
        </w:rPr>
        <w:t>, et al.</w:t>
      </w:r>
      <w:r w:rsidRPr="00C7285C">
        <w:rPr>
          <w:rFonts w:ascii="Times New Roman" w:hAnsi="Times New Roman" w:cs="Times New Roman"/>
          <w:sz w:val="24"/>
          <w:szCs w:val="24"/>
        </w:rPr>
        <w:t xml:space="preserve"> Comprehensive panel of real-time taqman polymerase chain reaction assays for detection and absolute quantification of filoviruses, arenaviruses, and new world hantaviruses.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Am J Trop Med Hyg </w:t>
      </w:r>
      <w:r w:rsidRPr="00C7285C">
        <w:rPr>
          <w:rFonts w:ascii="Times New Roman" w:hAnsi="Times New Roman" w:cs="Times New Roman"/>
          <w:b/>
          <w:sz w:val="24"/>
          <w:szCs w:val="24"/>
        </w:rPr>
        <w:t>2010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82</w:t>
      </w:r>
      <w:r w:rsidRPr="00C7285C">
        <w:rPr>
          <w:rFonts w:ascii="Times New Roman" w:hAnsi="Times New Roman" w:cs="Times New Roman"/>
          <w:sz w:val="24"/>
          <w:szCs w:val="24"/>
        </w:rPr>
        <w:t>, 954-960.</w:t>
      </w:r>
    </w:p>
    <w:p w:rsidR="006D6306" w:rsidRPr="00C7285C" w:rsidRDefault="006D6306" w:rsidP="005554A7">
      <w:pPr>
        <w:pStyle w:val="EndNoteBibliography"/>
        <w:adjustRightInd w:val="0"/>
        <w:snapToGrid w:val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85C">
        <w:rPr>
          <w:rFonts w:ascii="Times New Roman" w:hAnsi="Times New Roman" w:cs="Times New Roman"/>
          <w:sz w:val="24"/>
          <w:szCs w:val="24"/>
        </w:rPr>
        <w:t>10.</w:t>
      </w:r>
      <w:r w:rsidRPr="00C7285C">
        <w:rPr>
          <w:rFonts w:ascii="Times New Roman" w:hAnsi="Times New Roman" w:cs="Times New Roman"/>
          <w:sz w:val="24"/>
          <w:szCs w:val="24"/>
        </w:rPr>
        <w:tab/>
        <w:t xml:space="preserve">Weidmann, M.; Mühlberger, E.; Hufert, F.T. Rapid detection protocol for filoviruses. </w:t>
      </w:r>
      <w:r w:rsidRPr="00C7285C">
        <w:rPr>
          <w:rFonts w:ascii="Times New Roman" w:hAnsi="Times New Roman" w:cs="Times New Roman"/>
          <w:i/>
          <w:sz w:val="24"/>
          <w:szCs w:val="24"/>
        </w:rPr>
        <w:t xml:space="preserve">J Clin Virol </w:t>
      </w:r>
      <w:r w:rsidRPr="00C7285C">
        <w:rPr>
          <w:rFonts w:ascii="Times New Roman" w:hAnsi="Times New Roman" w:cs="Times New Roman"/>
          <w:b/>
          <w:sz w:val="24"/>
          <w:szCs w:val="24"/>
        </w:rPr>
        <w:t>2004</w:t>
      </w:r>
      <w:r w:rsidRPr="00C7285C">
        <w:rPr>
          <w:rFonts w:ascii="Times New Roman" w:hAnsi="Times New Roman" w:cs="Times New Roman"/>
          <w:sz w:val="24"/>
          <w:szCs w:val="24"/>
        </w:rPr>
        <w:t xml:space="preserve">, </w:t>
      </w:r>
      <w:r w:rsidRPr="00C7285C">
        <w:rPr>
          <w:rFonts w:ascii="Times New Roman" w:hAnsi="Times New Roman" w:cs="Times New Roman"/>
          <w:i/>
          <w:sz w:val="24"/>
          <w:szCs w:val="24"/>
        </w:rPr>
        <w:t>30</w:t>
      </w:r>
      <w:r w:rsidRPr="00C7285C">
        <w:rPr>
          <w:rFonts w:ascii="Times New Roman" w:hAnsi="Times New Roman" w:cs="Times New Roman"/>
          <w:sz w:val="24"/>
          <w:szCs w:val="24"/>
        </w:rPr>
        <w:t>, 94-99.</w:t>
      </w:r>
    </w:p>
    <w:sectPr w:rsidR="006D6306" w:rsidRPr="00C7285C" w:rsidSect="005554A7">
      <w:type w:val="continuous"/>
      <w:pgSz w:w="11909" w:h="16834"/>
      <w:pgMar w:top="992" w:right="992" w:bottom="992" w:left="992" w:header="85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5D6" w:rsidRDefault="007E65D6" w:rsidP="005554A7">
      <w:pPr>
        <w:spacing w:after="0" w:line="240" w:lineRule="auto"/>
      </w:pPr>
      <w:r>
        <w:separator/>
      </w:r>
    </w:p>
  </w:endnote>
  <w:endnote w:type="continuationSeparator" w:id="0">
    <w:p w:rsidR="007E65D6" w:rsidRDefault="007E65D6" w:rsidP="0055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5D6" w:rsidRDefault="007E65D6" w:rsidP="005554A7">
      <w:pPr>
        <w:spacing w:after="0" w:line="240" w:lineRule="auto"/>
      </w:pPr>
      <w:r>
        <w:separator/>
      </w:r>
    </w:p>
  </w:footnote>
  <w:footnote w:type="continuationSeparator" w:id="0">
    <w:p w:rsidR="007E65D6" w:rsidRDefault="007E65D6" w:rsidP="00555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441F7"/>
    <w:multiLevelType w:val="hybridMultilevel"/>
    <w:tmpl w:val="CBBEBCC0"/>
    <w:lvl w:ilvl="0" w:tplc="B6DA7924">
      <w:start w:val="1"/>
      <w:numFmt w:val="bullet"/>
      <w:pStyle w:val="Mdeck4textbulletlis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7B5A76FF"/>
    <w:multiLevelType w:val="hybridMultilevel"/>
    <w:tmpl w:val="7522FAFA"/>
    <w:lvl w:ilvl="0" w:tplc="F1C24962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D6306"/>
    <w:rsid w:val="00437037"/>
    <w:rsid w:val="005554A7"/>
    <w:rsid w:val="00590C10"/>
    <w:rsid w:val="006D6306"/>
    <w:rsid w:val="00753BB0"/>
    <w:rsid w:val="007E65D6"/>
    <w:rsid w:val="007F3F3E"/>
    <w:rsid w:val="00C7285C"/>
    <w:rsid w:val="00E3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5368C-379B-4B5C-B2C9-0483E167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D630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6D6306"/>
    <w:pPr>
      <w:spacing w:after="0"/>
      <w:jc w:val="center"/>
    </w:pPr>
    <w:rPr>
      <w:rFonts w:ascii="Calibri" w:hAnsi="Calibri" w:cs="Calibri"/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6306"/>
  </w:style>
  <w:style w:type="character" w:customStyle="1" w:styleId="EndNoteBibliographyTitleChar">
    <w:name w:val="EndNote Bibliography Title Char"/>
    <w:basedOn w:val="ListParagraphChar"/>
    <w:link w:val="EndNoteBibliographyTitle"/>
    <w:rsid w:val="006D6306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D6306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6D6306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5554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4A7"/>
  </w:style>
  <w:style w:type="paragraph" w:styleId="Footer">
    <w:name w:val="footer"/>
    <w:basedOn w:val="Normal"/>
    <w:link w:val="FooterChar"/>
    <w:uiPriority w:val="99"/>
    <w:unhideWhenUsed/>
    <w:rsid w:val="005554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4A7"/>
  </w:style>
  <w:style w:type="paragraph" w:customStyle="1" w:styleId="Mdeck1articletitle">
    <w:name w:val="M_deck_1_article_title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next w:val="Mdeck1articletitle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sz w:val="24"/>
      <w:szCs w:val="24"/>
      <w:lang w:eastAsia="de-DE" w:bidi="en-US"/>
    </w:rPr>
  </w:style>
  <w:style w:type="paragraph" w:customStyle="1" w:styleId="Mdeck2authoraffiliation">
    <w:name w:val="M_deck_2_author_affiliation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284" w:hanging="284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next w:val="Normal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4" w:hanging="284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2authorname">
    <w:name w:val="M_deck_2_author_name"/>
    <w:next w:val="Mdeck2authoraffiliation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24"/>
      <w:szCs w:val="20"/>
      <w:lang w:eastAsia="de-DE" w:bidi="en-US"/>
    </w:rPr>
  </w:style>
  <w:style w:type="paragraph" w:customStyle="1" w:styleId="Mdeck3abstract">
    <w:name w:val="M_deck_3_abstract"/>
    <w:next w:val="Normal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7" w:right="567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3keywords">
    <w:name w:val="M_deck_3_keywords"/>
    <w:basedOn w:val="Mdeck3abstract"/>
    <w:qFormat/>
    <w:rsid w:val="005554A7"/>
    <w:pPr>
      <w:widowControl/>
      <w:spacing w:after="0"/>
    </w:pPr>
  </w:style>
  <w:style w:type="paragraph" w:customStyle="1" w:styleId="Mdeck3publcationhistory">
    <w:name w:val="M_deck_3_publcation_history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340" w:lineRule="atLeast"/>
    </w:pPr>
    <w:rPr>
      <w:rFonts w:ascii="Times New Roman" w:eastAsia="Times New Roman" w:hAnsi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deck4heading1">
    <w:name w:val="M_deck_4_heading_1"/>
    <w:next w:val="Normal"/>
    <w:qFormat/>
    <w:rsid w:val="005554A7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/>
      <w:b/>
      <w:snapToGrid w:val="0"/>
      <w:color w:val="000000"/>
      <w:sz w:val="24"/>
      <w:szCs w:val="20"/>
      <w:lang w:eastAsia="de-DE" w:bidi="en-US"/>
    </w:rPr>
  </w:style>
  <w:style w:type="paragraph" w:customStyle="1" w:styleId="Mdeck4heading2">
    <w:name w:val="M_deck_4_heading_2"/>
    <w:next w:val="Normal"/>
    <w:qFormat/>
    <w:rsid w:val="005554A7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deck4heading3">
    <w:name w:val="M_deck_4_heading_3"/>
    <w:next w:val="Normal"/>
    <w:qFormat/>
    <w:rsid w:val="005554A7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4text">
    <w:name w:val="M_deck_4_text"/>
    <w:autoRedefine/>
    <w:qFormat/>
    <w:rsid w:val="005554A7"/>
    <w:p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firstLine="284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4text2nd">
    <w:name w:val="M_deck_4_text_2nd"/>
    <w:qFormat/>
    <w:rsid w:val="005554A7"/>
    <w:pPr>
      <w:spacing w:after="0" w:line="340" w:lineRule="atLeast"/>
      <w:ind w:left="993" w:hanging="284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4textbulletlist">
    <w:name w:val="M_deck_4_text_bullet_list"/>
    <w:qFormat/>
    <w:rsid w:val="005554A7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before="120" w:after="12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5554A7"/>
    <w:pPr>
      <w:ind w:left="567" w:right="567"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5554A7"/>
    <w:pPr>
      <w:spacing w:before="240" w:after="0" w:line="240" w:lineRule="auto"/>
      <w:jc w:val="center"/>
    </w:pPr>
    <w:rPr>
      <w:rFonts w:ascii="Times New Roman" w:eastAsia="Times New Roman" w:hAnsi="Times New Roman"/>
      <w:i/>
      <w:kern w:val="2"/>
      <w:sz w:val="20"/>
      <w:szCs w:val="20"/>
      <w:lang w:eastAsia="zh-CN"/>
    </w:rPr>
  </w:style>
  <w:style w:type="paragraph" w:customStyle="1" w:styleId="Mdeck4textlrindent">
    <w:name w:val="M_deck_4_text_lr_indent"/>
    <w:basedOn w:val="Mdeck4text"/>
    <w:qFormat/>
    <w:rsid w:val="005554A7"/>
    <w:pPr>
      <w:ind w:left="567" w:right="567" w:firstLine="0"/>
    </w:pPr>
  </w:style>
  <w:style w:type="paragraph" w:customStyle="1" w:styleId="Mdeck4textnumberedlist">
    <w:name w:val="M_deck_4_text_numbered_list"/>
    <w:qFormat/>
    <w:rsid w:val="005554A7"/>
    <w:pPr>
      <w:numPr>
        <w:numId w:val="4"/>
      </w:numPr>
      <w:kinsoku w:val="0"/>
      <w:overflowPunct w:val="0"/>
      <w:autoSpaceDE w:val="0"/>
      <w:autoSpaceDN w:val="0"/>
      <w:adjustRightInd w:val="0"/>
      <w:snapToGrid w:val="0"/>
      <w:spacing w:before="120" w:after="12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5tablebody">
    <w:name w:val="M_deck_5_table_body"/>
    <w:qFormat/>
    <w:rsid w:val="005554A7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jc w:val="center"/>
    </w:pPr>
    <w:rPr>
      <w:rFonts w:ascii="Times New Roman" w:eastAsia="Times New Roman" w:hAnsi="Times New Roman"/>
      <w:snapToGrid w:val="0"/>
      <w:color w:val="00000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5554A7"/>
    <w:pPr>
      <w:adjustRightInd w:val="0"/>
      <w:snapToGrid w:val="0"/>
      <w:spacing w:after="0"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5554A7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7" w:right="567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5tablefooter">
    <w:name w:val="M_deck_5_table_footer"/>
    <w:qFormat/>
    <w:rsid w:val="005554A7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ind w:left="567" w:right="567"/>
      <w:jc w:val="both"/>
    </w:pPr>
    <w:rPr>
      <w:rFonts w:ascii="Times New Roman" w:eastAsia="Times New Roman" w:hAnsi="Times New Roman"/>
      <w:snapToGrid w:val="0"/>
      <w:color w:val="000000"/>
      <w:sz w:val="20"/>
      <w:szCs w:val="20"/>
      <w:lang w:eastAsia="de-DE" w:bidi="en-US"/>
    </w:rPr>
  </w:style>
  <w:style w:type="paragraph" w:customStyle="1" w:styleId="Mdeck5tableheader">
    <w:name w:val="M_deck_5_table_header"/>
    <w:basedOn w:val="Mdeck5tablefooter"/>
    <w:rsid w:val="005554A7"/>
  </w:style>
  <w:style w:type="paragraph" w:customStyle="1" w:styleId="Mdeck6figurebody">
    <w:name w:val="M_deck_6_figure_body"/>
    <w:qFormat/>
    <w:rsid w:val="005554A7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center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6figurecaption">
    <w:name w:val="M_deck_6_figure_caption"/>
    <w:basedOn w:val="Mdeck5tablecaption"/>
    <w:qFormat/>
    <w:rsid w:val="005554A7"/>
    <w:pPr>
      <w:spacing w:after="240"/>
    </w:pPr>
  </w:style>
  <w:style w:type="paragraph" w:customStyle="1" w:styleId="Mdeck7equation">
    <w:name w:val="M_deck_7_equation"/>
    <w:basedOn w:val="Normal"/>
    <w:rsid w:val="005554A7"/>
    <w:pPr>
      <w:kinsoku w:val="0"/>
      <w:overflowPunct w:val="0"/>
      <w:autoSpaceDE w:val="0"/>
      <w:autoSpaceDN w:val="0"/>
      <w:adjustRightInd w:val="0"/>
      <w:snapToGrid w:val="0"/>
      <w:spacing w:before="240" w:after="0" w:line="240" w:lineRule="auto"/>
      <w:jc w:val="center"/>
    </w:pPr>
    <w:rPr>
      <w:rFonts w:ascii="Times New Roman" w:eastAsia="宋体" w:hAnsi="Times New Roman"/>
      <w:i/>
      <w:snapToGrid w:val="0"/>
      <w:kern w:val="2"/>
      <w:sz w:val="20"/>
      <w:szCs w:val="24"/>
      <w:lang w:bidi="en-US"/>
    </w:rPr>
  </w:style>
  <w:style w:type="paragraph" w:customStyle="1" w:styleId="Mdeck8references">
    <w:name w:val="M_deck_8_references"/>
    <w:qFormat/>
    <w:rsid w:val="005554A7"/>
    <w:pPr>
      <w:numPr>
        <w:numId w:val="5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396</Words>
  <Characters>2235</Characters>
  <Application>Microsoft Office Word</Application>
  <DocSecurity>0</DocSecurity>
  <Lines>35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 used in Table S1_x000d_1.	Drosten</dc:title>
  <dc:subject/>
  <dc:creator>MDPI</dc:creator>
  <cp:keywords/>
  <dc:description/>
  <cp:lastModifiedBy>microsoft-tz3 microsoft-tz3</cp:lastModifiedBy>
  <cp:revision>7</cp:revision>
  <dcterms:created xsi:type="dcterms:W3CDTF">2015-03-17T17:45:00Z</dcterms:created>
  <dcterms:modified xsi:type="dcterms:W3CDTF">2015-06-15T02:06:00Z</dcterms:modified>
</cp:coreProperties>
</file>