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E673C" w14:textId="10AB5D43" w:rsidR="004228A4" w:rsidRPr="009F3B08" w:rsidRDefault="00AF16D6" w:rsidP="00E97ED1">
      <w:pPr>
        <w:pStyle w:val="MDPI12title"/>
      </w:pPr>
      <w:bookmarkStart w:id="0" w:name="_Toc160860858"/>
      <w:r w:rsidRPr="009F3B08">
        <w:t xml:space="preserve">Supplementary Materials: </w:t>
      </w:r>
      <w:bookmarkEnd w:id="0"/>
      <w:r w:rsidR="00AB7FD5" w:rsidRPr="00AB7FD5">
        <w:t>Risperidone-Loaded PLGA–Lipid Particles with Improved Release Kinetics: Manufacturing and Detailed Characterization by Electron Microscopy and Nano-CT</w:t>
      </w:r>
    </w:p>
    <w:p w14:paraId="30F1D7B6" w14:textId="6AE868C9" w:rsidR="00AB7FD5" w:rsidRPr="00AB7FD5" w:rsidRDefault="00AB7FD5" w:rsidP="00AB7FD5">
      <w:pPr>
        <w:pStyle w:val="MDPI13authornames"/>
      </w:pPr>
      <w:r>
        <w:t>Christopher Janich</w:t>
      </w:r>
      <w:r w:rsidRPr="00AB7FD5">
        <w:t>, Andrea</w:t>
      </w:r>
      <w:r w:rsidRPr="00FC4EAB">
        <w:t xml:space="preserve"> </w:t>
      </w:r>
      <w:r>
        <w:t>Friedmann</w:t>
      </w:r>
      <w:r w:rsidRPr="00474382">
        <w:rPr>
          <w:rFonts w:eastAsiaTheme="minorEastAsia"/>
          <w:lang w:eastAsia="zh-CN"/>
        </w:rPr>
        <w:t xml:space="preserve">, </w:t>
      </w:r>
      <w:r w:rsidRPr="00474382">
        <w:t>Juliana</w:t>
      </w:r>
      <w:r>
        <w:t xml:space="preserve"> Martins de Souza e Silva</w:t>
      </w:r>
      <w:r w:rsidRPr="00FC4EAB">
        <w:t>,</w:t>
      </w:r>
      <w:r>
        <w:t xml:space="preserve"> </w:t>
      </w:r>
      <w:r>
        <w:br/>
        <w:t>Cristine Santos de Oliveira</w:t>
      </w:r>
      <w:r>
        <w:t>, Ligia E. de</w:t>
      </w:r>
      <w:r>
        <w:t xml:space="preserve"> Souza, Dan Rujescu, Christian Hildebrandt</w:t>
      </w:r>
      <w:r>
        <w:t xml:space="preserve">, </w:t>
      </w:r>
      <w:r>
        <w:br/>
      </w:r>
      <w:r>
        <w:rPr>
          <w:lang w:val="de-DE"/>
        </w:rPr>
        <w:t>Moritz Beck-Broichsitter</w:t>
      </w:r>
      <w:r w:rsidRPr="00B83760">
        <w:rPr>
          <w:lang w:val="de-DE"/>
        </w:rPr>
        <w:t>, Christian E. H. Schmelzer</w:t>
      </w:r>
      <w:r w:rsidRPr="00B83760">
        <w:rPr>
          <w:vertAlign w:val="superscript"/>
          <w:lang w:val="de-DE"/>
        </w:rPr>
        <w:t xml:space="preserve"> </w:t>
      </w:r>
      <w:r w:rsidRPr="00B83760">
        <w:rPr>
          <w:lang w:val="de-DE"/>
        </w:rPr>
        <w:t xml:space="preserve"> and </w:t>
      </w:r>
      <w:r>
        <w:rPr>
          <w:lang w:val="de-DE"/>
        </w:rPr>
        <w:t>Karsten Mäder</w:t>
      </w:r>
    </w:p>
    <w:p w14:paraId="4C6E2747" w14:textId="6432ACC8" w:rsidR="00BB700D" w:rsidRDefault="00AB7FD5" w:rsidP="00BB700D">
      <w:pPr>
        <w:pStyle w:val="MDPI52figure"/>
      </w:pPr>
      <w:r>
        <w:object w:dxaOrig="6525" w:dyaOrig="4990" w14:anchorId="6D5154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65pt;height:330.85pt" o:ole="">
            <v:imagedata r:id="rId7" o:title="" croptop="6298f" cropbottom="3936f" cropleft="5574f" cropright="8738f"/>
          </v:shape>
          <o:OLEObject Type="Embed" ProgID="Origin95.Graph" ShapeID="_x0000_i1025" DrawAspect="Content" ObjectID="_1637351766" r:id="rId8"/>
        </w:object>
      </w:r>
    </w:p>
    <w:p w14:paraId="5BA5F5FD" w14:textId="2A3F55E7" w:rsidR="00BB700D" w:rsidRPr="00832998" w:rsidRDefault="00AB7FD5" w:rsidP="00AB7FD5">
      <w:pPr>
        <w:spacing w:before="120" w:after="240" w:line="260" w:lineRule="atLeast"/>
        <w:ind w:left="425" w:right="425"/>
        <w:jc w:val="center"/>
        <w:rPr>
          <w:rFonts w:ascii="Palatino Linotype" w:hAnsi="Palatino Linotype"/>
          <w:b/>
          <w:sz w:val="18"/>
          <w:lang w:bidi="en-US"/>
        </w:rPr>
      </w:pPr>
      <w:bookmarkStart w:id="1" w:name="_Hlk12622431"/>
      <w:r>
        <w:rPr>
          <w:rFonts w:ascii="Palatino Linotype" w:hAnsi="Palatino Linotype"/>
          <w:b/>
          <w:sz w:val="18"/>
          <w:lang w:bidi="en-US"/>
        </w:rPr>
        <w:t>Figure 1.</w:t>
      </w:r>
      <w:r w:rsidR="00BB700D" w:rsidRPr="00832998">
        <w:rPr>
          <w:rFonts w:ascii="Palatino Linotype" w:hAnsi="Palatino Linotype"/>
          <w:b/>
          <w:sz w:val="18"/>
          <w:lang w:bidi="en-US"/>
        </w:rPr>
        <w:t xml:space="preserve"> </w:t>
      </w:r>
      <w:r w:rsidRPr="00AB7FD5">
        <w:rPr>
          <w:rFonts w:ascii="Palatino Linotype" w:hAnsi="Palatino Linotype"/>
          <w:bCs/>
          <w:sz w:val="18"/>
          <w:lang w:val="en-GB" w:bidi="en-US"/>
        </w:rPr>
        <w:t>Size distribution of the internal structures estimated by 3D-nano-CT</w:t>
      </w:r>
      <w:r>
        <w:rPr>
          <w:rFonts w:ascii="Palatino Linotype" w:hAnsi="Palatino Linotype" w:hint="eastAsia"/>
          <w:bCs/>
          <w:sz w:val="18"/>
          <w:lang w:val="en-GB" w:eastAsia="zh-CN" w:bidi="en-US"/>
        </w:rPr>
        <w:t>.</w:t>
      </w:r>
    </w:p>
    <w:bookmarkEnd w:id="1"/>
    <w:p w14:paraId="08DAE439" w14:textId="77777777" w:rsidR="00BB700D" w:rsidRDefault="00BB700D" w:rsidP="00BB700D">
      <w:pPr>
        <w:spacing w:after="160" w:line="259" w:lineRule="auto"/>
      </w:pPr>
      <w:r>
        <w:br w:type="page"/>
      </w:r>
    </w:p>
    <w:p w14:paraId="43A081B4" w14:textId="2EE898DC" w:rsidR="00BB700D" w:rsidRPr="00BF0BB6" w:rsidRDefault="00AB7FD5" w:rsidP="00BB700D">
      <w:pPr>
        <w:spacing w:line="360" w:lineRule="auto"/>
        <w:jc w:val="center"/>
        <w:rPr>
          <w:sz w:val="28"/>
          <w:szCs w:val="28"/>
        </w:rPr>
      </w:pPr>
      <w:r>
        <w:object w:dxaOrig="6525" w:dyaOrig="4990" w14:anchorId="5969121C">
          <v:shape id="_x0000_i1026" type="#_x0000_t75" style="width:441.1pt;height:359.1pt" o:ole="">
            <v:imagedata r:id="rId9" o:title="" croptop="6101f" cropbottom="3739f" cropleft="5574f" cropright="7684f"/>
          </v:shape>
          <o:OLEObject Type="Embed" ProgID="Origin95.Graph" ShapeID="_x0000_i1026" DrawAspect="Content" ObjectID="_1637351767" r:id="rId10"/>
        </w:object>
      </w:r>
    </w:p>
    <w:p w14:paraId="4A97AEE6" w14:textId="1F0B3B87" w:rsidR="00BB700D" w:rsidRPr="00BF0BB6" w:rsidRDefault="00BB700D" w:rsidP="00AB7FD5">
      <w:pPr>
        <w:spacing w:before="120" w:after="240" w:line="260" w:lineRule="atLeast"/>
        <w:ind w:left="425" w:right="425"/>
        <w:jc w:val="center"/>
        <w:rPr>
          <w:sz w:val="28"/>
          <w:szCs w:val="28"/>
        </w:rPr>
      </w:pPr>
      <w:r w:rsidRPr="00832998">
        <w:rPr>
          <w:rFonts w:ascii="Palatino Linotype" w:hAnsi="Palatino Linotype"/>
          <w:b/>
          <w:sz w:val="18"/>
          <w:lang w:bidi="en-US"/>
        </w:rPr>
        <w:t xml:space="preserve">Figure S2. </w:t>
      </w:r>
      <w:r w:rsidR="00AB7FD5" w:rsidRPr="00AB7FD5">
        <w:rPr>
          <w:rFonts w:ascii="Palatino Linotype" w:hAnsi="Palatino Linotype"/>
          <w:bCs/>
          <w:sz w:val="18"/>
          <w:lang w:val="en-GB" w:bidi="en-US"/>
        </w:rPr>
        <w:t>Volume distribution of the in</w:t>
      </w:r>
      <w:bookmarkStart w:id="2" w:name="_GoBack"/>
      <w:bookmarkEnd w:id="2"/>
      <w:r w:rsidR="00AB7FD5" w:rsidRPr="00AB7FD5">
        <w:rPr>
          <w:rFonts w:ascii="Palatino Linotype" w:hAnsi="Palatino Linotype"/>
          <w:bCs/>
          <w:sz w:val="18"/>
          <w:lang w:val="en-GB" w:bidi="en-US"/>
        </w:rPr>
        <w:t>ternal structures estimated by 3D-nano-CT.</w:t>
      </w:r>
    </w:p>
    <w:sectPr w:rsidR="00BB700D" w:rsidRPr="00BF0BB6" w:rsidSect="00FA76EF">
      <w:footerReference w:type="even" r:id="rId11"/>
      <w:footerReference w:type="default" r:id="rId12"/>
      <w:headerReference w:type="first" r:id="rId13"/>
      <w:pgSz w:w="11910" w:h="16840"/>
      <w:pgMar w:top="1418" w:right="1531" w:bottom="1077" w:left="1531" w:header="1020" w:footer="85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030BB" w14:textId="77777777" w:rsidR="00026DCA" w:rsidRDefault="00026DCA">
      <w:r>
        <w:separator/>
      </w:r>
    </w:p>
  </w:endnote>
  <w:endnote w:type="continuationSeparator" w:id="0">
    <w:p w14:paraId="1BAA7609" w14:textId="77777777" w:rsidR="00026DCA" w:rsidRDefault="0002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D7988" w14:textId="77777777" w:rsidR="00A23C79" w:rsidRPr="00A23C79" w:rsidRDefault="00A23C79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666EB" w14:textId="77777777" w:rsidR="00A23C79" w:rsidRPr="00372438" w:rsidRDefault="00A23C79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B38B6" w14:textId="77777777" w:rsidR="00026DCA" w:rsidRDefault="00026DCA">
      <w:r>
        <w:separator/>
      </w:r>
    </w:p>
  </w:footnote>
  <w:footnote w:type="continuationSeparator" w:id="0">
    <w:p w14:paraId="124DC7B4" w14:textId="77777777" w:rsidR="00026DCA" w:rsidRDefault="00026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87048" w14:textId="389820E5" w:rsidR="00AF16D6" w:rsidRDefault="00AF16D6" w:rsidP="00AF16D6">
    <w:pPr>
      <w:pStyle w:val="MDPIheaderjournallogo"/>
    </w:pPr>
    <w:r w:rsidRPr="00E57A2F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670D949A" wp14:editId="0F0AD51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295B05" w14:textId="77777777" w:rsidR="00AF16D6" w:rsidRDefault="00AF16D6" w:rsidP="00AF16D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B415BD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CC9EBCF" wp14:editId="39680A0A">
                                <wp:extent cx="541020" cy="358140"/>
                                <wp:effectExtent l="0" t="0" r="0" b="3810"/>
                                <wp:docPr id="17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0D94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5168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" stroked="f">
              <v:textbox inset="0,0,0,0">
                <w:txbxContent>
                  <w:p w14:paraId="41295B05" w14:textId="77777777" w:rsidR="00AF16D6" w:rsidRDefault="00AF16D6" w:rsidP="00AF16D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B415BD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CC9EBCF" wp14:editId="39680A0A">
                          <wp:extent cx="541020" cy="358140"/>
                          <wp:effectExtent l="0" t="0" r="0" b="3810"/>
                          <wp:docPr id="17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2D9D20C8" wp14:editId="7FFF5B30">
          <wp:extent cx="1668145" cy="431800"/>
          <wp:effectExtent l="0" t="0" r="8255" b="6350"/>
          <wp:docPr id="16" name="Picture 3" descr="C:\Users\home\AppData\Local\Temp\HZ$D.082.3360\Pharmaceutic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60\Pharmaceutic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14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2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A3B"/>
    <w:rsid w:val="000223B1"/>
    <w:rsid w:val="00026DCA"/>
    <w:rsid w:val="00031C5A"/>
    <w:rsid w:val="00041C5C"/>
    <w:rsid w:val="00064DA9"/>
    <w:rsid w:val="000C0FEF"/>
    <w:rsid w:val="001279E6"/>
    <w:rsid w:val="00132115"/>
    <w:rsid w:val="001A1C7B"/>
    <w:rsid w:val="002006FC"/>
    <w:rsid w:val="00223CD0"/>
    <w:rsid w:val="00265086"/>
    <w:rsid w:val="00363802"/>
    <w:rsid w:val="00372438"/>
    <w:rsid w:val="004001AC"/>
    <w:rsid w:val="004228A4"/>
    <w:rsid w:val="00430778"/>
    <w:rsid w:val="004B5845"/>
    <w:rsid w:val="004E2757"/>
    <w:rsid w:val="00514293"/>
    <w:rsid w:val="00575545"/>
    <w:rsid w:val="00594A3B"/>
    <w:rsid w:val="005C24A8"/>
    <w:rsid w:val="0060723C"/>
    <w:rsid w:val="00624CE6"/>
    <w:rsid w:val="00741414"/>
    <w:rsid w:val="007E5F44"/>
    <w:rsid w:val="007F1FD8"/>
    <w:rsid w:val="0088777F"/>
    <w:rsid w:val="0090240E"/>
    <w:rsid w:val="009F3B08"/>
    <w:rsid w:val="00A23C79"/>
    <w:rsid w:val="00A26C0C"/>
    <w:rsid w:val="00A4612A"/>
    <w:rsid w:val="00A75B5B"/>
    <w:rsid w:val="00AB7FD5"/>
    <w:rsid w:val="00AC512D"/>
    <w:rsid w:val="00AC5A6F"/>
    <w:rsid w:val="00AF16D6"/>
    <w:rsid w:val="00B13D09"/>
    <w:rsid w:val="00B71965"/>
    <w:rsid w:val="00BB700D"/>
    <w:rsid w:val="00BD3576"/>
    <w:rsid w:val="00BE2D02"/>
    <w:rsid w:val="00BE36C7"/>
    <w:rsid w:val="00C20C7B"/>
    <w:rsid w:val="00CB62B1"/>
    <w:rsid w:val="00CD07FD"/>
    <w:rsid w:val="00CD1419"/>
    <w:rsid w:val="00CD15A9"/>
    <w:rsid w:val="00D0325F"/>
    <w:rsid w:val="00D411F3"/>
    <w:rsid w:val="00D41797"/>
    <w:rsid w:val="00DE1CD0"/>
    <w:rsid w:val="00E97ED1"/>
    <w:rsid w:val="00EC7E10"/>
    <w:rsid w:val="00ED555E"/>
    <w:rsid w:val="00F4685E"/>
    <w:rsid w:val="00F57095"/>
    <w:rsid w:val="00F60972"/>
    <w:rsid w:val="00F771D3"/>
    <w:rsid w:val="00F979C8"/>
    <w:rsid w:val="00FA76EF"/>
    <w:rsid w:val="00FC68CE"/>
    <w:rsid w:val="00FD389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FED2F2"/>
  <w15:docId w15:val="{EB20814C-F7E7-45EB-BB84-519F94FC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b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b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5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4B5845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B58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58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58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8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58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45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basedOn w:val="Normal"/>
    <w:qFormat/>
    <w:rsid w:val="004B5845"/>
    <w:pPr>
      <w:widowControl/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MathematicaFormatStandardForm">
    <w:name w:val="MathematicaFormatStandardForm"/>
    <w:uiPriority w:val="99"/>
    <w:rsid w:val="00AF16D6"/>
    <w:rPr>
      <w:rFonts w:ascii="Courier" w:hAnsi="Courier" w:cs="Courier"/>
    </w:rPr>
  </w:style>
  <w:style w:type="character" w:customStyle="1" w:styleId="mbooktabletext3">
    <w:name w:val="mbooktabletext3"/>
    <w:rsid w:val="00AF16D6"/>
    <w:rPr>
      <w:rFonts w:ascii="Verdana" w:hAnsi="Verdana" w:cs="Times New Roman" w:hint="default"/>
      <w:sz w:val="17"/>
      <w:szCs w:val="17"/>
    </w:rPr>
  </w:style>
  <w:style w:type="character" w:customStyle="1" w:styleId="ti">
    <w:name w:val="ti"/>
    <w:basedOn w:val="DefaultParagraphFont"/>
    <w:rsid w:val="00AF16D6"/>
  </w:style>
  <w:style w:type="paragraph" w:customStyle="1" w:styleId="MDPIheaderjournallogo">
    <w:name w:val="MDPI_header_journal_logo"/>
    <w:qFormat/>
    <w:rsid w:val="00AF16D6"/>
    <w:pPr>
      <w:widowControl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1text">
    <w:name w:val="MDPI_3.1_text"/>
    <w:qFormat/>
    <w:rsid w:val="00AC512D"/>
    <w:pPr>
      <w:widowControl/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Standard">
    <w:name w:val="Standard"/>
    <w:rsid w:val="009F3B08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BB700D"/>
    <w:pPr>
      <w:widowControl/>
      <w:spacing w:after="200"/>
    </w:pPr>
    <w:rPr>
      <w:rFonts w:ascii="Calibri" w:eastAsia="Calibri" w:hAnsi="Calibri" w:cs="Times New Roman"/>
      <w:i/>
      <w:iCs/>
      <w:color w:val="44546A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martyn</dc:creator>
  <cp:keywords>keyword 1; keyword 2; keyword 3. List three to ten pertinent keywords specific to the article, yet reasonably common within the subject discipline.</cp:keywords>
  <cp:lastModifiedBy>MDPI</cp:lastModifiedBy>
  <cp:revision>2</cp:revision>
  <dcterms:created xsi:type="dcterms:W3CDTF">2019-12-08T15:09:00Z</dcterms:created>
  <dcterms:modified xsi:type="dcterms:W3CDTF">2019-12-08T15:09:00Z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