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A55203" w14:textId="77777777" w:rsidR="00D172E7" w:rsidRPr="002B22ED" w:rsidRDefault="00D172E7" w:rsidP="002B22ED">
      <w:pPr>
        <w:pStyle w:val="MDPI12title"/>
      </w:pPr>
      <w:r w:rsidRPr="002B22ED">
        <w:t>Supplementary Materials: Adjuvant Antitumor Immunity Contributes to the Overall Antitumor Effect of Pegylated Liposomal Doxorubicin (Doxil</w:t>
      </w:r>
      <w:r w:rsidRPr="002B22ED">
        <w:rPr>
          <w:vertAlign w:val="superscript"/>
        </w:rPr>
        <w:t>®</w:t>
      </w:r>
      <w:r w:rsidRPr="002B22ED">
        <w:t>) In C26 Tumor-Bearing Immunocompetent Mice</w:t>
      </w:r>
    </w:p>
    <w:p w14:paraId="6F4839D8" w14:textId="77777777" w:rsidR="00D172E7" w:rsidRPr="002B22ED" w:rsidRDefault="00D172E7" w:rsidP="002B22ED">
      <w:pPr>
        <w:pStyle w:val="MDPI13authornames"/>
      </w:pPr>
      <w:r w:rsidRPr="002B22ED">
        <w:t xml:space="preserve">Takuma Takayama </w:t>
      </w:r>
      <w:r w:rsidRPr="002B22ED">
        <w:rPr>
          <w:vertAlign w:val="superscript"/>
        </w:rPr>
        <w:t>1</w:t>
      </w:r>
      <w:r w:rsidRPr="002B22ED">
        <w:t xml:space="preserve">, Taro Shimizu </w:t>
      </w:r>
      <w:r w:rsidRPr="002B22ED">
        <w:rPr>
          <w:vertAlign w:val="superscript"/>
        </w:rPr>
        <w:t>1</w:t>
      </w:r>
      <w:r w:rsidRPr="002B22ED">
        <w:t xml:space="preserve">, Amr S. Abu Lila </w:t>
      </w:r>
      <w:r w:rsidRPr="002B22ED">
        <w:rPr>
          <w:vertAlign w:val="superscript"/>
        </w:rPr>
        <w:t>1,2,3</w:t>
      </w:r>
      <w:r w:rsidRPr="002B22ED">
        <w:t xml:space="preserve">, Yuki Kanazawa </w:t>
      </w:r>
      <w:r w:rsidRPr="002B22ED">
        <w:rPr>
          <w:vertAlign w:val="superscript"/>
        </w:rPr>
        <w:t>1</w:t>
      </w:r>
      <w:r w:rsidRPr="002B22ED">
        <w:t xml:space="preserve">, Hidenori Ando </w:t>
      </w:r>
      <w:r w:rsidRPr="002B22ED">
        <w:rPr>
          <w:vertAlign w:val="superscript"/>
        </w:rPr>
        <w:t>1</w:t>
      </w:r>
      <w:r w:rsidRPr="002B22ED">
        <w:t xml:space="preserve">, </w:t>
      </w:r>
      <w:r w:rsidRPr="002B22ED">
        <w:br/>
        <w:t xml:space="preserve">Yu Ishima </w:t>
      </w:r>
      <w:r w:rsidRPr="002B22ED">
        <w:rPr>
          <w:vertAlign w:val="superscript"/>
        </w:rPr>
        <w:t>1</w:t>
      </w:r>
      <w:r w:rsidRPr="002B22ED">
        <w:t xml:space="preserve"> and Tatsuhiro Ishida </w:t>
      </w:r>
      <w:r w:rsidRPr="002B22ED">
        <w:rPr>
          <w:vertAlign w:val="superscript"/>
        </w:rPr>
        <w:t>1,</w:t>
      </w:r>
      <w:r w:rsidRPr="002B22ED">
        <w:t>*</w:t>
      </w:r>
    </w:p>
    <w:p w14:paraId="40DFFDDE" w14:textId="77777777" w:rsidR="00013315" w:rsidRPr="002B22ED" w:rsidRDefault="00013315" w:rsidP="002B22ED">
      <w:pPr>
        <w:pStyle w:val="MDPI52figure"/>
        <w:rPr>
          <w:sz w:val="24"/>
          <w:szCs w:val="24"/>
        </w:rPr>
      </w:pPr>
      <w:r w:rsidRPr="002B22ED">
        <w:rPr>
          <w:noProof/>
          <w:lang w:eastAsia="zh-CN" w:bidi="ar-SA"/>
        </w:rPr>
        <w:drawing>
          <wp:inline distT="0" distB="0" distL="0" distR="0" wp14:anchorId="42621734" wp14:editId="482105B9">
            <wp:extent cx="5372100" cy="45046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/>
                    <a:stretch/>
                  </pic:blipFill>
                  <pic:spPr bwMode="auto">
                    <a:xfrm>
                      <a:off x="0" y="0"/>
                      <a:ext cx="5372100" cy="450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1B04CA" w14:textId="77777777" w:rsidR="00013315" w:rsidRPr="002B22ED" w:rsidRDefault="00013315" w:rsidP="002B22ED">
      <w:pPr>
        <w:pStyle w:val="MDPI52figure"/>
        <w:rPr>
          <w:sz w:val="24"/>
          <w:szCs w:val="24"/>
        </w:rPr>
      </w:pPr>
      <w:r w:rsidRPr="002B22ED">
        <w:rPr>
          <w:noProof/>
          <w:lang w:eastAsia="zh-CN" w:bidi="ar-SA"/>
        </w:rPr>
        <w:lastRenderedPageBreak/>
        <w:drawing>
          <wp:inline distT="0" distB="0" distL="0" distR="0" wp14:anchorId="35E57043" wp14:editId="3E107CF4">
            <wp:extent cx="5372100" cy="451104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451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39CBC" w14:textId="77777777" w:rsidR="00013315" w:rsidRPr="002B22ED" w:rsidRDefault="00013315" w:rsidP="002B22ED">
      <w:pPr>
        <w:pStyle w:val="MDPI52figure"/>
        <w:rPr>
          <w:sz w:val="24"/>
          <w:szCs w:val="24"/>
        </w:rPr>
      </w:pPr>
      <w:r w:rsidRPr="002B22ED">
        <w:rPr>
          <w:noProof/>
          <w:lang w:eastAsia="zh-CN" w:bidi="ar-SA"/>
        </w:rPr>
        <w:drawing>
          <wp:inline distT="0" distB="0" distL="0" distR="0" wp14:anchorId="1996627A" wp14:editId="394CA0E3">
            <wp:extent cx="2522220" cy="33147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0D31B" w14:textId="77777777" w:rsidR="00D172E7" w:rsidRPr="002B22ED" w:rsidRDefault="00D172E7" w:rsidP="002B22ED">
      <w:pPr>
        <w:pStyle w:val="MDPI51figurecaption"/>
        <w:jc w:val="center"/>
      </w:pPr>
      <w:r w:rsidRPr="002B22ED">
        <w:rPr>
          <w:b/>
        </w:rPr>
        <w:t xml:space="preserve">Figure S1. </w:t>
      </w:r>
      <w:r w:rsidRPr="002B22ED">
        <w:rPr>
          <w:bCs/>
        </w:rPr>
        <w:t>Gating strategies and representative plot of flow cytometry analysis.</w:t>
      </w:r>
    </w:p>
    <w:p w14:paraId="21DF817C" w14:textId="77777777" w:rsidR="00013315" w:rsidRPr="002B22ED" w:rsidRDefault="00013315" w:rsidP="002B22ED">
      <w:pPr>
        <w:pStyle w:val="MDPI52figure"/>
        <w:rPr>
          <w:sz w:val="24"/>
          <w:szCs w:val="24"/>
        </w:rPr>
      </w:pPr>
      <w:r w:rsidRPr="002B22ED">
        <w:rPr>
          <w:noProof/>
          <w:lang w:eastAsia="zh-CN" w:bidi="ar-SA"/>
        </w:rPr>
        <w:lastRenderedPageBreak/>
        <w:drawing>
          <wp:inline distT="0" distB="0" distL="0" distR="0" wp14:anchorId="4BC4F1A4" wp14:editId="5D76FDDD">
            <wp:extent cx="2209800" cy="23939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36" t="17324" r="39660"/>
                    <a:stretch/>
                  </pic:blipFill>
                  <pic:spPr bwMode="auto">
                    <a:xfrm>
                      <a:off x="0" y="0"/>
                      <a:ext cx="220980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774140" w14:textId="28E57500" w:rsidR="00D172E7" w:rsidRPr="002B22ED" w:rsidRDefault="00D172E7" w:rsidP="002B22ED">
      <w:pPr>
        <w:pStyle w:val="MDPI51figurecaption"/>
      </w:pPr>
      <w:r w:rsidRPr="002B22ED">
        <w:rPr>
          <w:b/>
        </w:rPr>
        <w:t xml:space="preserve">Figure S2. </w:t>
      </w:r>
      <w:r w:rsidRPr="002B22ED">
        <w:t>Polarization of Tam in tumor tissues after treatment with Doxil. BALB/c mice were inoculated s.c. with C26 cells (2 × 10</w:t>
      </w:r>
      <w:r w:rsidRPr="002B22ED">
        <w:rPr>
          <w:vertAlign w:val="superscript"/>
        </w:rPr>
        <w:t>6</w:t>
      </w:r>
      <w:r w:rsidRPr="002B22ED">
        <w:t xml:space="preserve"> cells). The day when tumor volumes reached 100</w:t>
      </w:r>
      <w:r w:rsidR="00F53F60">
        <w:t>–</w:t>
      </w:r>
      <w:r w:rsidRPr="002B22ED">
        <w:t>150 mm</w:t>
      </w:r>
      <w:r w:rsidRPr="002B22ED">
        <w:rPr>
          <w:vertAlign w:val="superscript"/>
        </w:rPr>
        <w:t>3</w:t>
      </w:r>
      <w:r w:rsidRPr="002B22ED">
        <w:t xml:space="preserve"> was set at Day 0. Mice were injected i.v. with PBS, free DXR (5 mg/kg) or Doxil</w:t>
      </w:r>
      <w:r w:rsidRPr="002B22ED">
        <w:rPr>
          <w:vertAlign w:val="superscript"/>
        </w:rPr>
        <w:t>®</w:t>
      </w:r>
      <w:r w:rsidRPr="002B22ED">
        <w:t xml:space="preserve"> (5 mg DXR/kg) on Day 0 and Day 5. Tumor was harvested on Day 11. The ratio of M1 macrophages (CD206-, F4/80+ cells) to M2 macrophages (CD206+, F4/80+ cells) were analyzed by flow cytometry. Each value represents the mean ± SD. *</w:t>
      </w:r>
      <w:r w:rsidR="00F53F60">
        <w:t xml:space="preserve"> </w:t>
      </w:r>
      <w:r w:rsidRPr="002B22ED">
        <w:rPr>
          <w:i/>
          <w:iCs/>
        </w:rPr>
        <w:t>p</w:t>
      </w:r>
      <w:r w:rsidR="00F53F60">
        <w:rPr>
          <w:i/>
          <w:iCs/>
        </w:rPr>
        <w:t xml:space="preserve"> </w:t>
      </w:r>
      <w:r w:rsidRPr="002B22ED">
        <w:t>&lt;</w:t>
      </w:r>
      <w:r w:rsidR="00F53F60">
        <w:t xml:space="preserve"> </w:t>
      </w:r>
      <w:r w:rsidRPr="002B22ED">
        <w:t>0.05.</w:t>
      </w:r>
    </w:p>
    <w:p w14:paraId="780EE77F" w14:textId="77777777" w:rsidR="00013315" w:rsidRPr="002B22ED" w:rsidRDefault="00013315" w:rsidP="002B22ED">
      <w:pPr>
        <w:pStyle w:val="MDPI52figure"/>
      </w:pPr>
      <w:r w:rsidRPr="002B22ED">
        <w:rPr>
          <w:noProof/>
          <w:lang w:eastAsia="zh-CN" w:bidi="ar-SA"/>
        </w:rPr>
        <w:drawing>
          <wp:inline distT="0" distB="0" distL="0" distR="0" wp14:anchorId="38F5E698" wp14:editId="4C9C30DB">
            <wp:extent cx="2540000" cy="24320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61" t="13596" r="30432" b="2412"/>
                    <a:stretch/>
                  </pic:blipFill>
                  <pic:spPr bwMode="auto">
                    <a:xfrm>
                      <a:off x="0" y="0"/>
                      <a:ext cx="2540000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D3FCA1" w14:textId="449F0225" w:rsidR="00D172E7" w:rsidRPr="002B22ED" w:rsidRDefault="00D172E7" w:rsidP="002B22ED">
      <w:pPr>
        <w:pStyle w:val="MDPI51figurecaption"/>
      </w:pPr>
      <w:r w:rsidRPr="002B22ED">
        <w:rPr>
          <w:b/>
        </w:rPr>
        <w:t xml:space="preserve">Figure S3. </w:t>
      </w:r>
      <w:r w:rsidRPr="002B22ED">
        <w:t>Cellular uptake of Doxil</w:t>
      </w:r>
      <w:r w:rsidRPr="002B22ED">
        <w:rPr>
          <w:vertAlign w:val="superscript"/>
        </w:rPr>
        <w:t>®</w:t>
      </w:r>
      <w:r w:rsidRPr="002B22ED">
        <w:t xml:space="preserve"> by immune cells in tumor tissue. </w:t>
      </w:r>
      <w:r w:rsidRPr="002B22ED">
        <w:rPr>
          <w:bCs/>
        </w:rPr>
        <w:t>BALB/c mice were inoculated s.c. with C26 cells (2 × 10</w:t>
      </w:r>
      <w:r w:rsidRPr="002B22ED">
        <w:rPr>
          <w:bCs/>
          <w:vertAlign w:val="superscript"/>
        </w:rPr>
        <w:t>6</w:t>
      </w:r>
      <w:r w:rsidRPr="002B22ED">
        <w:rPr>
          <w:bCs/>
        </w:rPr>
        <w:t xml:space="preserve"> cells). </w:t>
      </w:r>
      <w:r w:rsidRPr="002B22ED">
        <w:t>The day when tumor volume reached 100</w:t>
      </w:r>
      <w:r w:rsidR="00F53F60">
        <w:t>–</w:t>
      </w:r>
      <w:r w:rsidRPr="002B22ED">
        <w:t>150 mm</w:t>
      </w:r>
      <w:r w:rsidRPr="002B22ED">
        <w:rPr>
          <w:vertAlign w:val="superscript"/>
        </w:rPr>
        <w:t>3</w:t>
      </w:r>
      <w:r w:rsidRPr="002B22ED">
        <w:t xml:space="preserve"> was set at Day 0. Mice were injected i.v. with either free DXR or Doxil</w:t>
      </w:r>
      <w:r w:rsidRPr="002B22ED">
        <w:rPr>
          <w:vertAlign w:val="superscript"/>
        </w:rPr>
        <w:t>®</w:t>
      </w:r>
      <w:r w:rsidRPr="002B22ED">
        <w:t xml:space="preserve"> (10 mg DXR/kg) on Day 0. Tumor was harvested on Day 2. Fluorescence derived from DXR in Treg, TAM or MDSC was detected by flow cytometry. Each value represents the mean ± SD. *</w:t>
      </w:r>
      <w:r w:rsidR="00F53F60">
        <w:t xml:space="preserve"> </w:t>
      </w:r>
      <w:r w:rsidRPr="002B22ED">
        <w:rPr>
          <w:i/>
          <w:iCs/>
        </w:rPr>
        <w:t>p</w:t>
      </w:r>
      <w:r w:rsidR="00F53F60">
        <w:rPr>
          <w:i/>
          <w:iCs/>
        </w:rPr>
        <w:t xml:space="preserve"> </w:t>
      </w:r>
      <w:r w:rsidRPr="002B22ED">
        <w:t>&lt;</w:t>
      </w:r>
      <w:r w:rsidR="00F53F60">
        <w:t xml:space="preserve"> </w:t>
      </w:r>
      <w:r w:rsidRPr="002B22ED">
        <w:t>0.05, **</w:t>
      </w:r>
      <w:r w:rsidR="00F53F60">
        <w:t xml:space="preserve"> </w:t>
      </w:r>
      <w:r w:rsidRPr="002B22ED">
        <w:rPr>
          <w:i/>
          <w:iCs/>
        </w:rPr>
        <w:t>p</w:t>
      </w:r>
      <w:r w:rsidR="00F53F60">
        <w:rPr>
          <w:i/>
          <w:iCs/>
        </w:rPr>
        <w:t xml:space="preserve"> </w:t>
      </w:r>
      <w:r w:rsidRPr="002B22ED">
        <w:t>&lt;</w:t>
      </w:r>
      <w:r w:rsidR="00F53F60">
        <w:t xml:space="preserve"> </w:t>
      </w:r>
      <w:r w:rsidRPr="002B22ED">
        <w:t>0.01 vs. DXR.</w:t>
      </w:r>
    </w:p>
    <w:p w14:paraId="558F9251" w14:textId="77777777" w:rsidR="00013315" w:rsidRPr="002B22ED" w:rsidRDefault="00013315" w:rsidP="002B22ED">
      <w:pPr>
        <w:pStyle w:val="MDPI52figure"/>
        <w:rPr>
          <w:sz w:val="24"/>
          <w:szCs w:val="24"/>
        </w:rPr>
      </w:pPr>
      <w:r w:rsidRPr="002B22ED">
        <w:rPr>
          <w:noProof/>
          <w:lang w:eastAsia="zh-CN" w:bidi="ar-SA"/>
        </w:rPr>
        <w:lastRenderedPageBreak/>
        <w:drawing>
          <wp:inline distT="0" distB="0" distL="0" distR="0" wp14:anchorId="1F0B2105" wp14:editId="08FE8008">
            <wp:extent cx="2622550" cy="24955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44" t="13816" r="29942"/>
                    <a:stretch/>
                  </pic:blipFill>
                  <pic:spPr bwMode="auto">
                    <a:xfrm>
                      <a:off x="0" y="0"/>
                      <a:ext cx="262255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ED0191" w14:textId="253E08E6" w:rsidR="00055DDB" w:rsidRPr="002B22ED" w:rsidRDefault="00D172E7" w:rsidP="002B22ED">
      <w:pPr>
        <w:pStyle w:val="MDPI51figurecaption"/>
      </w:pPr>
      <w:r w:rsidRPr="002B22ED">
        <w:rPr>
          <w:b/>
        </w:rPr>
        <w:t xml:space="preserve">Figure </w:t>
      </w:r>
      <w:r w:rsidR="00F246AB">
        <w:rPr>
          <w:b/>
        </w:rPr>
        <w:t>S</w:t>
      </w:r>
      <w:r w:rsidRPr="002B22ED">
        <w:rPr>
          <w:b/>
        </w:rPr>
        <w:t xml:space="preserve">4. </w:t>
      </w:r>
      <w:r w:rsidRPr="002B22ED">
        <w:t xml:space="preserve">Effect of treatment with clodronate liposomes on TAMs in tumor tissues. C26 tumor-bearing immunocompetent mice were injected i.v. with Cld-Lip (6.6 </w:t>
      </w:r>
      <w:r w:rsidRPr="002B22ED">
        <w:rPr>
          <w:rFonts w:eastAsia="PMingLiU"/>
        </w:rPr>
        <w:t xml:space="preserve">µmol/mouse). Tumors were excised on Day 4. The proportion of TAMs in total tumor cells of tumor was analyzed by flow cytometry. </w:t>
      </w:r>
      <w:r w:rsidRPr="002B22ED">
        <w:t>Each value represents the mea</w:t>
      </w:r>
      <w:bookmarkStart w:id="0" w:name="_GoBack"/>
      <w:bookmarkEnd w:id="0"/>
      <w:r w:rsidRPr="002B22ED">
        <w:t>n ± SD.</w:t>
      </w:r>
    </w:p>
    <w:sectPr w:rsidR="00055DDB" w:rsidRPr="002B22ED" w:rsidSect="002B22ED">
      <w:headerReference w:type="even" r:id="rId14"/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CC4C58" w14:textId="77777777" w:rsidR="005B3309" w:rsidRDefault="005B3309" w:rsidP="00C1340D">
      <w:r>
        <w:separator/>
      </w:r>
    </w:p>
  </w:endnote>
  <w:endnote w:type="continuationSeparator" w:id="0">
    <w:p w14:paraId="11B0B787" w14:textId="77777777" w:rsidR="005B3309" w:rsidRDefault="005B3309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altName w:val="Arial Unicode MS"/>
    <w:panose1 w:val="02020603050405020304"/>
    <w:charset w:val="DE"/>
    <w:family w:val="roman"/>
    <w:notTrueType/>
    <w:pitch w:val="variable"/>
    <w:sig w:usb0="01000000" w:usb1="00000000" w:usb2="00000000" w:usb3="00000000" w:csb0="00010000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F26F99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 w:rsidR="00F246AB">
      <w:t>4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01841894"/>
      <w:docPartObj>
        <w:docPartGallery w:val="Page Numbers (Bottom of Page)"/>
        <w:docPartUnique/>
      </w:docPartObj>
    </w:sdtPr>
    <w:sdtEndPr/>
    <w:sdtContent>
      <w:p w14:paraId="36CF6134" w14:textId="77777777" w:rsidR="00E27016" w:rsidRDefault="005B3309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F246AB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14:paraId="4CD0D4C4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9436263" w14:textId="77777777" w:rsidR="005B3309" w:rsidRDefault="005B3309" w:rsidP="00C1340D">
      <w:r>
        <w:separator/>
      </w:r>
    </w:p>
  </w:footnote>
  <w:footnote w:type="continuationSeparator" w:id="0">
    <w:p w14:paraId="3FE6FE81" w14:textId="77777777" w:rsidR="005B3309" w:rsidRDefault="005B3309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A8BCF0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433351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D3D964" w14:textId="77777777" w:rsidR="002B22ED" w:rsidRDefault="002B22ED" w:rsidP="002B22ED">
    <w:pPr>
      <w:pStyle w:val="MDPIheaderjournallogo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1D2A892E" wp14:editId="03DD6189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1905" b="0"/>
              <wp:wrapNone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27B94D" w14:textId="77777777" w:rsidR="002B22ED" w:rsidRDefault="002B22ED" w:rsidP="002B22ED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B60C3A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74CBAAE4" wp14:editId="4467CFF5">
                                <wp:extent cx="541020" cy="358140"/>
                                <wp:effectExtent l="0" t="0" r="0" b="3810"/>
                                <wp:docPr id="12" name="Picture 12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1020" cy="3581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D2A892E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6" type="#_x0000_t202" style="position:absolute;left:0;text-align:left;margin-left:474.8pt;margin-top:51pt;width:42.5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IxuLtIWAgAADA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2827B94D" w14:textId="77777777" w:rsidR="002B22ED" w:rsidRDefault="002B22ED" w:rsidP="002B22ED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B60C3A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74CBAAE4" wp14:editId="4467CFF5">
                          <wp:extent cx="541020" cy="358140"/>
                          <wp:effectExtent l="0" t="0" r="0" b="3810"/>
                          <wp:docPr id="12" name="Picture 12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1020" cy="358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4F4484">
      <w:rPr>
        <w:noProof/>
        <w:lang w:eastAsia="zh-CN"/>
      </w:rPr>
      <w:drawing>
        <wp:inline distT="0" distB="0" distL="0" distR="0" wp14:anchorId="5EF3849B" wp14:editId="3F332538">
          <wp:extent cx="1668780" cy="434340"/>
          <wp:effectExtent l="0" t="0" r="7620" b="3810"/>
          <wp:docPr id="11" name="Picture 11" descr="C:\Users\home\AppData\Local\Temp\HZ$D.082.3360\Pharmaceutic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082.3360\Pharmaceutics_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780" cy="434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0A245F"/>
    <w:multiLevelType w:val="hybridMultilevel"/>
    <w:tmpl w:val="2416A128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25B2741A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9A2C0766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1"/>
  </w:num>
  <w:num w:numId="9">
    <w:abstractNumId w:val="2"/>
  </w:num>
  <w:num w:numId="10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75B7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15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ABD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5B7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05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BEB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2ED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309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040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7C5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917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2E7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6A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3F60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2F6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3AEF273"/>
  <w14:defaultImageDpi w14:val="330"/>
  <w15:chartTrackingRefBased/>
  <w15:docId w15:val="{2880764B-4430-4C71-8314-56AC8764C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B22ED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2B22ED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B22ED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2B22ED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B22ED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B22ED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2B22ED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B22ED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2B22ED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2B22ED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2B22ED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2B22ED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2B22ED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B22ED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2B22ED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2B22ED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2B22ED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2B22ED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2B22ED"/>
    <w:pPr>
      <w:numPr>
        <w:numId w:val="8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B22ED"/>
    <w:pPr>
      <w:numPr>
        <w:numId w:val="9"/>
      </w:num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B22ED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2B22ED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2B22ED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B22ED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B22ED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B22ED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B22ED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2B22ED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2B22ED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2B22ED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B22ED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2B22ED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2B22ED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2B22ED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2B22ED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2B22ED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B22ED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B22ED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B22ED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B22ED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2B22ED"/>
    <w:pPr>
      <w:numPr>
        <w:numId w:val="10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2B22ED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2B22ED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2B22ED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B22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2B22ED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Ind w:w="0" w:type="dxa"/>
      <w:tblBorders>
        <w:top w:val="single" w:sz="4" w:space="0" w:color="auto"/>
        <w:bottom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2B22ED"/>
    <w:pPr>
      <w:adjustRightInd w:val="0"/>
      <w:snapToGrid w:val="0"/>
      <w:spacing w:line="240" w:lineRule="auto"/>
      <w:jc w:val="center"/>
    </w:p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2B22ED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0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51B4FD-41BE-42C4-92ED-E50D18F932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294</Words>
  <Characters>1395</Characters>
  <Application>Microsoft Office Word</Application>
  <DocSecurity>0</DocSecurity>
  <Lines>28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</vt:lpstr>
    </vt:vector>
  </TitlesOfParts>
  <Company/>
  <LinksUpToDate>false</LinksUpToDate>
  <CharactersWithSpaces>1682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</cp:lastModifiedBy>
  <cp:revision>6</cp:revision>
  <dcterms:created xsi:type="dcterms:W3CDTF">2020-10-17T06:22:00Z</dcterms:created>
  <dcterms:modified xsi:type="dcterms:W3CDTF">2020-10-18T12:16:00Z</dcterms:modified>
</cp:coreProperties>
</file>