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626402" w14:textId="77777777" w:rsidR="00BE7F76" w:rsidRPr="00A53D46" w:rsidRDefault="00BE7F76" w:rsidP="00BE7F76">
      <w:pPr>
        <w:pStyle w:val="MDPI11articletype"/>
      </w:pPr>
      <w:r w:rsidRPr="006E26FC">
        <w:t>Article</w:t>
      </w:r>
    </w:p>
    <w:p w14:paraId="3EA36284" w14:textId="7849CFDE" w:rsidR="00BE7F76" w:rsidRDefault="00740774" w:rsidP="00740774">
      <w:pPr>
        <w:pStyle w:val="MDPI12title"/>
      </w:pPr>
      <w:r w:rsidRPr="00B8274B">
        <w:rPr>
          <w:lang w:val="en-GB"/>
        </w:rPr>
        <w:t>Supplementary Materials:</w:t>
      </w:r>
      <w:r>
        <w:rPr>
          <w:lang w:val="en-GB"/>
        </w:rPr>
        <w:t xml:space="preserve"> </w:t>
      </w:r>
      <w:r w:rsidR="00E058E4" w:rsidRPr="00E058E4">
        <w:t xml:space="preserve">Evaluation of </w:t>
      </w:r>
      <w:r w:rsidR="00BE7F76" w:rsidRPr="002C142E">
        <w:t xml:space="preserve">VCAM-1 Targeted </w:t>
      </w:r>
      <w:proofErr w:type="spellStart"/>
      <w:r w:rsidR="00BE7F76" w:rsidRPr="002C142E">
        <w:t>Naringenin</w:t>
      </w:r>
      <w:proofErr w:type="spellEnd"/>
      <w:r w:rsidR="00BE7F76" w:rsidRPr="002C142E">
        <w:t>/</w:t>
      </w:r>
      <w:r w:rsidR="00BE7F76" w:rsidRPr="00314A36">
        <w:t xml:space="preserve"> </w:t>
      </w:r>
      <w:proofErr w:type="spellStart"/>
      <w:r w:rsidR="00BE7F76" w:rsidRPr="00314A36">
        <w:t>Indocyanine</w:t>
      </w:r>
      <w:proofErr w:type="spellEnd"/>
      <w:r w:rsidR="00BE7F76" w:rsidRPr="002C142E">
        <w:t xml:space="preserve"> Green-Loaded Lipid </w:t>
      </w:r>
      <w:proofErr w:type="spellStart"/>
      <w:r w:rsidR="00BE7F76" w:rsidRPr="002C142E">
        <w:t>Nano</w:t>
      </w:r>
      <w:r w:rsidR="00BE7F76">
        <w:t>e</w:t>
      </w:r>
      <w:r w:rsidR="00BE7F76" w:rsidRPr="002C142E">
        <w:t>mulsions</w:t>
      </w:r>
      <w:proofErr w:type="spellEnd"/>
      <w:r w:rsidR="00BE7F76" w:rsidRPr="002C142E">
        <w:t xml:space="preserve"> </w:t>
      </w:r>
      <w:proofErr w:type="gramStart"/>
      <w:r w:rsidR="00BE7F76" w:rsidRPr="002C142E">
        <w:t>As</w:t>
      </w:r>
      <w:proofErr w:type="gramEnd"/>
      <w:r w:rsidR="00BE7F76" w:rsidRPr="002C142E">
        <w:t xml:space="preserve"> </w:t>
      </w:r>
      <w:proofErr w:type="spellStart"/>
      <w:r w:rsidR="00BE7F76" w:rsidRPr="002C142E">
        <w:t>Theranostic</w:t>
      </w:r>
      <w:proofErr w:type="spellEnd"/>
      <w:r w:rsidR="00BE7F76" w:rsidRPr="002C142E">
        <w:t xml:space="preserve"> </w:t>
      </w:r>
      <w:proofErr w:type="spellStart"/>
      <w:r w:rsidR="00BE7F76" w:rsidRPr="002C142E">
        <w:t>Nanoplatforms</w:t>
      </w:r>
      <w:proofErr w:type="spellEnd"/>
      <w:r w:rsidR="00BE7F76" w:rsidRPr="002C142E">
        <w:t xml:space="preserve"> In Inflammation</w:t>
      </w:r>
    </w:p>
    <w:p w14:paraId="1D0727DD" w14:textId="6FBF4F5B" w:rsidR="00BE7F76" w:rsidRPr="006E26FC" w:rsidRDefault="00BE7F76" w:rsidP="00BE7F76">
      <w:pPr>
        <w:pStyle w:val="MDPI13authornames"/>
      </w:pPr>
      <w:r w:rsidRPr="007510D4">
        <w:t>Elena</w:t>
      </w:r>
      <w:r w:rsidR="00037593">
        <w:t xml:space="preserve"> </w:t>
      </w:r>
      <w:r w:rsidRPr="007510D4">
        <w:t xml:space="preserve">Valeria </w:t>
      </w:r>
      <w:proofErr w:type="spellStart"/>
      <w:r w:rsidRPr="007510D4">
        <w:t>Fuior</w:t>
      </w:r>
      <w:proofErr w:type="spellEnd"/>
      <w:r w:rsidRPr="007510D4">
        <w:t xml:space="preserve">, Cristina Ana </w:t>
      </w:r>
      <w:proofErr w:type="spellStart"/>
      <w:r w:rsidRPr="007510D4">
        <w:t>Mocanu</w:t>
      </w:r>
      <w:proofErr w:type="spellEnd"/>
      <w:r w:rsidRPr="007510D4">
        <w:t xml:space="preserve">, Mariana </w:t>
      </w:r>
      <w:proofErr w:type="spellStart"/>
      <w:r w:rsidRPr="007510D4">
        <w:t>Deleanu</w:t>
      </w:r>
      <w:proofErr w:type="spellEnd"/>
      <w:r w:rsidRPr="007510D4">
        <w:t xml:space="preserve">, </w:t>
      </w:r>
      <w:proofErr w:type="spellStart"/>
      <w:r w:rsidRPr="007510D4">
        <w:t>Geanina</w:t>
      </w:r>
      <w:proofErr w:type="spellEnd"/>
      <w:r w:rsidRPr="007510D4">
        <w:t xml:space="preserve"> </w:t>
      </w:r>
      <w:proofErr w:type="spellStart"/>
      <w:r w:rsidRPr="007510D4">
        <w:t>Voicu</w:t>
      </w:r>
      <w:proofErr w:type="spellEnd"/>
      <w:r w:rsidRPr="007510D4">
        <w:t xml:space="preserve">, Maria </w:t>
      </w:r>
      <w:proofErr w:type="spellStart"/>
      <w:r w:rsidRPr="007510D4">
        <w:t>Anghelache</w:t>
      </w:r>
      <w:proofErr w:type="spellEnd"/>
      <w:r w:rsidRPr="007510D4">
        <w:t xml:space="preserve">, Daniela </w:t>
      </w:r>
      <w:proofErr w:type="spellStart"/>
      <w:r w:rsidRPr="007510D4">
        <w:t>Rebleanu</w:t>
      </w:r>
      <w:proofErr w:type="spellEnd"/>
      <w:r w:rsidRPr="007510D4">
        <w:t xml:space="preserve">, Maya </w:t>
      </w:r>
      <w:proofErr w:type="spellStart"/>
      <w:r w:rsidRPr="007510D4">
        <w:t>Simionescu</w:t>
      </w:r>
      <w:proofErr w:type="spellEnd"/>
      <w:r w:rsidRPr="007510D4">
        <w:t xml:space="preserve">, Manuela </w:t>
      </w:r>
      <w:proofErr w:type="spellStart"/>
      <w:r w:rsidRPr="007510D4">
        <w:t>Calin</w:t>
      </w:r>
      <w:proofErr w:type="spellEnd"/>
    </w:p>
    <w:p w14:paraId="237334D3" w14:textId="2046EEF7" w:rsidR="00AA5C51" w:rsidRPr="008604F3" w:rsidRDefault="002B5481" w:rsidP="002B5481">
      <w:pPr>
        <w:pStyle w:val="MDPI21heading1"/>
        <w:rPr>
          <w:lang w:val="ro-RO"/>
        </w:rPr>
      </w:pPr>
      <w:r>
        <w:rPr>
          <w:lang w:val="ro-RO"/>
        </w:rPr>
        <w:t xml:space="preserve">1. </w:t>
      </w:r>
      <w:r w:rsidR="00AA5C51" w:rsidRPr="008604F3">
        <w:rPr>
          <w:lang w:val="ro-RO"/>
        </w:rPr>
        <w:t xml:space="preserve">Optical microscopy </w:t>
      </w:r>
      <w:r w:rsidR="0091773E" w:rsidRPr="008604F3">
        <w:rPr>
          <w:lang w:val="ro-RO"/>
        </w:rPr>
        <w:t>of naringenin/ ICG-loaded nanoemulsions</w:t>
      </w:r>
    </w:p>
    <w:p w14:paraId="5664053D" w14:textId="47B389BA" w:rsidR="00B3298F" w:rsidRPr="00B3298F" w:rsidRDefault="00B3298F" w:rsidP="002B5481">
      <w:pPr>
        <w:pStyle w:val="MDPI31text"/>
        <w:rPr>
          <w:lang w:val="ro-RO"/>
        </w:rPr>
      </w:pPr>
      <w:r w:rsidRPr="00B3298F">
        <w:rPr>
          <w:lang w:val="ro-RO"/>
        </w:rPr>
        <w:t>Optical microscopy was performed using an inverted Olympus IX81 microscope equipped with 60x objective with 1.6x magnifying lens. One drop of nanoemulsion was placed between a microscope slide and a cover slip. Photographs were acquired in the same exposure conditions using CellSens software and processed with ImageJ freeware.</w:t>
      </w:r>
      <w:r>
        <w:rPr>
          <w:lang w:val="ro-RO"/>
        </w:rPr>
        <w:t xml:space="preserve"> </w:t>
      </w:r>
      <w:r w:rsidRPr="00B3298F">
        <w:rPr>
          <w:lang w:val="ro-RO"/>
        </w:rPr>
        <w:t>No large aggregates were detected and particles were relatively uniform in size</w:t>
      </w:r>
      <w:r w:rsidR="0040206A">
        <w:rPr>
          <w:lang w:val="ro-RO"/>
        </w:rPr>
        <w:t xml:space="preserve"> (</w:t>
      </w:r>
      <w:r w:rsidR="0040206A" w:rsidRPr="00AA5C51">
        <w:rPr>
          <w:b/>
          <w:sz w:val="18"/>
          <w:szCs w:val="18"/>
        </w:rPr>
        <w:t>Figure S</w:t>
      </w:r>
      <w:r w:rsidR="0040206A">
        <w:rPr>
          <w:b/>
          <w:sz w:val="18"/>
          <w:szCs w:val="18"/>
        </w:rPr>
        <w:t>1)</w:t>
      </w:r>
      <w:r w:rsidRPr="00B3298F">
        <w:rPr>
          <w:lang w:val="ro-RO"/>
        </w:rPr>
        <w:t>.</w:t>
      </w:r>
    </w:p>
    <w:p w14:paraId="38F4AB8B" w14:textId="5A98001D" w:rsidR="00AA5C51" w:rsidRPr="0048748C" w:rsidRDefault="00AA5C51" w:rsidP="002B5481">
      <w:pPr>
        <w:pStyle w:val="MDPI52figure"/>
        <w:rPr>
          <w:sz w:val="20"/>
          <w:lang w:val="ro-RO"/>
        </w:rPr>
      </w:pPr>
      <w:r>
        <w:rPr>
          <w:noProof/>
          <w:lang w:eastAsia="zh-CN" w:bidi="ar-SA"/>
        </w:rPr>
        <w:drawing>
          <wp:inline distT="0" distB="0" distL="0" distR="0" wp14:anchorId="144940FD" wp14:editId="2F51E763">
            <wp:extent cx="5096341" cy="10552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54251" cy="1067282"/>
                    </a:xfrm>
                    <a:prstGeom prst="rect">
                      <a:avLst/>
                    </a:prstGeom>
                  </pic:spPr>
                </pic:pic>
              </a:graphicData>
            </a:graphic>
          </wp:inline>
        </w:drawing>
      </w:r>
    </w:p>
    <w:p w14:paraId="3E3D1B20" w14:textId="0F4884A3" w:rsidR="0091773E" w:rsidRDefault="002B5481" w:rsidP="002B5481">
      <w:pPr>
        <w:pStyle w:val="MDPI51figurecaption"/>
        <w:rPr>
          <w:lang w:val="ro-RO"/>
        </w:rPr>
      </w:pPr>
      <w:bookmarkStart w:id="0" w:name="_Hlk54696758"/>
      <w:r w:rsidRPr="002B5481">
        <w:rPr>
          <w:b/>
        </w:rPr>
        <w:t xml:space="preserve">Figure </w:t>
      </w:r>
      <w:r>
        <w:rPr>
          <w:b/>
        </w:rPr>
        <w:t>S</w:t>
      </w:r>
      <w:r w:rsidRPr="002B5481">
        <w:rPr>
          <w:b/>
        </w:rPr>
        <w:t xml:space="preserve">1. </w:t>
      </w:r>
      <w:r w:rsidR="00B3298F" w:rsidRPr="00DF07D2">
        <w:rPr>
          <w:lang w:val="ro-RO"/>
        </w:rPr>
        <w:t>Optical microscopy images of Nar/LN (A), V-Nar/LN (B), Nar/ICG/LN (C) and V-Nar/ICG/LN. Scale bar: 20 μm.</w:t>
      </w:r>
      <w:bookmarkEnd w:id="0"/>
    </w:p>
    <w:p w14:paraId="0C285ECF" w14:textId="42B87AB3" w:rsidR="00DF6FC2" w:rsidRPr="002B5481" w:rsidRDefault="00FE4A0D" w:rsidP="002B5481">
      <w:pPr>
        <w:pStyle w:val="MDPI31text"/>
        <w:rPr>
          <w:rFonts w:ascii="Arial" w:hAnsi="Arial" w:cs="Arial"/>
          <w:color w:val="0A0A0A"/>
        </w:rPr>
      </w:pPr>
      <w:r w:rsidRPr="00121C66">
        <w:rPr>
          <w:lang w:val="ro-RO"/>
        </w:rPr>
        <w:t xml:space="preserve">At the end of the Supplementary material section two Size Distribution Reports </w:t>
      </w:r>
      <w:r w:rsidR="0040206A" w:rsidRPr="00121C66">
        <w:rPr>
          <w:lang w:val="ro-RO"/>
        </w:rPr>
        <w:t>can be found</w:t>
      </w:r>
      <w:r w:rsidR="0040206A">
        <w:rPr>
          <w:lang w:val="ro-RO"/>
        </w:rPr>
        <w:t>,</w:t>
      </w:r>
      <w:r w:rsidR="0040206A" w:rsidRPr="00121C66">
        <w:rPr>
          <w:lang w:val="ro-RO"/>
        </w:rPr>
        <w:t xml:space="preserve"> </w:t>
      </w:r>
      <w:r w:rsidRPr="00121C66">
        <w:rPr>
          <w:lang w:val="ro-RO"/>
        </w:rPr>
        <w:t>as generated by Malvern Zetasizer instrument for size of Nar/ICG/LN and V-Nar/ICG/LN at the time of preparation. No particles can be detected with size &gt;</w:t>
      </w:r>
      <w:r w:rsidR="00740774">
        <w:rPr>
          <w:lang w:val="ro-RO"/>
        </w:rPr>
        <w:t xml:space="preserve"> </w:t>
      </w:r>
      <w:r w:rsidRPr="00121C66">
        <w:rPr>
          <w:lang w:val="ro-RO"/>
        </w:rPr>
        <w:t>1 μm, as the instrument upper limit detection is 10 μm</w:t>
      </w:r>
      <w:r w:rsidRPr="006F5217">
        <w:rPr>
          <w:rFonts w:ascii="Arial" w:hAnsi="Arial" w:cs="Arial"/>
          <w:color w:val="0A0A0A"/>
        </w:rPr>
        <w:t>.</w:t>
      </w:r>
    </w:p>
    <w:p w14:paraId="7BC471F7" w14:textId="61BD76DB" w:rsidR="00AE47DB" w:rsidRPr="002B5481" w:rsidRDefault="002B5481" w:rsidP="002B5481">
      <w:pPr>
        <w:pStyle w:val="MDPI21heading1"/>
      </w:pPr>
      <w:r>
        <w:t xml:space="preserve">2. </w:t>
      </w:r>
      <w:r w:rsidR="00AE47DB" w:rsidRPr="0048748C">
        <w:t xml:space="preserve">Evaluation of </w:t>
      </w:r>
      <w:proofErr w:type="spellStart"/>
      <w:r w:rsidR="00AE47DB" w:rsidRPr="0048748C">
        <w:t>naringenin</w:t>
      </w:r>
      <w:proofErr w:type="spellEnd"/>
      <w:r w:rsidR="00AE47DB" w:rsidRPr="0048748C">
        <w:t xml:space="preserve">-loaded lipid </w:t>
      </w:r>
      <w:proofErr w:type="spellStart"/>
      <w:r w:rsidR="00AE47DB" w:rsidRPr="0048748C">
        <w:t>nanoemulsions</w:t>
      </w:r>
      <w:proofErr w:type="spellEnd"/>
      <w:r w:rsidR="00AE47DB" w:rsidRPr="0048748C">
        <w:t xml:space="preserve"> stability </w:t>
      </w:r>
    </w:p>
    <w:p w14:paraId="3A550FBC" w14:textId="42BFBD87" w:rsidR="00AE47DB" w:rsidRPr="0048748C" w:rsidRDefault="00AE47DB" w:rsidP="002B5481">
      <w:pPr>
        <w:pStyle w:val="MDPI31text"/>
      </w:pPr>
      <w:r w:rsidRPr="0048748C">
        <w:t xml:space="preserve">The stability of intravenously administered </w:t>
      </w:r>
      <w:proofErr w:type="spellStart"/>
      <w:r w:rsidRPr="0048748C">
        <w:t>nanoemulsions</w:t>
      </w:r>
      <w:proofErr w:type="spellEnd"/>
      <w:r w:rsidRPr="0048748C">
        <w:t xml:space="preserve"> is a key requirement to benefit from the therapeutic potential of targeted nanoparticles. To assess the stability of </w:t>
      </w:r>
      <w:proofErr w:type="spellStart"/>
      <w:r w:rsidRPr="0048748C">
        <w:t>nanoemulsions</w:t>
      </w:r>
      <w:proofErr w:type="spellEnd"/>
      <w:r w:rsidRPr="0048748C">
        <w:t xml:space="preserve"> loaded with </w:t>
      </w:r>
      <w:proofErr w:type="spellStart"/>
      <w:r w:rsidRPr="0048748C">
        <w:t>naringenin</w:t>
      </w:r>
      <w:proofErr w:type="spellEnd"/>
      <w:r w:rsidRPr="0048748C">
        <w:t xml:space="preserve"> and ICG in the presence of plasma </w:t>
      </w:r>
      <w:r w:rsidRPr="0048748C">
        <w:rPr>
          <w:i/>
        </w:rPr>
        <w:t>in vitro</w:t>
      </w:r>
      <w:r w:rsidRPr="0048748C">
        <w:t xml:space="preserve">, </w:t>
      </w:r>
      <w:proofErr w:type="spellStart"/>
      <w:r w:rsidRPr="0048748C">
        <w:t>nanoemulsions</w:t>
      </w:r>
      <w:proofErr w:type="spellEnd"/>
      <w:r w:rsidRPr="0048748C">
        <w:t xml:space="preserve"> were incubated with 50% murine plasma in PBS, on a </w:t>
      </w:r>
      <w:proofErr w:type="spellStart"/>
      <w:r w:rsidRPr="0048748C">
        <w:t>rotative</w:t>
      </w:r>
      <w:proofErr w:type="spellEnd"/>
      <w:r w:rsidRPr="0048748C">
        <w:t xml:space="preserve"> shaker for one hour at 37°C. The concentrations of the components of the mix were: 1mM total lipid, 300 µM </w:t>
      </w:r>
      <w:proofErr w:type="spellStart"/>
      <w:r w:rsidRPr="0048748C">
        <w:t>naringenin</w:t>
      </w:r>
      <w:proofErr w:type="spellEnd"/>
      <w:r w:rsidRPr="0048748C">
        <w:t xml:space="preserve"> (incorporated in the </w:t>
      </w:r>
      <w:proofErr w:type="spellStart"/>
      <w:r w:rsidRPr="0048748C">
        <w:t>nanoemulsions</w:t>
      </w:r>
      <w:proofErr w:type="spellEnd"/>
      <w:r w:rsidRPr="0048748C">
        <w:t xml:space="preserve"> or added from a stock solution), 15 µM ICG (incorporated in the </w:t>
      </w:r>
      <w:proofErr w:type="spellStart"/>
      <w:r w:rsidRPr="0048748C">
        <w:t>nanoemulsions</w:t>
      </w:r>
      <w:proofErr w:type="spellEnd"/>
      <w:r w:rsidRPr="0048748C">
        <w:t xml:space="preserve"> or added from a stock solution). These concentrations were established based on the ratio between the volume of the </w:t>
      </w:r>
      <w:proofErr w:type="spellStart"/>
      <w:r w:rsidRPr="0048748C">
        <w:t>nanoemulsions</w:t>
      </w:r>
      <w:proofErr w:type="spellEnd"/>
      <w:r w:rsidRPr="0048748C">
        <w:t xml:space="preserve"> and the total blood volume of a mouse, as occurred upon </w:t>
      </w:r>
      <w:proofErr w:type="spellStart"/>
      <w:r w:rsidRPr="0048748C">
        <w:t>i.v.</w:t>
      </w:r>
      <w:proofErr w:type="spellEnd"/>
      <w:r w:rsidRPr="0048748C">
        <w:t xml:space="preserve"> administration in the murine inflammation model. After 1 </w:t>
      </w:r>
      <w:r w:rsidR="00821EA8">
        <w:t>h</w:t>
      </w:r>
      <w:r w:rsidRPr="0048748C">
        <w:t xml:space="preserve">, the samples were centrifuged on </w:t>
      </w:r>
      <w:proofErr w:type="spellStart"/>
      <w:r w:rsidRPr="0048748C">
        <w:t>Amicon</w:t>
      </w:r>
      <w:proofErr w:type="spellEnd"/>
      <w:r w:rsidRPr="0048748C">
        <w:t xml:space="preserve"> columns at 16000 </w:t>
      </w:r>
      <w:r w:rsidRPr="0048748C">
        <w:rPr>
          <w:i/>
        </w:rPr>
        <w:t>g</w:t>
      </w:r>
      <w:r w:rsidRPr="0048748C">
        <w:t xml:space="preserve"> for 5 </w:t>
      </w:r>
      <w:r w:rsidR="00821EA8">
        <w:t>min</w:t>
      </w:r>
      <w:r w:rsidRPr="0048748C">
        <w:t xml:space="preserve">, and </w:t>
      </w:r>
      <w:proofErr w:type="spellStart"/>
      <w:r w:rsidRPr="0048748C">
        <w:t>naringenin</w:t>
      </w:r>
      <w:proofErr w:type="spellEnd"/>
      <w:r w:rsidRPr="0048748C">
        <w:t xml:space="preserve"> was quantitated both in the filtrate and the concentrate by UHPLC. The results indicated that </w:t>
      </w:r>
      <w:r w:rsidR="00C850C0">
        <w:t>for Nar/LN, 5.6</w:t>
      </w:r>
      <w:r w:rsidRPr="00BE7F76">
        <w:t xml:space="preserve">% of the initial amount of </w:t>
      </w:r>
      <w:proofErr w:type="spellStart"/>
      <w:r w:rsidRPr="00BE7F76">
        <w:t>naringenin</w:t>
      </w:r>
      <w:proofErr w:type="spellEnd"/>
      <w:r w:rsidRPr="00BE7F76">
        <w:t xml:space="preserve"> was retrieved</w:t>
      </w:r>
      <w:r w:rsidR="00C850C0">
        <w:t xml:space="preserve"> in the filtrate, but only 1.43</w:t>
      </w:r>
      <w:r w:rsidRPr="00BE7F76">
        <w:t>% in the case of Nar/ICG /LN.</w:t>
      </w:r>
    </w:p>
    <w:p w14:paraId="76368D68" w14:textId="5C023F30" w:rsidR="004E7223" w:rsidRPr="0048748C" w:rsidRDefault="00AE47DB" w:rsidP="002B5481">
      <w:pPr>
        <w:pStyle w:val="MDPI31text"/>
        <w:rPr>
          <w:shd w:val="clear" w:color="auto" w:fill="FFFFFF"/>
        </w:rPr>
      </w:pPr>
      <w:r w:rsidRPr="0048748C">
        <w:t xml:space="preserve">Also, the </w:t>
      </w:r>
      <w:proofErr w:type="spellStart"/>
      <w:r w:rsidRPr="0048748C">
        <w:t>nanoemulsions</w:t>
      </w:r>
      <w:proofErr w:type="spellEnd"/>
      <w:r w:rsidRPr="0048748C">
        <w:t xml:space="preserve"> were characterized by measuring the dimensions and zeta potential using the </w:t>
      </w:r>
      <w:proofErr w:type="spellStart"/>
      <w:r w:rsidRPr="0048748C">
        <w:t>ZetaSizer</w:t>
      </w:r>
      <w:proofErr w:type="spellEnd"/>
      <w:r w:rsidRPr="0048748C">
        <w:t xml:space="preserve"> </w:t>
      </w:r>
      <w:proofErr w:type="spellStart"/>
      <w:r w:rsidRPr="0048748C">
        <w:t>NanoZS</w:t>
      </w:r>
      <w:proofErr w:type="spellEnd"/>
      <w:r w:rsidRPr="0048748C">
        <w:t xml:space="preserve"> instrument (Malvern Instruments, UK) at the initial and final time points of incubation (</w:t>
      </w:r>
      <w:r w:rsidRPr="0048748C">
        <w:rPr>
          <w:b/>
        </w:rPr>
        <w:t>Table S1</w:t>
      </w:r>
      <w:r w:rsidRPr="0048748C">
        <w:t xml:space="preserve">). </w:t>
      </w:r>
      <w:r w:rsidRPr="0048748C">
        <w:rPr>
          <w:shd w:val="clear" w:color="auto" w:fill="FFFFFF"/>
        </w:rPr>
        <w:t xml:space="preserve">As controls, empty </w:t>
      </w:r>
      <w:proofErr w:type="spellStart"/>
      <w:r w:rsidRPr="0048748C">
        <w:rPr>
          <w:shd w:val="clear" w:color="auto" w:fill="FFFFFF"/>
        </w:rPr>
        <w:t>nanoemulsions</w:t>
      </w:r>
      <w:proofErr w:type="spellEnd"/>
      <w:r w:rsidRPr="0048748C">
        <w:rPr>
          <w:shd w:val="clear" w:color="auto" w:fill="FFFFFF"/>
        </w:rPr>
        <w:t xml:space="preserve"> (LN) were used, to which </w:t>
      </w:r>
      <w:proofErr w:type="spellStart"/>
      <w:r w:rsidRPr="0048748C">
        <w:rPr>
          <w:shd w:val="clear" w:color="auto" w:fill="FFFFFF"/>
        </w:rPr>
        <w:t>naringenin</w:t>
      </w:r>
      <w:proofErr w:type="spellEnd"/>
      <w:r w:rsidRPr="0048748C">
        <w:rPr>
          <w:shd w:val="clear" w:color="auto" w:fill="FFFFFF"/>
        </w:rPr>
        <w:t xml:space="preserve"> </w:t>
      </w:r>
      <w:r w:rsidRPr="0048748C">
        <w:rPr>
          <w:shd w:val="clear" w:color="auto" w:fill="FFFFFF"/>
        </w:rPr>
        <w:lastRenderedPageBreak/>
        <w:t xml:space="preserve">and/or ICG were added </w:t>
      </w:r>
      <w:r w:rsidR="00FE4A0D">
        <w:rPr>
          <w:shd w:val="clear" w:color="auto" w:fill="FFFFFF"/>
        </w:rPr>
        <w:t xml:space="preserve">from stock solutions, </w:t>
      </w:r>
      <w:r w:rsidRPr="0048748C">
        <w:rPr>
          <w:shd w:val="clear" w:color="auto" w:fill="FFFFFF"/>
        </w:rPr>
        <w:t xml:space="preserve">in amounts </w:t>
      </w:r>
      <w:r w:rsidRPr="00AE47DB">
        <w:rPr>
          <w:shd w:val="clear" w:color="auto" w:fill="FFFFFF"/>
        </w:rPr>
        <w:t>equivalent</w:t>
      </w:r>
      <w:r>
        <w:rPr>
          <w:shd w:val="clear" w:color="auto" w:fill="FFFFFF"/>
        </w:rPr>
        <w:t xml:space="preserve"> </w:t>
      </w:r>
      <w:r w:rsidRPr="0048748C">
        <w:rPr>
          <w:shd w:val="clear" w:color="auto" w:fill="FFFFFF"/>
        </w:rPr>
        <w:t xml:space="preserve">to those incorporated in </w:t>
      </w:r>
      <w:proofErr w:type="spellStart"/>
      <w:r w:rsidRPr="0048748C">
        <w:rPr>
          <w:shd w:val="clear" w:color="auto" w:fill="FFFFFF"/>
        </w:rPr>
        <w:t>nanoemulsions</w:t>
      </w:r>
      <w:proofErr w:type="spellEnd"/>
      <w:r w:rsidRPr="0048748C">
        <w:rPr>
          <w:shd w:val="clear" w:color="auto" w:fill="FFFFFF"/>
        </w:rPr>
        <w:t>.</w:t>
      </w:r>
    </w:p>
    <w:p w14:paraId="4D894BEF" w14:textId="2278BAB0" w:rsidR="00A059F3" w:rsidRPr="006B118F" w:rsidRDefault="002B5481" w:rsidP="006B118F">
      <w:pPr>
        <w:pStyle w:val="MDPI41tablecaption"/>
        <w:spacing w:after="240"/>
        <w:rPr>
          <w:shd w:val="clear" w:color="auto" w:fill="FFFFFF"/>
        </w:rPr>
      </w:pPr>
      <w:r w:rsidRPr="002B5481">
        <w:rPr>
          <w:b/>
          <w:shd w:val="clear" w:color="auto" w:fill="FFFFFF"/>
        </w:rPr>
        <w:t xml:space="preserve">Table </w:t>
      </w:r>
      <w:r>
        <w:rPr>
          <w:b/>
          <w:shd w:val="clear" w:color="auto" w:fill="FFFFFF"/>
        </w:rPr>
        <w:t>S</w:t>
      </w:r>
      <w:r w:rsidRPr="002B5481">
        <w:rPr>
          <w:b/>
          <w:shd w:val="clear" w:color="auto" w:fill="FFFFFF"/>
        </w:rPr>
        <w:t xml:space="preserve">1. </w:t>
      </w:r>
      <w:r w:rsidR="00AE47DB" w:rsidRPr="004E7223">
        <w:rPr>
          <w:shd w:val="clear" w:color="auto" w:fill="FFFFFF"/>
        </w:rPr>
        <w:t xml:space="preserve">Summary of hydrodynamic diameters, </w:t>
      </w:r>
      <w:proofErr w:type="spellStart"/>
      <w:r w:rsidR="00AE47DB" w:rsidRPr="004E7223">
        <w:rPr>
          <w:shd w:val="clear" w:color="auto" w:fill="FFFFFF"/>
        </w:rPr>
        <w:t>polydispersion</w:t>
      </w:r>
      <w:proofErr w:type="spellEnd"/>
      <w:r w:rsidR="00AE47DB" w:rsidRPr="004E7223">
        <w:rPr>
          <w:shd w:val="clear" w:color="auto" w:fill="FFFFFF"/>
        </w:rPr>
        <w:t xml:space="preserve"> indices (PDI) and zeta potentials for </w:t>
      </w:r>
      <w:proofErr w:type="spellStart"/>
      <w:r w:rsidR="00AE47DB" w:rsidRPr="004E7223">
        <w:rPr>
          <w:shd w:val="clear" w:color="auto" w:fill="FFFFFF"/>
        </w:rPr>
        <w:t>naringenin</w:t>
      </w:r>
      <w:proofErr w:type="spellEnd"/>
      <w:r w:rsidR="00AE47DB" w:rsidRPr="004E7223">
        <w:rPr>
          <w:shd w:val="clear" w:color="auto" w:fill="FFFFFF"/>
        </w:rPr>
        <w:t xml:space="preserve">-loaded lipid </w:t>
      </w:r>
      <w:proofErr w:type="spellStart"/>
      <w:r w:rsidR="00AE47DB" w:rsidRPr="004E7223">
        <w:rPr>
          <w:shd w:val="clear" w:color="auto" w:fill="FFFFFF"/>
        </w:rPr>
        <w:t>nanoemulsions</w:t>
      </w:r>
      <w:proofErr w:type="spellEnd"/>
      <w:r w:rsidR="00AE47DB" w:rsidRPr="004E7223">
        <w:rPr>
          <w:shd w:val="clear" w:color="auto" w:fill="FFFFFF"/>
        </w:rPr>
        <w:t xml:space="preserve"> in the presence of </w:t>
      </w:r>
      <w:r w:rsidR="00AE47DB" w:rsidRPr="00F03492">
        <w:rPr>
          <w:shd w:val="clear" w:color="auto" w:fill="FFFFFF"/>
        </w:rPr>
        <w:t>murine plasma</w:t>
      </w:r>
      <w:r w:rsidR="00AE47DB" w:rsidRPr="004E7223">
        <w:rPr>
          <w:shd w:val="clear" w:color="auto" w:fill="FFFFFF"/>
        </w:rPr>
        <w:t>, at the initial (t</w:t>
      </w:r>
      <w:r w:rsidR="00AE47DB" w:rsidRPr="004E7223">
        <w:rPr>
          <w:shd w:val="clear" w:color="auto" w:fill="FFFFFF"/>
          <w:vertAlign w:val="subscript"/>
        </w:rPr>
        <w:t>o</w:t>
      </w:r>
      <w:r w:rsidR="00AE47DB" w:rsidRPr="004E7223">
        <w:rPr>
          <w:shd w:val="clear" w:color="auto" w:fill="FFFFFF"/>
        </w:rPr>
        <w:t xml:space="preserve">) and final (1 </w:t>
      </w:r>
      <w:r w:rsidR="00821EA8">
        <w:rPr>
          <w:shd w:val="clear" w:color="auto" w:fill="FFFFFF"/>
        </w:rPr>
        <w:t>h</w:t>
      </w:r>
      <w:r w:rsidR="00AE47DB" w:rsidRPr="004E7223">
        <w:rPr>
          <w:shd w:val="clear" w:color="auto" w:fill="FFFFFF"/>
        </w:rPr>
        <w:t xml:space="preserve">) time points. In the samples marked </w:t>
      </w:r>
      <w:proofErr w:type="spellStart"/>
      <w:r w:rsidR="00AE47DB" w:rsidRPr="004E7223">
        <w:rPr>
          <w:shd w:val="clear" w:color="auto" w:fill="FFFFFF"/>
        </w:rPr>
        <w:t>LN+Nar</w:t>
      </w:r>
      <w:proofErr w:type="spellEnd"/>
      <w:r w:rsidR="00AE47DB" w:rsidRPr="004E7223">
        <w:rPr>
          <w:shd w:val="clear" w:color="auto" w:fill="FFFFFF"/>
        </w:rPr>
        <w:t xml:space="preserve">, LN+ICG, </w:t>
      </w:r>
      <w:proofErr w:type="spellStart"/>
      <w:r w:rsidR="00AE47DB" w:rsidRPr="004E7223">
        <w:rPr>
          <w:shd w:val="clear" w:color="auto" w:fill="FFFFFF"/>
        </w:rPr>
        <w:t>LN+Nar+ICG</w:t>
      </w:r>
      <w:proofErr w:type="spellEnd"/>
      <w:r w:rsidR="00AE47DB" w:rsidRPr="004E7223">
        <w:rPr>
          <w:shd w:val="clear" w:color="auto" w:fill="FFFFFF"/>
        </w:rPr>
        <w:t xml:space="preserve">, </w:t>
      </w:r>
      <w:proofErr w:type="spellStart"/>
      <w:r w:rsidR="00AE47DB" w:rsidRPr="004E7223">
        <w:rPr>
          <w:shd w:val="clear" w:color="auto" w:fill="FFFFFF"/>
        </w:rPr>
        <w:t>naringenin</w:t>
      </w:r>
      <w:proofErr w:type="spellEnd"/>
      <w:r w:rsidR="00AE47DB" w:rsidRPr="004E7223">
        <w:rPr>
          <w:shd w:val="clear" w:color="auto" w:fill="FFFFFF"/>
        </w:rPr>
        <w:t xml:space="preserve"> and ICG were added, at the corresponding concentrations, from stock solutions to empty </w:t>
      </w:r>
      <w:proofErr w:type="spellStart"/>
      <w:r w:rsidR="00AE47DB" w:rsidRPr="004E7223">
        <w:rPr>
          <w:shd w:val="clear" w:color="auto" w:fill="FFFFFF"/>
        </w:rPr>
        <w:t>nanoemulsions</w:t>
      </w:r>
      <w:proofErr w:type="spellEnd"/>
      <w:r w:rsidR="00AE47DB" w:rsidRPr="004E7223">
        <w:rPr>
          <w:shd w:val="clear" w:color="auto" w:fill="FFFFFF"/>
        </w:rPr>
        <w:t xml:space="preserve"> (LN).</w:t>
      </w:r>
    </w:p>
    <w:tbl>
      <w:tblPr>
        <w:tblStyle w:val="TableGrid"/>
        <w:tblW w:w="8389"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584"/>
        <w:gridCol w:w="1080"/>
        <w:gridCol w:w="1069"/>
        <w:gridCol w:w="1259"/>
        <w:gridCol w:w="1248"/>
        <w:gridCol w:w="1080"/>
        <w:gridCol w:w="1069"/>
      </w:tblGrid>
      <w:tr w:rsidR="00A059F3" w:rsidRPr="006B118F" w14:paraId="33DFCEF9" w14:textId="77777777" w:rsidTr="00BE5CCC">
        <w:trPr>
          <w:trHeight w:val="235"/>
          <w:jc w:val="center"/>
        </w:trPr>
        <w:tc>
          <w:tcPr>
            <w:tcW w:w="0" w:type="auto"/>
            <w:vMerge w:val="restart"/>
            <w:tcBorders>
              <w:top w:val="single" w:sz="8" w:space="0" w:color="auto"/>
              <w:bottom w:val="nil"/>
            </w:tcBorders>
            <w:shd w:val="clear" w:color="auto" w:fill="auto"/>
            <w:vAlign w:val="center"/>
          </w:tcPr>
          <w:p w14:paraId="2732FFB2"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bCs/>
                <w:sz w:val="20"/>
              </w:rPr>
            </w:pPr>
            <w:r w:rsidRPr="006B118F">
              <w:rPr>
                <w:rFonts w:ascii="Palatino Linotype" w:hAnsi="Palatino Linotype"/>
                <w:b/>
                <w:bCs/>
                <w:sz w:val="20"/>
              </w:rPr>
              <w:t>Sample</w:t>
            </w:r>
          </w:p>
        </w:tc>
        <w:tc>
          <w:tcPr>
            <w:tcW w:w="0" w:type="auto"/>
            <w:gridSpan w:val="2"/>
            <w:tcBorders>
              <w:top w:val="single" w:sz="8" w:space="0" w:color="auto"/>
              <w:bottom w:val="single" w:sz="6" w:space="0" w:color="auto"/>
            </w:tcBorders>
            <w:shd w:val="clear" w:color="auto" w:fill="auto"/>
            <w:vAlign w:val="center"/>
          </w:tcPr>
          <w:p w14:paraId="6A880A68"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bCs/>
                <w:sz w:val="20"/>
              </w:rPr>
            </w:pPr>
            <w:r w:rsidRPr="006B118F">
              <w:rPr>
                <w:rFonts w:ascii="Palatino Linotype" w:hAnsi="Palatino Linotype"/>
                <w:b/>
                <w:bCs/>
                <w:sz w:val="20"/>
              </w:rPr>
              <w:t>Size (nm)</w:t>
            </w:r>
          </w:p>
        </w:tc>
        <w:tc>
          <w:tcPr>
            <w:tcW w:w="0" w:type="auto"/>
            <w:gridSpan w:val="2"/>
            <w:tcBorders>
              <w:top w:val="single" w:sz="8" w:space="0" w:color="auto"/>
              <w:bottom w:val="single" w:sz="6" w:space="0" w:color="auto"/>
            </w:tcBorders>
            <w:shd w:val="clear" w:color="auto" w:fill="auto"/>
            <w:vAlign w:val="center"/>
          </w:tcPr>
          <w:p w14:paraId="00042136"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bCs/>
                <w:sz w:val="20"/>
              </w:rPr>
            </w:pPr>
            <w:r w:rsidRPr="006B118F">
              <w:rPr>
                <w:rFonts w:ascii="Palatino Linotype" w:hAnsi="Palatino Linotype"/>
                <w:b/>
                <w:bCs/>
                <w:sz w:val="20"/>
              </w:rPr>
              <w:t>PDI</w:t>
            </w:r>
          </w:p>
        </w:tc>
        <w:tc>
          <w:tcPr>
            <w:tcW w:w="0" w:type="auto"/>
            <w:gridSpan w:val="2"/>
            <w:tcBorders>
              <w:top w:val="single" w:sz="8" w:space="0" w:color="auto"/>
              <w:bottom w:val="single" w:sz="6" w:space="0" w:color="auto"/>
            </w:tcBorders>
            <w:shd w:val="clear" w:color="auto" w:fill="auto"/>
            <w:vAlign w:val="center"/>
          </w:tcPr>
          <w:p w14:paraId="397AB789"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bCs/>
                <w:sz w:val="20"/>
              </w:rPr>
            </w:pPr>
            <w:r w:rsidRPr="006B118F">
              <w:rPr>
                <w:rFonts w:ascii="Palatino Linotype" w:hAnsi="Palatino Linotype"/>
                <w:b/>
                <w:bCs/>
                <w:sz w:val="20"/>
              </w:rPr>
              <w:t>Zeta potential (mV)</w:t>
            </w:r>
          </w:p>
        </w:tc>
      </w:tr>
      <w:tr w:rsidR="00A059F3" w:rsidRPr="006B118F" w14:paraId="727CBA1A" w14:textId="77777777" w:rsidTr="00BE5CCC">
        <w:trPr>
          <w:trHeight w:val="244"/>
          <w:jc w:val="center"/>
        </w:trPr>
        <w:tc>
          <w:tcPr>
            <w:tcW w:w="0" w:type="auto"/>
            <w:vMerge/>
            <w:tcBorders>
              <w:top w:val="nil"/>
              <w:bottom w:val="single" w:sz="4" w:space="0" w:color="auto"/>
            </w:tcBorders>
            <w:shd w:val="clear" w:color="auto" w:fill="auto"/>
            <w:vAlign w:val="center"/>
          </w:tcPr>
          <w:p w14:paraId="2C1403BF"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sz w:val="20"/>
              </w:rPr>
            </w:pPr>
          </w:p>
        </w:tc>
        <w:tc>
          <w:tcPr>
            <w:tcW w:w="0" w:type="auto"/>
            <w:tcBorders>
              <w:top w:val="single" w:sz="6" w:space="0" w:color="auto"/>
              <w:bottom w:val="single" w:sz="4" w:space="0" w:color="auto"/>
            </w:tcBorders>
            <w:shd w:val="clear" w:color="auto" w:fill="auto"/>
            <w:vAlign w:val="center"/>
          </w:tcPr>
          <w:p w14:paraId="16E06F56"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sz w:val="20"/>
              </w:rPr>
            </w:pPr>
            <w:r w:rsidRPr="006B118F">
              <w:rPr>
                <w:rFonts w:ascii="Palatino Linotype" w:hAnsi="Palatino Linotype"/>
                <w:b/>
                <w:sz w:val="20"/>
              </w:rPr>
              <w:t>initial</w:t>
            </w:r>
          </w:p>
        </w:tc>
        <w:tc>
          <w:tcPr>
            <w:tcW w:w="0" w:type="auto"/>
            <w:tcBorders>
              <w:top w:val="single" w:sz="6" w:space="0" w:color="auto"/>
              <w:bottom w:val="single" w:sz="4" w:space="0" w:color="auto"/>
            </w:tcBorders>
            <w:shd w:val="clear" w:color="auto" w:fill="auto"/>
            <w:vAlign w:val="center"/>
          </w:tcPr>
          <w:p w14:paraId="3B1BEB84"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sz w:val="20"/>
              </w:rPr>
            </w:pPr>
            <w:r w:rsidRPr="006B118F">
              <w:rPr>
                <w:rFonts w:ascii="Palatino Linotype" w:hAnsi="Palatino Linotype"/>
                <w:b/>
                <w:sz w:val="20"/>
              </w:rPr>
              <w:t>final</w:t>
            </w:r>
          </w:p>
        </w:tc>
        <w:tc>
          <w:tcPr>
            <w:tcW w:w="0" w:type="auto"/>
            <w:tcBorders>
              <w:top w:val="single" w:sz="6" w:space="0" w:color="auto"/>
              <w:bottom w:val="single" w:sz="4" w:space="0" w:color="auto"/>
            </w:tcBorders>
            <w:shd w:val="clear" w:color="auto" w:fill="auto"/>
            <w:vAlign w:val="center"/>
          </w:tcPr>
          <w:p w14:paraId="3927066A"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sz w:val="20"/>
              </w:rPr>
            </w:pPr>
            <w:r w:rsidRPr="006B118F">
              <w:rPr>
                <w:rFonts w:ascii="Palatino Linotype" w:hAnsi="Palatino Linotype"/>
                <w:b/>
                <w:sz w:val="20"/>
              </w:rPr>
              <w:t>initial</w:t>
            </w:r>
          </w:p>
        </w:tc>
        <w:tc>
          <w:tcPr>
            <w:tcW w:w="0" w:type="auto"/>
            <w:tcBorders>
              <w:top w:val="single" w:sz="6" w:space="0" w:color="auto"/>
              <w:bottom w:val="single" w:sz="4" w:space="0" w:color="auto"/>
            </w:tcBorders>
            <w:shd w:val="clear" w:color="auto" w:fill="auto"/>
            <w:vAlign w:val="center"/>
          </w:tcPr>
          <w:p w14:paraId="292DD3B8"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sz w:val="20"/>
              </w:rPr>
            </w:pPr>
            <w:r w:rsidRPr="006B118F">
              <w:rPr>
                <w:rFonts w:ascii="Palatino Linotype" w:hAnsi="Palatino Linotype"/>
                <w:b/>
                <w:sz w:val="20"/>
              </w:rPr>
              <w:t>final</w:t>
            </w:r>
          </w:p>
        </w:tc>
        <w:tc>
          <w:tcPr>
            <w:tcW w:w="0" w:type="auto"/>
            <w:tcBorders>
              <w:top w:val="single" w:sz="6" w:space="0" w:color="auto"/>
              <w:bottom w:val="single" w:sz="4" w:space="0" w:color="auto"/>
            </w:tcBorders>
            <w:shd w:val="clear" w:color="auto" w:fill="auto"/>
            <w:vAlign w:val="center"/>
          </w:tcPr>
          <w:p w14:paraId="5E20110F"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sz w:val="20"/>
              </w:rPr>
            </w:pPr>
            <w:r w:rsidRPr="006B118F">
              <w:rPr>
                <w:rFonts w:ascii="Palatino Linotype" w:hAnsi="Palatino Linotype"/>
                <w:b/>
                <w:sz w:val="20"/>
              </w:rPr>
              <w:t>initial</w:t>
            </w:r>
          </w:p>
        </w:tc>
        <w:tc>
          <w:tcPr>
            <w:tcW w:w="0" w:type="auto"/>
            <w:tcBorders>
              <w:top w:val="single" w:sz="6" w:space="0" w:color="auto"/>
              <w:bottom w:val="single" w:sz="4" w:space="0" w:color="auto"/>
            </w:tcBorders>
            <w:shd w:val="clear" w:color="auto" w:fill="auto"/>
            <w:vAlign w:val="center"/>
          </w:tcPr>
          <w:p w14:paraId="0F3B56C7"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b/>
                <w:sz w:val="20"/>
              </w:rPr>
            </w:pPr>
            <w:r w:rsidRPr="006B118F">
              <w:rPr>
                <w:rFonts w:ascii="Palatino Linotype" w:hAnsi="Palatino Linotype"/>
                <w:b/>
                <w:sz w:val="20"/>
              </w:rPr>
              <w:t>final</w:t>
            </w:r>
          </w:p>
        </w:tc>
      </w:tr>
      <w:tr w:rsidR="00A059F3" w:rsidRPr="006B118F" w14:paraId="55BE5FD4" w14:textId="77777777" w:rsidTr="00BE5CCC">
        <w:trPr>
          <w:trHeight w:val="235"/>
          <w:jc w:val="center"/>
        </w:trPr>
        <w:tc>
          <w:tcPr>
            <w:tcW w:w="0" w:type="auto"/>
            <w:tcBorders>
              <w:top w:val="single" w:sz="4" w:space="0" w:color="auto"/>
            </w:tcBorders>
            <w:shd w:val="clear" w:color="auto" w:fill="auto"/>
            <w:vAlign w:val="center"/>
          </w:tcPr>
          <w:p w14:paraId="35FC5EEC"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LN</w:t>
            </w:r>
          </w:p>
        </w:tc>
        <w:tc>
          <w:tcPr>
            <w:tcW w:w="0" w:type="auto"/>
            <w:tcBorders>
              <w:top w:val="single" w:sz="4" w:space="0" w:color="auto"/>
            </w:tcBorders>
            <w:shd w:val="clear" w:color="auto" w:fill="auto"/>
            <w:vAlign w:val="center"/>
          </w:tcPr>
          <w:p w14:paraId="2DD257BB" w14:textId="05A95E0F"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220.9</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sz w:val="20"/>
              </w:rPr>
              <w:t>0.3</w:t>
            </w:r>
          </w:p>
        </w:tc>
        <w:tc>
          <w:tcPr>
            <w:tcW w:w="0" w:type="auto"/>
            <w:tcBorders>
              <w:top w:val="single" w:sz="4" w:space="0" w:color="auto"/>
            </w:tcBorders>
            <w:shd w:val="clear" w:color="auto" w:fill="auto"/>
            <w:vAlign w:val="center"/>
          </w:tcPr>
          <w:p w14:paraId="797C6C29" w14:textId="7126698C"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220.2</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2.2</w:t>
            </w:r>
          </w:p>
        </w:tc>
        <w:tc>
          <w:tcPr>
            <w:tcW w:w="0" w:type="auto"/>
            <w:tcBorders>
              <w:top w:val="single" w:sz="4" w:space="0" w:color="auto"/>
            </w:tcBorders>
            <w:shd w:val="clear" w:color="auto" w:fill="auto"/>
            <w:vAlign w:val="center"/>
          </w:tcPr>
          <w:p w14:paraId="354E48D2" w14:textId="39E26BE6"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0.216</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0.004</w:t>
            </w:r>
          </w:p>
        </w:tc>
        <w:tc>
          <w:tcPr>
            <w:tcW w:w="0" w:type="auto"/>
            <w:tcBorders>
              <w:top w:val="single" w:sz="4" w:space="0" w:color="auto"/>
            </w:tcBorders>
            <w:shd w:val="clear" w:color="auto" w:fill="auto"/>
            <w:vAlign w:val="center"/>
          </w:tcPr>
          <w:p w14:paraId="174C77BC" w14:textId="7281BF93"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0.223</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0.004</w:t>
            </w:r>
          </w:p>
        </w:tc>
        <w:tc>
          <w:tcPr>
            <w:tcW w:w="0" w:type="auto"/>
            <w:tcBorders>
              <w:top w:val="single" w:sz="4" w:space="0" w:color="auto"/>
            </w:tcBorders>
            <w:shd w:val="clear" w:color="auto" w:fill="auto"/>
            <w:vAlign w:val="center"/>
          </w:tcPr>
          <w:p w14:paraId="6B9A19CC" w14:textId="7FBD7685" w:rsidR="00A059F3" w:rsidRPr="006B118F" w:rsidRDefault="006B118F" w:rsidP="006B118F">
            <w:pPr>
              <w:autoSpaceDE w:val="0"/>
              <w:autoSpaceDN w:val="0"/>
              <w:adjustRightInd w:val="0"/>
              <w:snapToGrid w:val="0"/>
              <w:spacing w:line="240" w:lineRule="auto"/>
              <w:jc w:val="center"/>
              <w:rPr>
                <w:rFonts w:ascii="Palatino Linotype" w:hAnsi="Palatino Linotype"/>
                <w:sz w:val="20"/>
              </w:rPr>
            </w:pPr>
            <w:r>
              <w:rPr>
                <w:rFonts w:ascii="Palatino Linotype" w:hAnsi="Palatino Linotype"/>
                <w:sz w:val="20"/>
              </w:rPr>
              <w:t>−</w:t>
            </w:r>
            <w:r w:rsidR="00A059F3" w:rsidRPr="006B118F">
              <w:rPr>
                <w:rFonts w:ascii="Palatino Linotype" w:hAnsi="Palatino Linotype"/>
                <w:sz w:val="20"/>
              </w:rPr>
              <w:t>26.6</w:t>
            </w:r>
            <w:r>
              <w:rPr>
                <w:rFonts w:ascii="Palatino Linotype" w:hAnsi="Palatino Linotype"/>
                <w:sz w:val="20"/>
              </w:rPr>
              <w:t xml:space="preserve"> </w:t>
            </w:r>
            <w:r w:rsidR="00A059F3" w:rsidRPr="006B118F">
              <w:rPr>
                <w:rFonts w:ascii="Palatino Linotype" w:hAnsi="Palatino Linotype" w:cstheme="minorHAnsi"/>
                <w:sz w:val="20"/>
              </w:rPr>
              <w:t>±</w:t>
            </w:r>
            <w:r>
              <w:rPr>
                <w:rFonts w:ascii="Palatino Linotype" w:hAnsi="Palatino Linotype" w:cstheme="minorHAnsi"/>
                <w:sz w:val="20"/>
              </w:rPr>
              <w:t xml:space="preserve"> </w:t>
            </w:r>
            <w:r w:rsidR="00A059F3" w:rsidRPr="006B118F">
              <w:rPr>
                <w:rFonts w:ascii="Palatino Linotype" w:hAnsi="Palatino Linotype" w:cstheme="minorHAnsi"/>
                <w:sz w:val="20"/>
              </w:rPr>
              <w:t>1.6</w:t>
            </w:r>
          </w:p>
        </w:tc>
        <w:tc>
          <w:tcPr>
            <w:tcW w:w="0" w:type="auto"/>
            <w:tcBorders>
              <w:top w:val="single" w:sz="4" w:space="0" w:color="auto"/>
            </w:tcBorders>
            <w:shd w:val="clear" w:color="auto" w:fill="auto"/>
            <w:vAlign w:val="center"/>
          </w:tcPr>
          <w:p w14:paraId="11DC9149" w14:textId="27656ED3"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−35.5</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3.2</w:t>
            </w:r>
          </w:p>
        </w:tc>
      </w:tr>
      <w:tr w:rsidR="00A059F3" w:rsidRPr="006B118F" w14:paraId="53DFE8F8" w14:textId="77777777" w:rsidTr="00BE5CCC">
        <w:trPr>
          <w:trHeight w:val="235"/>
          <w:jc w:val="center"/>
        </w:trPr>
        <w:tc>
          <w:tcPr>
            <w:tcW w:w="0" w:type="auto"/>
            <w:shd w:val="clear" w:color="auto" w:fill="auto"/>
            <w:vAlign w:val="center"/>
          </w:tcPr>
          <w:p w14:paraId="036F3EB5"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Nar/LN</w:t>
            </w:r>
          </w:p>
        </w:tc>
        <w:tc>
          <w:tcPr>
            <w:tcW w:w="0" w:type="auto"/>
            <w:shd w:val="clear" w:color="auto" w:fill="auto"/>
            <w:vAlign w:val="center"/>
          </w:tcPr>
          <w:p w14:paraId="5DC54E70" w14:textId="452D564E"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235.6</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2.4</w:t>
            </w:r>
          </w:p>
        </w:tc>
        <w:tc>
          <w:tcPr>
            <w:tcW w:w="0" w:type="auto"/>
            <w:shd w:val="clear" w:color="auto" w:fill="auto"/>
            <w:vAlign w:val="center"/>
          </w:tcPr>
          <w:p w14:paraId="755F10BA" w14:textId="06CD8BD0"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234.8</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2.9</w:t>
            </w:r>
          </w:p>
        </w:tc>
        <w:tc>
          <w:tcPr>
            <w:tcW w:w="0" w:type="auto"/>
            <w:shd w:val="clear" w:color="auto" w:fill="auto"/>
            <w:vAlign w:val="center"/>
          </w:tcPr>
          <w:p w14:paraId="5B119AF1" w14:textId="2F6E0A84"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0.217</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0.014</w:t>
            </w:r>
          </w:p>
        </w:tc>
        <w:tc>
          <w:tcPr>
            <w:tcW w:w="0" w:type="auto"/>
            <w:shd w:val="clear" w:color="auto" w:fill="auto"/>
            <w:vAlign w:val="center"/>
          </w:tcPr>
          <w:p w14:paraId="4D71F4A1" w14:textId="5CDDAD39"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0.216</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0.024</w:t>
            </w:r>
          </w:p>
        </w:tc>
        <w:tc>
          <w:tcPr>
            <w:tcW w:w="0" w:type="auto"/>
            <w:shd w:val="clear" w:color="auto" w:fill="auto"/>
            <w:vAlign w:val="center"/>
          </w:tcPr>
          <w:p w14:paraId="27C29F9A" w14:textId="67EC33AF"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−42.9</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0.5</w:t>
            </w:r>
          </w:p>
        </w:tc>
        <w:tc>
          <w:tcPr>
            <w:tcW w:w="0" w:type="auto"/>
            <w:shd w:val="clear" w:color="auto" w:fill="auto"/>
            <w:vAlign w:val="center"/>
          </w:tcPr>
          <w:p w14:paraId="7071ABFC" w14:textId="74D441C1"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−44.1</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1.0</w:t>
            </w:r>
          </w:p>
        </w:tc>
      </w:tr>
      <w:tr w:rsidR="00A059F3" w:rsidRPr="006B118F" w14:paraId="26283A3E" w14:textId="77777777" w:rsidTr="00BE5CCC">
        <w:trPr>
          <w:trHeight w:val="227"/>
          <w:jc w:val="center"/>
        </w:trPr>
        <w:tc>
          <w:tcPr>
            <w:tcW w:w="0" w:type="auto"/>
            <w:shd w:val="clear" w:color="auto" w:fill="auto"/>
            <w:vAlign w:val="center"/>
          </w:tcPr>
          <w:p w14:paraId="4FF946D6"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ICG/LN</w:t>
            </w:r>
          </w:p>
        </w:tc>
        <w:tc>
          <w:tcPr>
            <w:tcW w:w="0" w:type="auto"/>
            <w:shd w:val="clear" w:color="auto" w:fill="auto"/>
            <w:vAlign w:val="center"/>
          </w:tcPr>
          <w:p w14:paraId="291F6A4B" w14:textId="0B0332DA"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242.8</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3.0</w:t>
            </w:r>
          </w:p>
        </w:tc>
        <w:tc>
          <w:tcPr>
            <w:tcW w:w="0" w:type="auto"/>
            <w:shd w:val="clear" w:color="auto" w:fill="auto"/>
            <w:vAlign w:val="center"/>
          </w:tcPr>
          <w:p w14:paraId="353D7DF6" w14:textId="469E33E3"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234.9</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3.2</w:t>
            </w:r>
          </w:p>
        </w:tc>
        <w:tc>
          <w:tcPr>
            <w:tcW w:w="0" w:type="auto"/>
            <w:shd w:val="clear" w:color="auto" w:fill="auto"/>
            <w:vAlign w:val="center"/>
          </w:tcPr>
          <w:p w14:paraId="1316217C" w14:textId="7D7A29F6"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0.234</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0.012</w:t>
            </w:r>
          </w:p>
        </w:tc>
        <w:tc>
          <w:tcPr>
            <w:tcW w:w="0" w:type="auto"/>
            <w:shd w:val="clear" w:color="auto" w:fill="auto"/>
            <w:vAlign w:val="center"/>
          </w:tcPr>
          <w:p w14:paraId="530F40BA" w14:textId="47FA4DB3"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0.208</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0.027</w:t>
            </w:r>
          </w:p>
        </w:tc>
        <w:tc>
          <w:tcPr>
            <w:tcW w:w="0" w:type="auto"/>
            <w:shd w:val="clear" w:color="auto" w:fill="auto"/>
            <w:vAlign w:val="center"/>
          </w:tcPr>
          <w:p w14:paraId="0B32FFA2" w14:textId="394E6204"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−42.6</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0.7</w:t>
            </w:r>
          </w:p>
        </w:tc>
        <w:tc>
          <w:tcPr>
            <w:tcW w:w="0" w:type="auto"/>
            <w:shd w:val="clear" w:color="auto" w:fill="auto"/>
            <w:vAlign w:val="center"/>
          </w:tcPr>
          <w:p w14:paraId="3E859815" w14:textId="2113ADC2"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−40.0</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0.6</w:t>
            </w:r>
          </w:p>
        </w:tc>
        <w:bookmarkStart w:id="1" w:name="_GoBack"/>
        <w:bookmarkEnd w:id="1"/>
      </w:tr>
      <w:tr w:rsidR="00A059F3" w:rsidRPr="006B118F" w14:paraId="4314A33A" w14:textId="77777777" w:rsidTr="00BE5CCC">
        <w:trPr>
          <w:trHeight w:val="235"/>
          <w:jc w:val="center"/>
        </w:trPr>
        <w:tc>
          <w:tcPr>
            <w:tcW w:w="0" w:type="auto"/>
            <w:shd w:val="clear" w:color="auto" w:fill="auto"/>
            <w:vAlign w:val="center"/>
          </w:tcPr>
          <w:p w14:paraId="704F237A" w14:textId="77777777"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Nar/ICG/LN</w:t>
            </w:r>
          </w:p>
        </w:tc>
        <w:tc>
          <w:tcPr>
            <w:tcW w:w="0" w:type="auto"/>
            <w:shd w:val="clear" w:color="auto" w:fill="auto"/>
            <w:vAlign w:val="center"/>
          </w:tcPr>
          <w:p w14:paraId="2711000D" w14:textId="04419456"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241.1</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4.7</w:t>
            </w:r>
          </w:p>
        </w:tc>
        <w:tc>
          <w:tcPr>
            <w:tcW w:w="0" w:type="auto"/>
            <w:shd w:val="clear" w:color="auto" w:fill="auto"/>
            <w:vAlign w:val="center"/>
          </w:tcPr>
          <w:p w14:paraId="523BA898" w14:textId="3960A4FC"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250.2</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2.5</w:t>
            </w:r>
          </w:p>
        </w:tc>
        <w:tc>
          <w:tcPr>
            <w:tcW w:w="0" w:type="auto"/>
            <w:shd w:val="clear" w:color="auto" w:fill="auto"/>
            <w:vAlign w:val="center"/>
          </w:tcPr>
          <w:p w14:paraId="55BFC00F" w14:textId="7F278E60"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0.226</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0.026</w:t>
            </w:r>
          </w:p>
        </w:tc>
        <w:tc>
          <w:tcPr>
            <w:tcW w:w="0" w:type="auto"/>
            <w:shd w:val="clear" w:color="auto" w:fill="auto"/>
            <w:vAlign w:val="center"/>
          </w:tcPr>
          <w:p w14:paraId="3837EE6B" w14:textId="1CEF4DCA"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0.221</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0.031</w:t>
            </w:r>
          </w:p>
        </w:tc>
        <w:tc>
          <w:tcPr>
            <w:tcW w:w="0" w:type="auto"/>
            <w:shd w:val="clear" w:color="auto" w:fill="auto"/>
            <w:vAlign w:val="center"/>
          </w:tcPr>
          <w:p w14:paraId="54C25915" w14:textId="6C745AA3"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−36.7</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0.9</w:t>
            </w:r>
          </w:p>
        </w:tc>
        <w:tc>
          <w:tcPr>
            <w:tcW w:w="0" w:type="auto"/>
            <w:shd w:val="clear" w:color="auto" w:fill="auto"/>
            <w:vAlign w:val="center"/>
          </w:tcPr>
          <w:p w14:paraId="3EE06F25" w14:textId="43B5AF8A"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−35.7</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0.7</w:t>
            </w:r>
          </w:p>
        </w:tc>
      </w:tr>
      <w:tr w:rsidR="00A059F3" w:rsidRPr="006B118F" w14:paraId="2B37CCEC" w14:textId="77777777" w:rsidTr="00BE5CCC">
        <w:trPr>
          <w:trHeight w:val="235"/>
          <w:jc w:val="center"/>
        </w:trPr>
        <w:tc>
          <w:tcPr>
            <w:tcW w:w="0" w:type="auto"/>
            <w:shd w:val="clear" w:color="auto" w:fill="auto"/>
            <w:vAlign w:val="center"/>
          </w:tcPr>
          <w:p w14:paraId="09C6B82C" w14:textId="2B556DDE"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LN</w:t>
            </w:r>
            <w:r w:rsidR="006B118F">
              <w:rPr>
                <w:rFonts w:ascii="Palatino Linotype" w:hAnsi="Palatino Linotype"/>
                <w:sz w:val="20"/>
              </w:rPr>
              <w:t xml:space="preserve"> </w:t>
            </w:r>
            <w:r w:rsidRPr="006B118F">
              <w:rPr>
                <w:rFonts w:ascii="Palatino Linotype" w:hAnsi="Palatino Linotype"/>
                <w:sz w:val="20"/>
              </w:rPr>
              <w:t>+</w:t>
            </w:r>
            <w:r w:rsidR="006B118F">
              <w:rPr>
                <w:rFonts w:ascii="Palatino Linotype" w:hAnsi="Palatino Linotype"/>
                <w:sz w:val="20"/>
              </w:rPr>
              <w:t xml:space="preserve"> </w:t>
            </w:r>
            <w:r w:rsidRPr="006B118F">
              <w:rPr>
                <w:rFonts w:ascii="Palatino Linotype" w:hAnsi="Palatino Linotype"/>
                <w:sz w:val="20"/>
              </w:rPr>
              <w:t>Nar</w:t>
            </w:r>
          </w:p>
        </w:tc>
        <w:tc>
          <w:tcPr>
            <w:tcW w:w="0" w:type="auto"/>
            <w:shd w:val="clear" w:color="auto" w:fill="auto"/>
            <w:vAlign w:val="center"/>
          </w:tcPr>
          <w:p w14:paraId="27942A21" w14:textId="6C036753"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224.6</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1.2</w:t>
            </w:r>
          </w:p>
        </w:tc>
        <w:tc>
          <w:tcPr>
            <w:tcW w:w="0" w:type="auto"/>
            <w:shd w:val="clear" w:color="auto" w:fill="auto"/>
            <w:vAlign w:val="center"/>
          </w:tcPr>
          <w:p w14:paraId="7A210C07" w14:textId="414B99F0"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222.4</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1.6</w:t>
            </w:r>
          </w:p>
        </w:tc>
        <w:tc>
          <w:tcPr>
            <w:tcW w:w="0" w:type="auto"/>
            <w:shd w:val="clear" w:color="auto" w:fill="auto"/>
            <w:vAlign w:val="center"/>
          </w:tcPr>
          <w:p w14:paraId="60D752CA" w14:textId="43E3AA2A"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0.221</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0.010</w:t>
            </w:r>
          </w:p>
        </w:tc>
        <w:tc>
          <w:tcPr>
            <w:tcW w:w="0" w:type="auto"/>
            <w:shd w:val="clear" w:color="auto" w:fill="auto"/>
            <w:vAlign w:val="center"/>
          </w:tcPr>
          <w:p w14:paraId="3F8FFF1A" w14:textId="33673ECD"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0.215</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0.039</w:t>
            </w:r>
          </w:p>
        </w:tc>
        <w:tc>
          <w:tcPr>
            <w:tcW w:w="0" w:type="auto"/>
            <w:shd w:val="clear" w:color="auto" w:fill="auto"/>
            <w:vAlign w:val="center"/>
          </w:tcPr>
          <w:p w14:paraId="123A5B9E" w14:textId="4C2ECE86"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−41.5</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2.0</w:t>
            </w:r>
          </w:p>
        </w:tc>
        <w:tc>
          <w:tcPr>
            <w:tcW w:w="0" w:type="auto"/>
            <w:shd w:val="clear" w:color="auto" w:fill="auto"/>
            <w:vAlign w:val="center"/>
          </w:tcPr>
          <w:p w14:paraId="63D987B3" w14:textId="4C497F61"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−42.3</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1.1</w:t>
            </w:r>
          </w:p>
        </w:tc>
      </w:tr>
      <w:tr w:rsidR="00A059F3" w:rsidRPr="006B118F" w14:paraId="31FFCB9A" w14:textId="77777777" w:rsidTr="00BE5CCC">
        <w:trPr>
          <w:trHeight w:val="235"/>
          <w:jc w:val="center"/>
        </w:trPr>
        <w:tc>
          <w:tcPr>
            <w:tcW w:w="0" w:type="auto"/>
            <w:shd w:val="clear" w:color="auto" w:fill="auto"/>
            <w:vAlign w:val="center"/>
          </w:tcPr>
          <w:p w14:paraId="16BD4CFC" w14:textId="3ADACADF"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LN</w:t>
            </w:r>
            <w:r w:rsidR="006B118F">
              <w:rPr>
                <w:rFonts w:ascii="Palatino Linotype" w:hAnsi="Palatino Linotype"/>
                <w:sz w:val="20"/>
              </w:rPr>
              <w:t xml:space="preserve"> </w:t>
            </w:r>
            <w:r w:rsidRPr="006B118F">
              <w:rPr>
                <w:rFonts w:ascii="Palatino Linotype" w:hAnsi="Palatino Linotype"/>
                <w:sz w:val="20"/>
              </w:rPr>
              <w:t>+</w:t>
            </w:r>
            <w:r w:rsidR="006B118F">
              <w:rPr>
                <w:rFonts w:ascii="Palatino Linotype" w:hAnsi="Palatino Linotype"/>
                <w:sz w:val="20"/>
              </w:rPr>
              <w:t xml:space="preserve"> </w:t>
            </w:r>
            <w:r w:rsidRPr="006B118F">
              <w:rPr>
                <w:rFonts w:ascii="Palatino Linotype" w:hAnsi="Palatino Linotype"/>
                <w:sz w:val="20"/>
              </w:rPr>
              <w:t>ICG</w:t>
            </w:r>
          </w:p>
        </w:tc>
        <w:tc>
          <w:tcPr>
            <w:tcW w:w="0" w:type="auto"/>
            <w:shd w:val="clear" w:color="auto" w:fill="auto"/>
            <w:vAlign w:val="center"/>
          </w:tcPr>
          <w:p w14:paraId="773F0B74" w14:textId="646A06E8"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211.2</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2.8</w:t>
            </w:r>
          </w:p>
        </w:tc>
        <w:tc>
          <w:tcPr>
            <w:tcW w:w="0" w:type="auto"/>
            <w:shd w:val="clear" w:color="auto" w:fill="auto"/>
            <w:vAlign w:val="center"/>
          </w:tcPr>
          <w:p w14:paraId="48A74BEA" w14:textId="7861B238"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215.2</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0.4</w:t>
            </w:r>
          </w:p>
        </w:tc>
        <w:tc>
          <w:tcPr>
            <w:tcW w:w="0" w:type="auto"/>
            <w:shd w:val="clear" w:color="auto" w:fill="auto"/>
            <w:vAlign w:val="center"/>
          </w:tcPr>
          <w:p w14:paraId="551823B4" w14:textId="4F290922"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0.251</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0.012</w:t>
            </w:r>
          </w:p>
        </w:tc>
        <w:tc>
          <w:tcPr>
            <w:tcW w:w="0" w:type="auto"/>
            <w:shd w:val="clear" w:color="auto" w:fill="auto"/>
            <w:vAlign w:val="center"/>
          </w:tcPr>
          <w:p w14:paraId="1A1E861C" w14:textId="43F67A35"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0.267</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0.012</w:t>
            </w:r>
          </w:p>
        </w:tc>
        <w:tc>
          <w:tcPr>
            <w:tcW w:w="0" w:type="auto"/>
            <w:shd w:val="clear" w:color="auto" w:fill="auto"/>
            <w:vAlign w:val="center"/>
          </w:tcPr>
          <w:p w14:paraId="200BB238" w14:textId="4A890493"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−42.7</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1.0</w:t>
            </w:r>
          </w:p>
        </w:tc>
        <w:tc>
          <w:tcPr>
            <w:tcW w:w="0" w:type="auto"/>
            <w:shd w:val="clear" w:color="auto" w:fill="auto"/>
            <w:vAlign w:val="center"/>
          </w:tcPr>
          <w:p w14:paraId="7BC0E435" w14:textId="701808D2"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−40.7</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0.3</w:t>
            </w:r>
          </w:p>
        </w:tc>
      </w:tr>
      <w:tr w:rsidR="00A059F3" w:rsidRPr="006B118F" w14:paraId="17FEF35B" w14:textId="77777777" w:rsidTr="00BE5CCC">
        <w:trPr>
          <w:trHeight w:val="235"/>
          <w:jc w:val="center"/>
        </w:trPr>
        <w:tc>
          <w:tcPr>
            <w:tcW w:w="0" w:type="auto"/>
            <w:tcBorders>
              <w:bottom w:val="single" w:sz="8" w:space="0" w:color="auto"/>
            </w:tcBorders>
            <w:shd w:val="clear" w:color="auto" w:fill="auto"/>
            <w:vAlign w:val="center"/>
          </w:tcPr>
          <w:p w14:paraId="3D32A0A5" w14:textId="0CDE31C5"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LN</w:t>
            </w:r>
            <w:r w:rsidR="006B118F">
              <w:rPr>
                <w:rFonts w:ascii="Palatino Linotype" w:hAnsi="Palatino Linotype"/>
                <w:sz w:val="20"/>
              </w:rPr>
              <w:t xml:space="preserve"> </w:t>
            </w:r>
            <w:r w:rsidRPr="006B118F">
              <w:rPr>
                <w:rFonts w:ascii="Palatino Linotype" w:hAnsi="Palatino Linotype"/>
                <w:sz w:val="20"/>
              </w:rPr>
              <w:t>+</w:t>
            </w:r>
            <w:r w:rsidR="006B118F">
              <w:rPr>
                <w:rFonts w:ascii="Palatino Linotype" w:hAnsi="Palatino Linotype"/>
                <w:sz w:val="20"/>
              </w:rPr>
              <w:t xml:space="preserve"> </w:t>
            </w:r>
            <w:r w:rsidRPr="006B118F">
              <w:rPr>
                <w:rFonts w:ascii="Palatino Linotype" w:hAnsi="Palatino Linotype"/>
                <w:sz w:val="20"/>
              </w:rPr>
              <w:t>Nar</w:t>
            </w:r>
            <w:r w:rsidR="006B118F">
              <w:rPr>
                <w:rFonts w:ascii="Palatino Linotype" w:hAnsi="Palatino Linotype"/>
                <w:sz w:val="20"/>
              </w:rPr>
              <w:t xml:space="preserve"> </w:t>
            </w:r>
            <w:r w:rsidRPr="006B118F">
              <w:rPr>
                <w:rFonts w:ascii="Palatino Linotype" w:hAnsi="Palatino Linotype"/>
                <w:sz w:val="20"/>
              </w:rPr>
              <w:t>+</w:t>
            </w:r>
            <w:r w:rsidR="006B118F">
              <w:rPr>
                <w:rFonts w:ascii="Palatino Linotype" w:hAnsi="Palatino Linotype"/>
                <w:sz w:val="20"/>
              </w:rPr>
              <w:t xml:space="preserve"> </w:t>
            </w:r>
            <w:r w:rsidRPr="006B118F">
              <w:rPr>
                <w:rFonts w:ascii="Palatino Linotype" w:hAnsi="Palatino Linotype"/>
                <w:sz w:val="20"/>
              </w:rPr>
              <w:t>ICG</w:t>
            </w:r>
          </w:p>
        </w:tc>
        <w:tc>
          <w:tcPr>
            <w:tcW w:w="0" w:type="auto"/>
            <w:tcBorders>
              <w:bottom w:val="single" w:sz="8" w:space="0" w:color="auto"/>
            </w:tcBorders>
            <w:shd w:val="clear" w:color="auto" w:fill="auto"/>
            <w:vAlign w:val="center"/>
          </w:tcPr>
          <w:p w14:paraId="5A49C1A4" w14:textId="28CB8167"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230.0</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0.3</w:t>
            </w:r>
          </w:p>
        </w:tc>
        <w:tc>
          <w:tcPr>
            <w:tcW w:w="0" w:type="auto"/>
            <w:tcBorders>
              <w:bottom w:val="single" w:sz="8" w:space="0" w:color="auto"/>
            </w:tcBorders>
            <w:shd w:val="clear" w:color="auto" w:fill="auto"/>
            <w:vAlign w:val="center"/>
          </w:tcPr>
          <w:p w14:paraId="5A969967" w14:textId="0E65AAA5"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222.5</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1.6</w:t>
            </w:r>
          </w:p>
        </w:tc>
        <w:tc>
          <w:tcPr>
            <w:tcW w:w="0" w:type="auto"/>
            <w:tcBorders>
              <w:bottom w:val="single" w:sz="8" w:space="0" w:color="auto"/>
            </w:tcBorders>
            <w:shd w:val="clear" w:color="auto" w:fill="auto"/>
            <w:vAlign w:val="center"/>
          </w:tcPr>
          <w:p w14:paraId="5E87E2AD" w14:textId="3B59E976"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0.225</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0.015</w:t>
            </w:r>
          </w:p>
        </w:tc>
        <w:tc>
          <w:tcPr>
            <w:tcW w:w="0" w:type="auto"/>
            <w:tcBorders>
              <w:bottom w:val="single" w:sz="8" w:space="0" w:color="auto"/>
            </w:tcBorders>
            <w:shd w:val="clear" w:color="auto" w:fill="auto"/>
            <w:vAlign w:val="center"/>
          </w:tcPr>
          <w:p w14:paraId="1E0FF405" w14:textId="60DC8476"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0.283</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0.018</w:t>
            </w:r>
          </w:p>
        </w:tc>
        <w:tc>
          <w:tcPr>
            <w:tcW w:w="0" w:type="auto"/>
            <w:tcBorders>
              <w:bottom w:val="single" w:sz="8" w:space="0" w:color="auto"/>
            </w:tcBorders>
            <w:shd w:val="clear" w:color="auto" w:fill="auto"/>
            <w:vAlign w:val="center"/>
          </w:tcPr>
          <w:p w14:paraId="6511303E" w14:textId="54FE324E"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−43.0</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1.2</w:t>
            </w:r>
          </w:p>
        </w:tc>
        <w:tc>
          <w:tcPr>
            <w:tcW w:w="0" w:type="auto"/>
            <w:tcBorders>
              <w:bottom w:val="single" w:sz="8" w:space="0" w:color="auto"/>
            </w:tcBorders>
            <w:shd w:val="clear" w:color="auto" w:fill="auto"/>
            <w:vAlign w:val="center"/>
          </w:tcPr>
          <w:p w14:paraId="5F749EDA" w14:textId="4AAD0CAA" w:rsidR="00A059F3" w:rsidRPr="006B118F" w:rsidRDefault="00A059F3" w:rsidP="006B118F">
            <w:pPr>
              <w:autoSpaceDE w:val="0"/>
              <w:autoSpaceDN w:val="0"/>
              <w:adjustRightInd w:val="0"/>
              <w:snapToGrid w:val="0"/>
              <w:spacing w:line="240" w:lineRule="auto"/>
              <w:jc w:val="center"/>
              <w:rPr>
                <w:rFonts w:ascii="Palatino Linotype" w:hAnsi="Palatino Linotype"/>
                <w:sz w:val="20"/>
              </w:rPr>
            </w:pPr>
            <w:r w:rsidRPr="006B118F">
              <w:rPr>
                <w:rFonts w:ascii="Palatino Linotype" w:hAnsi="Palatino Linotype"/>
                <w:sz w:val="20"/>
              </w:rPr>
              <w:t>−41.2</w:t>
            </w:r>
            <w:r w:rsidR="006B118F">
              <w:rPr>
                <w:rFonts w:ascii="Palatino Linotype" w:hAnsi="Palatino Linotype"/>
                <w:sz w:val="20"/>
              </w:rPr>
              <w:t xml:space="preserve"> </w:t>
            </w:r>
            <w:r w:rsidRPr="006B118F">
              <w:rPr>
                <w:rFonts w:ascii="Palatino Linotype" w:hAnsi="Palatino Linotype" w:cstheme="minorHAnsi"/>
                <w:sz w:val="20"/>
              </w:rPr>
              <w:t>±</w:t>
            </w:r>
            <w:r w:rsidR="006B118F">
              <w:rPr>
                <w:rFonts w:ascii="Palatino Linotype" w:hAnsi="Palatino Linotype" w:cstheme="minorHAnsi"/>
                <w:sz w:val="20"/>
              </w:rPr>
              <w:t xml:space="preserve"> </w:t>
            </w:r>
            <w:r w:rsidRPr="006B118F">
              <w:rPr>
                <w:rFonts w:ascii="Palatino Linotype" w:hAnsi="Palatino Linotype" w:cstheme="minorHAnsi"/>
                <w:sz w:val="20"/>
              </w:rPr>
              <w:t>0.8</w:t>
            </w:r>
          </w:p>
        </w:tc>
      </w:tr>
    </w:tbl>
    <w:p w14:paraId="64C7A2E9" w14:textId="4D741D18" w:rsidR="00AE47DB" w:rsidRPr="0048748C" w:rsidRDefault="00AE47DB" w:rsidP="006B118F">
      <w:pPr>
        <w:pStyle w:val="MDPI31text"/>
        <w:spacing w:before="240"/>
      </w:pPr>
      <w:r w:rsidRPr="00CB254C">
        <w:rPr>
          <w:shd w:val="clear" w:color="auto" w:fill="FFFFFF"/>
        </w:rPr>
        <w:t xml:space="preserve">Data analysis indicated that there were no significant differences regarding the dimensions and PDIs. Regarding the zeta potential, the only significant alteration was noticed in the case of empty </w:t>
      </w:r>
      <w:proofErr w:type="spellStart"/>
      <w:r w:rsidRPr="00CB254C">
        <w:rPr>
          <w:shd w:val="clear" w:color="auto" w:fill="FFFFFF"/>
        </w:rPr>
        <w:t>nanoemulsions</w:t>
      </w:r>
      <w:proofErr w:type="spellEnd"/>
      <w:r w:rsidRPr="00CB254C">
        <w:rPr>
          <w:shd w:val="clear" w:color="auto" w:fill="FFFFFF"/>
        </w:rPr>
        <w:t xml:space="preserve"> (LN) for which the incubation for one hour in the presence of serum brought a shift from -26.6 to -35.5 mV. This fact could be due to the adsorption of plasma proteins on the surface of the nanoparticles. By examining the intensity distributions (</w:t>
      </w:r>
      <w:r w:rsidRPr="00CB254C">
        <w:rPr>
          <w:b/>
          <w:shd w:val="clear" w:color="auto" w:fill="FFFFFF"/>
        </w:rPr>
        <w:t>Figure S</w:t>
      </w:r>
      <w:r>
        <w:rPr>
          <w:b/>
          <w:shd w:val="clear" w:color="auto" w:fill="FFFFFF"/>
        </w:rPr>
        <w:t>2</w:t>
      </w:r>
      <w:r w:rsidRPr="00CB254C">
        <w:rPr>
          <w:shd w:val="clear" w:color="auto" w:fill="FFFFFF"/>
        </w:rPr>
        <w:t>, upper panels)</w:t>
      </w:r>
      <w:r w:rsidRPr="00CB254C">
        <w:rPr>
          <w:b/>
          <w:shd w:val="clear" w:color="auto" w:fill="FFFFFF"/>
        </w:rPr>
        <w:t xml:space="preserve"> </w:t>
      </w:r>
      <w:r w:rsidRPr="00CB254C">
        <w:rPr>
          <w:shd w:val="clear" w:color="auto" w:fill="FFFFFF"/>
        </w:rPr>
        <w:t xml:space="preserve">it can be noticed that addition of </w:t>
      </w:r>
      <w:proofErr w:type="spellStart"/>
      <w:r w:rsidRPr="00CB254C">
        <w:rPr>
          <w:shd w:val="clear" w:color="auto" w:fill="FFFFFF"/>
        </w:rPr>
        <w:t>naringenin</w:t>
      </w:r>
      <w:proofErr w:type="spellEnd"/>
      <w:r w:rsidRPr="00CB254C">
        <w:rPr>
          <w:shd w:val="clear" w:color="auto" w:fill="FFFFFF"/>
        </w:rPr>
        <w:t xml:space="preserve">, alone or in combination with ICG, induced a change in the particle size of the empty </w:t>
      </w:r>
      <w:proofErr w:type="spellStart"/>
      <w:r w:rsidRPr="00CB254C">
        <w:rPr>
          <w:shd w:val="clear" w:color="auto" w:fill="FFFFFF"/>
        </w:rPr>
        <w:t>nanoemulsions</w:t>
      </w:r>
      <w:proofErr w:type="spellEnd"/>
      <w:r w:rsidRPr="00CB254C">
        <w:rPr>
          <w:shd w:val="clear" w:color="auto" w:fill="FFFFFF"/>
        </w:rPr>
        <w:t xml:space="preserve"> (LN), upon incubation with plasma, by an asymmetric shift towards the smaller dimensions. When ICG alone was added to the </w:t>
      </w:r>
      <w:proofErr w:type="spellStart"/>
      <w:r w:rsidRPr="00CB254C">
        <w:rPr>
          <w:shd w:val="clear" w:color="auto" w:fill="FFFFFF"/>
        </w:rPr>
        <w:t>nanoemulsions</w:t>
      </w:r>
      <w:proofErr w:type="spellEnd"/>
      <w:r w:rsidRPr="00CB254C">
        <w:rPr>
          <w:shd w:val="clear" w:color="auto" w:fill="FFFFFF"/>
        </w:rPr>
        <w:t xml:space="preserve">, no change occurred. By contrast, the </w:t>
      </w:r>
      <w:proofErr w:type="spellStart"/>
      <w:r w:rsidRPr="00CB254C">
        <w:rPr>
          <w:shd w:val="clear" w:color="auto" w:fill="FFFFFF"/>
        </w:rPr>
        <w:t>nanoemulsions</w:t>
      </w:r>
      <w:proofErr w:type="spellEnd"/>
      <w:r w:rsidRPr="00CB254C">
        <w:rPr>
          <w:shd w:val="clear" w:color="auto" w:fill="FFFFFF"/>
        </w:rPr>
        <w:t xml:space="preserve"> which contain encapsulated Nar </w:t>
      </w:r>
      <w:r w:rsidRPr="004E7223">
        <w:rPr>
          <w:shd w:val="clear" w:color="auto" w:fill="FFFFFF"/>
        </w:rPr>
        <w:t>(Nar/LN), ICG (ICG/LN) or both compounds (Nar/ICG LN) were stable under the experimental set-up. Of note, no effects on zeta potential were noticed (</w:t>
      </w:r>
      <w:r w:rsidRPr="004E7223">
        <w:rPr>
          <w:b/>
          <w:shd w:val="clear" w:color="auto" w:fill="FFFFFF"/>
        </w:rPr>
        <w:t>Figure S2</w:t>
      </w:r>
      <w:r w:rsidRPr="004E7223">
        <w:rPr>
          <w:shd w:val="clear" w:color="auto" w:fill="FFFFFF"/>
        </w:rPr>
        <w:t>, bottom panels).</w:t>
      </w:r>
    </w:p>
    <w:p w14:paraId="59C1C06D" w14:textId="77777777" w:rsidR="00AE47DB" w:rsidRPr="0048748C" w:rsidRDefault="00AE47DB" w:rsidP="002B5481">
      <w:pPr>
        <w:pStyle w:val="MDPI52figure"/>
        <w:rPr>
          <w:shd w:val="clear" w:color="auto" w:fill="FFFFFF"/>
        </w:rPr>
      </w:pPr>
      <w:r>
        <w:rPr>
          <w:noProof/>
          <w:shd w:val="clear" w:color="auto" w:fill="FFFFFF"/>
          <w:lang w:eastAsia="zh-CN" w:bidi="ar-SA"/>
        </w:rPr>
        <w:drawing>
          <wp:inline distT="0" distB="0" distL="0" distR="0" wp14:anchorId="53C7F633" wp14:editId="45E47169">
            <wp:extent cx="5109130" cy="2076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prapunere_Malvern.jpg"/>
                    <pic:cNvPicPr/>
                  </pic:nvPicPr>
                  <pic:blipFill rotWithShape="1">
                    <a:blip r:embed="rId8" cstate="print">
                      <a:extLst>
                        <a:ext uri="{28A0092B-C50C-407E-A947-70E740481C1C}">
                          <a14:useLocalDpi xmlns:a14="http://schemas.microsoft.com/office/drawing/2010/main" val="0"/>
                        </a:ext>
                      </a:extLst>
                    </a:blip>
                    <a:srcRect t="6253" b="21487"/>
                    <a:stretch/>
                  </pic:blipFill>
                  <pic:spPr bwMode="auto">
                    <a:xfrm>
                      <a:off x="0" y="0"/>
                      <a:ext cx="5124316" cy="2082973"/>
                    </a:xfrm>
                    <a:prstGeom prst="rect">
                      <a:avLst/>
                    </a:prstGeom>
                    <a:ln>
                      <a:noFill/>
                    </a:ln>
                    <a:extLst>
                      <a:ext uri="{53640926-AAD7-44D8-BBD7-CCE9431645EC}">
                        <a14:shadowObscured xmlns:a14="http://schemas.microsoft.com/office/drawing/2010/main"/>
                      </a:ext>
                    </a:extLst>
                  </pic:spPr>
                </pic:pic>
              </a:graphicData>
            </a:graphic>
          </wp:inline>
        </w:drawing>
      </w:r>
    </w:p>
    <w:p w14:paraId="057D568B" w14:textId="1CAA332B" w:rsidR="004E7223" w:rsidRPr="00CB254C" w:rsidRDefault="002B5481" w:rsidP="002B5481">
      <w:pPr>
        <w:pStyle w:val="MDPI51figurecaption"/>
        <w:rPr>
          <w:color w:val="222222"/>
          <w:shd w:val="clear" w:color="auto" w:fill="FFFFFF"/>
        </w:rPr>
      </w:pPr>
      <w:r w:rsidRPr="002B5481">
        <w:rPr>
          <w:b/>
        </w:rPr>
        <w:t xml:space="preserve">Figure </w:t>
      </w:r>
      <w:r>
        <w:rPr>
          <w:b/>
        </w:rPr>
        <w:t>S</w:t>
      </w:r>
      <w:r w:rsidRPr="002B5481">
        <w:rPr>
          <w:b/>
        </w:rPr>
        <w:t xml:space="preserve">2. </w:t>
      </w:r>
      <w:r w:rsidR="00AE47DB" w:rsidRPr="00CB254C">
        <w:t xml:space="preserve">The variations of the intensity distributions and zeta potentials of lipid </w:t>
      </w:r>
      <w:proofErr w:type="spellStart"/>
      <w:r w:rsidR="00AE47DB" w:rsidRPr="00CB254C">
        <w:t>nanoemulsions</w:t>
      </w:r>
      <w:proofErr w:type="spellEnd"/>
      <w:r w:rsidR="00AE47DB" w:rsidRPr="00CB254C">
        <w:t xml:space="preserve"> loaded with ICG (ICG/LN), </w:t>
      </w:r>
      <w:proofErr w:type="spellStart"/>
      <w:r w:rsidR="00AE47DB" w:rsidRPr="00CB254C">
        <w:t>naringenin</w:t>
      </w:r>
      <w:proofErr w:type="spellEnd"/>
      <w:r w:rsidR="00AE47DB" w:rsidRPr="00CB254C">
        <w:t xml:space="preserve"> (Nar/LN) or both (Nar/ICG/LN) after incubation for 1 </w:t>
      </w:r>
      <w:r w:rsidR="00821EA8">
        <w:t>h</w:t>
      </w:r>
      <w:r w:rsidR="00AE47DB" w:rsidRPr="00CB254C">
        <w:t xml:space="preserve"> in the </w:t>
      </w:r>
      <w:r w:rsidR="00AE47DB" w:rsidRPr="00CB254C">
        <w:lastRenderedPageBreak/>
        <w:t xml:space="preserve">presence of plasma at </w:t>
      </w:r>
      <w:r w:rsidR="00AE47DB" w:rsidRPr="00CB254C">
        <w:rPr>
          <w:shd w:val="clear" w:color="auto" w:fill="FFFFFF"/>
        </w:rPr>
        <w:t>37</w:t>
      </w:r>
      <w:r>
        <w:rPr>
          <w:shd w:val="clear" w:color="auto" w:fill="FFFFFF"/>
        </w:rPr>
        <w:t xml:space="preserve"> </w:t>
      </w:r>
      <w:proofErr w:type="spellStart"/>
      <w:r w:rsidR="00AE47DB" w:rsidRPr="00CB254C">
        <w:rPr>
          <w:shd w:val="clear" w:color="auto" w:fill="FFFFFF"/>
          <w:vertAlign w:val="superscript"/>
        </w:rPr>
        <w:t>o</w:t>
      </w:r>
      <w:r w:rsidR="00AE47DB" w:rsidRPr="00CB254C">
        <w:rPr>
          <w:shd w:val="clear" w:color="auto" w:fill="FFFFFF"/>
        </w:rPr>
        <w:t>C</w:t>
      </w:r>
      <w:proofErr w:type="spellEnd"/>
      <w:r w:rsidR="00AE47DB" w:rsidRPr="00CB254C">
        <w:rPr>
          <w:shd w:val="clear" w:color="auto" w:fill="FFFFFF"/>
        </w:rPr>
        <w:t>). Upper panels correspond to measurements of hydrodynamic diameters, and bottom panels</w:t>
      </w:r>
      <w:r w:rsidR="004E7223">
        <w:rPr>
          <w:shd w:val="clear" w:color="auto" w:fill="FFFFFF"/>
        </w:rPr>
        <w:t xml:space="preserve"> </w:t>
      </w:r>
      <w:r w:rsidR="00AE47DB" w:rsidRPr="00CB254C">
        <w:rPr>
          <w:shd w:val="clear" w:color="auto" w:fill="FFFFFF"/>
        </w:rPr>
        <w:t xml:space="preserve">to measurements of zeta potential. The black curves represent the initial moment, and the green ones-the final moment. In the samples marked </w:t>
      </w:r>
      <w:proofErr w:type="spellStart"/>
      <w:r w:rsidR="00AE47DB" w:rsidRPr="00CB254C">
        <w:rPr>
          <w:shd w:val="clear" w:color="auto" w:fill="FFFFFF"/>
        </w:rPr>
        <w:t>LN+Nar</w:t>
      </w:r>
      <w:proofErr w:type="spellEnd"/>
      <w:r w:rsidR="00AE47DB" w:rsidRPr="00CB254C">
        <w:rPr>
          <w:shd w:val="clear" w:color="auto" w:fill="FFFFFF"/>
        </w:rPr>
        <w:t xml:space="preserve">, LN+ICG, </w:t>
      </w:r>
      <w:proofErr w:type="spellStart"/>
      <w:r w:rsidR="00AE47DB" w:rsidRPr="00CB254C">
        <w:rPr>
          <w:shd w:val="clear" w:color="auto" w:fill="FFFFFF"/>
        </w:rPr>
        <w:t>LN+Nar+ICG</w:t>
      </w:r>
      <w:proofErr w:type="spellEnd"/>
      <w:r w:rsidR="00AE47DB" w:rsidRPr="00CB254C">
        <w:rPr>
          <w:shd w:val="clear" w:color="auto" w:fill="FFFFFF"/>
        </w:rPr>
        <w:t xml:space="preserve">, </w:t>
      </w:r>
      <w:proofErr w:type="spellStart"/>
      <w:r w:rsidR="00AE47DB" w:rsidRPr="00CB254C">
        <w:rPr>
          <w:shd w:val="clear" w:color="auto" w:fill="FFFFFF"/>
        </w:rPr>
        <w:t>naringenin</w:t>
      </w:r>
      <w:proofErr w:type="spellEnd"/>
      <w:r w:rsidR="00AE47DB" w:rsidRPr="00CB254C">
        <w:rPr>
          <w:shd w:val="clear" w:color="auto" w:fill="FFFFFF"/>
        </w:rPr>
        <w:t xml:space="preserve"> and ICG were added, at the corresponding concentrations, from stock solutions to empty </w:t>
      </w:r>
      <w:proofErr w:type="spellStart"/>
      <w:r w:rsidR="00AE47DB" w:rsidRPr="00CB254C">
        <w:rPr>
          <w:shd w:val="clear" w:color="auto" w:fill="FFFFFF"/>
        </w:rPr>
        <w:t>nanoemulsions</w:t>
      </w:r>
      <w:proofErr w:type="spellEnd"/>
      <w:r w:rsidR="00AE47DB" w:rsidRPr="00CB254C">
        <w:rPr>
          <w:shd w:val="clear" w:color="auto" w:fill="FFFFFF"/>
        </w:rPr>
        <w:t xml:space="preserve"> (LN).</w:t>
      </w:r>
    </w:p>
    <w:p w14:paraId="0DF8E8B5" w14:textId="374B5618" w:rsidR="00AE47DB" w:rsidRPr="0048748C" w:rsidRDefault="00AE47DB" w:rsidP="002B5481">
      <w:pPr>
        <w:pStyle w:val="MDPI31text"/>
        <w:rPr>
          <w:shd w:val="clear" w:color="auto" w:fill="FFFFFF"/>
        </w:rPr>
      </w:pPr>
      <w:r w:rsidRPr="00CB254C">
        <w:rPr>
          <w:shd w:val="clear" w:color="auto" w:fill="FFFFFF"/>
        </w:rPr>
        <w:t xml:space="preserve">The results indicated that incorporation of </w:t>
      </w:r>
      <w:proofErr w:type="spellStart"/>
      <w:r w:rsidRPr="00CB254C">
        <w:rPr>
          <w:shd w:val="clear" w:color="auto" w:fill="FFFFFF"/>
        </w:rPr>
        <w:t>naringenin</w:t>
      </w:r>
      <w:proofErr w:type="spellEnd"/>
      <w:r w:rsidRPr="00CB254C">
        <w:rPr>
          <w:shd w:val="clear" w:color="auto" w:fill="FFFFFF"/>
        </w:rPr>
        <w:t xml:space="preserve"> into </w:t>
      </w:r>
      <w:proofErr w:type="spellStart"/>
      <w:r w:rsidRPr="00CB254C">
        <w:rPr>
          <w:shd w:val="clear" w:color="auto" w:fill="FFFFFF"/>
        </w:rPr>
        <w:t>nanoemulsions</w:t>
      </w:r>
      <w:proofErr w:type="spellEnd"/>
      <w:r w:rsidRPr="00CB254C">
        <w:rPr>
          <w:shd w:val="clear" w:color="auto" w:fill="FFFFFF"/>
        </w:rPr>
        <w:t xml:space="preserve"> in the absence or presence of ICG</w:t>
      </w:r>
      <w:r w:rsidR="00821EA8">
        <w:rPr>
          <w:shd w:val="clear" w:color="auto" w:fill="FFFFFF"/>
        </w:rPr>
        <w:t xml:space="preserve"> </w:t>
      </w:r>
      <w:r w:rsidRPr="00CB254C">
        <w:rPr>
          <w:shd w:val="clear" w:color="auto" w:fill="FFFFFF"/>
        </w:rPr>
        <w:t>(samples Nar/LN</w:t>
      </w:r>
      <w:r w:rsidRPr="00CB254C">
        <w:t xml:space="preserve">, </w:t>
      </w:r>
      <w:r w:rsidRPr="00CB254C">
        <w:rPr>
          <w:shd w:val="clear" w:color="auto" w:fill="FFFFFF"/>
        </w:rPr>
        <w:t xml:space="preserve">respectively Nar/ICG/LN) is stable in the presence of </w:t>
      </w:r>
      <w:r w:rsidR="00FE4A0D">
        <w:rPr>
          <w:shd w:val="clear" w:color="auto" w:fill="FFFFFF"/>
        </w:rPr>
        <w:t>plasma</w:t>
      </w:r>
      <w:r w:rsidRPr="00CB254C">
        <w:rPr>
          <w:shd w:val="clear" w:color="auto" w:fill="FFFFFF"/>
        </w:rPr>
        <w:t xml:space="preserve">, whereas free </w:t>
      </w:r>
      <w:proofErr w:type="spellStart"/>
      <w:r w:rsidRPr="00CB254C">
        <w:rPr>
          <w:shd w:val="clear" w:color="auto" w:fill="FFFFFF"/>
        </w:rPr>
        <w:t>naringenin</w:t>
      </w:r>
      <w:proofErr w:type="spellEnd"/>
      <w:r w:rsidRPr="00CB254C">
        <w:rPr>
          <w:shd w:val="clear" w:color="auto" w:fill="FFFFFF"/>
        </w:rPr>
        <w:t xml:space="preserve"> added to empty </w:t>
      </w:r>
      <w:proofErr w:type="spellStart"/>
      <w:r w:rsidRPr="00CB254C">
        <w:rPr>
          <w:shd w:val="clear" w:color="auto" w:fill="FFFFFF"/>
        </w:rPr>
        <w:t>nanoemulsions</w:t>
      </w:r>
      <w:proofErr w:type="spellEnd"/>
      <w:r w:rsidRPr="00CB254C">
        <w:rPr>
          <w:shd w:val="clear" w:color="auto" w:fill="FFFFFF"/>
        </w:rPr>
        <w:t xml:space="preserve">, alone (sample </w:t>
      </w:r>
      <w:proofErr w:type="spellStart"/>
      <w:r w:rsidRPr="00CB254C">
        <w:rPr>
          <w:shd w:val="clear" w:color="auto" w:fill="FFFFFF"/>
        </w:rPr>
        <w:t>LN+Nar</w:t>
      </w:r>
      <w:proofErr w:type="spellEnd"/>
      <w:r w:rsidRPr="00CB254C">
        <w:rPr>
          <w:shd w:val="clear" w:color="auto" w:fill="FFFFFF"/>
        </w:rPr>
        <w:t xml:space="preserve">) or together with ICG (sample </w:t>
      </w:r>
      <w:proofErr w:type="spellStart"/>
      <w:r w:rsidRPr="00CB254C">
        <w:rPr>
          <w:shd w:val="clear" w:color="auto" w:fill="FFFFFF"/>
        </w:rPr>
        <w:t>LN+Nar+ICG</w:t>
      </w:r>
      <w:proofErr w:type="spellEnd"/>
      <w:r w:rsidRPr="00CB254C">
        <w:rPr>
          <w:shd w:val="clear" w:color="auto" w:fill="FFFFFF"/>
        </w:rPr>
        <w:t xml:space="preserve">) tended to destabilize the </w:t>
      </w:r>
      <w:proofErr w:type="spellStart"/>
      <w:r w:rsidRPr="00CB254C">
        <w:rPr>
          <w:shd w:val="clear" w:color="auto" w:fill="FFFFFF"/>
        </w:rPr>
        <w:t>nanoemulsions</w:t>
      </w:r>
      <w:proofErr w:type="spellEnd"/>
      <w:r w:rsidRPr="00CB254C">
        <w:rPr>
          <w:shd w:val="clear" w:color="auto" w:fill="FFFFFF"/>
        </w:rPr>
        <w:t xml:space="preserve">, due to its hydrophobicity and propensity to precipitate and/or incorporate in nanoparticles. Meanwhile, free ICG did not influence LN stability (sample LN+ICG), a fact that can be rationalized based on the electrostatic charge of </w:t>
      </w:r>
      <w:proofErr w:type="gramStart"/>
      <w:r w:rsidRPr="00CB254C">
        <w:rPr>
          <w:shd w:val="clear" w:color="auto" w:fill="FFFFFF"/>
        </w:rPr>
        <w:t>ICG, that</w:t>
      </w:r>
      <w:proofErr w:type="gramEnd"/>
      <w:r w:rsidRPr="00CB254C">
        <w:rPr>
          <w:shd w:val="clear" w:color="auto" w:fill="FFFFFF"/>
        </w:rPr>
        <w:t xml:space="preserve"> ensured a better </w:t>
      </w:r>
      <w:proofErr w:type="spellStart"/>
      <w:r w:rsidRPr="00CB254C">
        <w:rPr>
          <w:shd w:val="clear" w:color="auto" w:fill="FFFFFF"/>
        </w:rPr>
        <w:t>hydrosolubility</w:t>
      </w:r>
      <w:proofErr w:type="spellEnd"/>
      <w:r w:rsidRPr="00CB254C">
        <w:rPr>
          <w:shd w:val="clear" w:color="auto" w:fill="FFFFFF"/>
        </w:rPr>
        <w:t xml:space="preserve"> as compared with </w:t>
      </w:r>
      <w:proofErr w:type="spellStart"/>
      <w:r w:rsidRPr="00CB254C">
        <w:rPr>
          <w:shd w:val="clear" w:color="auto" w:fill="FFFFFF"/>
        </w:rPr>
        <w:t>naringenin</w:t>
      </w:r>
      <w:proofErr w:type="spellEnd"/>
      <w:r w:rsidRPr="00CB254C">
        <w:rPr>
          <w:shd w:val="clear" w:color="auto" w:fill="FFFFFF"/>
        </w:rPr>
        <w:t xml:space="preserve">. When both substances with reduced water solubility were present, there was a supplementary reduction of the solubility of </w:t>
      </w:r>
      <w:proofErr w:type="spellStart"/>
      <w:r w:rsidRPr="00CB254C">
        <w:rPr>
          <w:shd w:val="clear" w:color="auto" w:fill="FFFFFF"/>
        </w:rPr>
        <w:t>naringenin</w:t>
      </w:r>
      <w:proofErr w:type="spellEnd"/>
      <w:r w:rsidRPr="00CB254C">
        <w:rPr>
          <w:shd w:val="clear" w:color="auto" w:fill="FFFFFF"/>
        </w:rPr>
        <w:t xml:space="preserve">, as the </w:t>
      </w:r>
      <w:proofErr w:type="gramStart"/>
      <w:r w:rsidRPr="00CB254C">
        <w:rPr>
          <w:shd w:val="clear" w:color="auto" w:fill="FFFFFF"/>
        </w:rPr>
        <w:t>least</w:t>
      </w:r>
      <w:proofErr w:type="gramEnd"/>
      <w:r w:rsidRPr="00CB254C">
        <w:rPr>
          <w:shd w:val="clear" w:color="auto" w:fill="FFFFFF"/>
        </w:rPr>
        <w:t xml:space="preserve"> soluble of the two compounds, and thus the destabilizing effect of </w:t>
      </w:r>
      <w:proofErr w:type="spellStart"/>
      <w:r w:rsidRPr="00CB254C">
        <w:rPr>
          <w:shd w:val="clear" w:color="auto" w:fill="FFFFFF"/>
        </w:rPr>
        <w:t>naringenin</w:t>
      </w:r>
      <w:proofErr w:type="spellEnd"/>
      <w:r w:rsidRPr="00CB254C">
        <w:rPr>
          <w:shd w:val="clear" w:color="auto" w:fill="FFFFFF"/>
        </w:rPr>
        <w:t xml:space="preserve"> was amplified.</w:t>
      </w:r>
    </w:p>
    <w:p w14:paraId="3BC2DA4A" w14:textId="000CDC1C" w:rsidR="00B852EB" w:rsidRPr="002B5481" w:rsidRDefault="002B5481" w:rsidP="002B5481">
      <w:pPr>
        <w:pStyle w:val="MDPI21heading1"/>
        <w:rPr>
          <w:i/>
        </w:rPr>
      </w:pPr>
      <w:r>
        <w:rPr>
          <w:i/>
          <w:iCs/>
          <w:lang w:val="ro-RO"/>
        </w:rPr>
        <w:t xml:space="preserve">3. </w:t>
      </w:r>
      <w:r w:rsidR="00B852EB" w:rsidRPr="00B852EB">
        <w:t xml:space="preserve">Evaluation of ICG efficiency as a fluorescent probe for </w:t>
      </w:r>
      <w:proofErr w:type="spellStart"/>
      <w:r w:rsidR="00B852EB" w:rsidRPr="00B852EB">
        <w:t>naringenin</w:t>
      </w:r>
      <w:proofErr w:type="spellEnd"/>
      <w:r w:rsidR="00B852EB" w:rsidRPr="00B852EB">
        <w:t xml:space="preserve">-loaded </w:t>
      </w:r>
      <w:proofErr w:type="spellStart"/>
      <w:r w:rsidR="00B852EB" w:rsidRPr="00B852EB">
        <w:t>nanoemulsions</w:t>
      </w:r>
      <w:proofErr w:type="spellEnd"/>
    </w:p>
    <w:p w14:paraId="36729080" w14:textId="7B6DC10E" w:rsidR="0048748C" w:rsidRPr="0048748C" w:rsidRDefault="0048748C" w:rsidP="002B5481">
      <w:pPr>
        <w:pStyle w:val="MDPI31text"/>
        <w:rPr>
          <w:lang w:val="ro-RO"/>
        </w:rPr>
      </w:pPr>
      <w:bookmarkStart w:id="2" w:name="_Toc43797469"/>
      <w:r w:rsidRPr="0048748C">
        <w:rPr>
          <w:lang w:val="ro-RO"/>
        </w:rPr>
        <w:t xml:space="preserve">We assessed the radiant efficiency of naringenin-loaded nanoemulsions labeled with ICG, at concentrations up to 210 µM, using </w:t>
      </w:r>
      <w:r w:rsidRPr="0048748C">
        <w:t>IVIS Spectrum Caliper 200 system</w:t>
      </w:r>
      <w:r w:rsidRPr="0048748C">
        <w:rPr>
          <w:lang w:val="ro-RO"/>
        </w:rPr>
        <w:t>. We found that, both at the initial time point (t</w:t>
      </w:r>
      <w:r w:rsidRPr="0048748C">
        <w:rPr>
          <w:vertAlign w:val="subscript"/>
          <w:lang w:val="ro-RO"/>
        </w:rPr>
        <w:t>o</w:t>
      </w:r>
      <w:r w:rsidRPr="0048748C">
        <w:rPr>
          <w:lang w:val="ro-RO"/>
        </w:rPr>
        <w:t xml:space="preserve">) and after 24 </w:t>
      </w:r>
      <w:r w:rsidR="00821EA8">
        <w:rPr>
          <w:lang w:val="ro-RO"/>
        </w:rPr>
        <w:t>h</w:t>
      </w:r>
      <w:r w:rsidRPr="0048748C">
        <w:rPr>
          <w:lang w:val="ro-RO"/>
        </w:rPr>
        <w:t xml:space="preserve">, the shape of the dose-response curve is biphasic, first ascending, then descending. We attributed this aspect to fluorescence quenching effects. The decay in the quantum yield of ICG over time would explain the shift to the right of the curve seen at 24 </w:t>
      </w:r>
      <w:r w:rsidR="00821EA8">
        <w:rPr>
          <w:lang w:val="ro-RO"/>
        </w:rPr>
        <w:t>h</w:t>
      </w:r>
      <w:r w:rsidRPr="0048748C">
        <w:rPr>
          <w:lang w:val="ro-RO"/>
        </w:rPr>
        <w:t xml:space="preserve"> (</w:t>
      </w:r>
      <w:r w:rsidRPr="0048748C">
        <w:rPr>
          <w:b/>
          <w:lang w:val="ro-RO"/>
        </w:rPr>
        <w:t>Figure S</w:t>
      </w:r>
      <w:r w:rsidR="004E7223">
        <w:rPr>
          <w:b/>
          <w:lang w:val="ro-RO"/>
        </w:rPr>
        <w:t>3</w:t>
      </w:r>
      <w:r w:rsidRPr="0048748C">
        <w:rPr>
          <w:lang w:val="ro-RO"/>
        </w:rPr>
        <w:t>).</w:t>
      </w:r>
    </w:p>
    <w:p w14:paraId="641E4A8D" w14:textId="77777777" w:rsidR="0048748C" w:rsidRPr="0048748C" w:rsidRDefault="0048748C" w:rsidP="002B5481">
      <w:pPr>
        <w:pStyle w:val="MDPI52figure"/>
        <w:rPr>
          <w:lang w:val="ro-RO"/>
        </w:rPr>
      </w:pPr>
      <w:r w:rsidRPr="0048748C">
        <w:rPr>
          <w:noProof/>
          <w:lang w:eastAsia="zh-CN" w:bidi="ar-SA"/>
        </w:rPr>
        <w:drawing>
          <wp:inline distT="0" distB="0" distL="0" distR="0" wp14:anchorId="17E3E42C" wp14:editId="1B386AB0">
            <wp:extent cx="4015687" cy="231374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nc_mari.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4040695" cy="2328149"/>
                    </a:xfrm>
                    <a:prstGeom prst="rect">
                      <a:avLst/>
                    </a:prstGeom>
                  </pic:spPr>
                </pic:pic>
              </a:graphicData>
            </a:graphic>
          </wp:inline>
        </w:drawing>
      </w:r>
    </w:p>
    <w:p w14:paraId="322D084D" w14:textId="6FE2F7E2" w:rsidR="0048748C" w:rsidRPr="002B5481" w:rsidRDefault="002B5481" w:rsidP="002B5481">
      <w:pPr>
        <w:pStyle w:val="MDPI51figurecaption"/>
        <w:rPr>
          <w:i/>
        </w:rPr>
      </w:pPr>
      <w:r w:rsidRPr="002B5481">
        <w:rPr>
          <w:b/>
        </w:rPr>
        <w:t xml:space="preserve">Figure </w:t>
      </w:r>
      <w:r>
        <w:rPr>
          <w:b/>
        </w:rPr>
        <w:t>S</w:t>
      </w:r>
      <w:r w:rsidRPr="002B5481">
        <w:rPr>
          <w:b/>
        </w:rPr>
        <w:t xml:space="preserve">3. </w:t>
      </w:r>
      <w:r w:rsidR="0048748C" w:rsidRPr="0048748C">
        <w:t xml:space="preserve">Radiant efficiency of ICG as a fluorescent probe for the </w:t>
      </w:r>
      <w:proofErr w:type="spellStart"/>
      <w:r w:rsidR="0048748C" w:rsidRPr="0048748C">
        <w:t>naringenin</w:t>
      </w:r>
      <w:proofErr w:type="spellEnd"/>
      <w:r w:rsidR="0048748C" w:rsidRPr="0048748C">
        <w:t xml:space="preserve">-loaded </w:t>
      </w:r>
      <w:proofErr w:type="spellStart"/>
      <w:r w:rsidR="0048748C" w:rsidRPr="0048748C">
        <w:t>nanoemulsions</w:t>
      </w:r>
      <w:proofErr w:type="spellEnd"/>
      <w:r w:rsidR="0048748C" w:rsidRPr="0048748C">
        <w:t xml:space="preserve">. Data are graphical representations of the radiant efficiencies of </w:t>
      </w:r>
      <w:proofErr w:type="spellStart"/>
      <w:r w:rsidR="0048748C" w:rsidRPr="0048748C">
        <w:t>nanoemulsions</w:t>
      </w:r>
      <w:proofErr w:type="spellEnd"/>
      <w:r w:rsidR="0048748C" w:rsidRPr="0048748C">
        <w:t xml:space="preserve"> samples with increasing concentrations of ICG at the initial time (t</w:t>
      </w:r>
      <w:r w:rsidR="0048748C" w:rsidRPr="0048748C">
        <w:rPr>
          <w:vertAlign w:val="subscript"/>
        </w:rPr>
        <w:t>o</w:t>
      </w:r>
      <w:r w:rsidR="0048748C" w:rsidRPr="0048748C">
        <w:t xml:space="preserve">) and after storage for 24 </w:t>
      </w:r>
      <w:r w:rsidR="00821EA8">
        <w:t>h</w:t>
      </w:r>
      <w:r w:rsidR="0048748C" w:rsidRPr="0048748C">
        <w:t xml:space="preserve"> at room temperature.</w:t>
      </w:r>
    </w:p>
    <w:p w14:paraId="04A44812" w14:textId="54082723" w:rsidR="0048748C" w:rsidRPr="00CB254C" w:rsidRDefault="0048748C" w:rsidP="002B5481">
      <w:pPr>
        <w:pStyle w:val="MDPI31text"/>
      </w:pPr>
      <w:bookmarkStart w:id="3" w:name="_Hlk51920487"/>
      <w:bookmarkStart w:id="4" w:name="_Hlk51920718"/>
      <w:bookmarkStart w:id="5" w:name="_Hlk51921028"/>
      <w:r w:rsidRPr="00CB254C">
        <w:t>To assess the changes of ICG quantum yield in various microenvironments, we measured its radiant efficiency in the free form (</w:t>
      </w:r>
      <w:r w:rsidRPr="00CB254C">
        <w:rPr>
          <w:b/>
        </w:rPr>
        <w:t>Figure S</w:t>
      </w:r>
      <w:r w:rsidR="004E7223">
        <w:rPr>
          <w:b/>
        </w:rPr>
        <w:t>4</w:t>
      </w:r>
      <w:r w:rsidRPr="00CB254C">
        <w:t xml:space="preserve">, </w:t>
      </w:r>
      <w:r w:rsidRPr="00CB254C">
        <w:rPr>
          <w:b/>
        </w:rPr>
        <w:t>A</w:t>
      </w:r>
      <w:r w:rsidRPr="00CB254C">
        <w:t>), when added to pre-formed LN (</w:t>
      </w:r>
      <w:r w:rsidRPr="00CB254C">
        <w:rPr>
          <w:b/>
        </w:rPr>
        <w:t>Figure S</w:t>
      </w:r>
      <w:r w:rsidR="004E7223">
        <w:rPr>
          <w:b/>
        </w:rPr>
        <w:t>4</w:t>
      </w:r>
      <w:r w:rsidRPr="00CB254C">
        <w:t xml:space="preserve">, </w:t>
      </w:r>
      <w:r w:rsidRPr="00CB254C">
        <w:rPr>
          <w:b/>
        </w:rPr>
        <w:t>C</w:t>
      </w:r>
      <w:r w:rsidRPr="00CB254C">
        <w:t xml:space="preserve">), or stably incorporated into </w:t>
      </w:r>
      <w:proofErr w:type="spellStart"/>
      <w:r w:rsidRPr="00CB254C">
        <w:t>nanoemulsions</w:t>
      </w:r>
      <w:proofErr w:type="spellEnd"/>
      <w:r w:rsidRPr="00CB254C">
        <w:t xml:space="preserve"> (</w:t>
      </w:r>
      <w:r w:rsidRPr="00CB254C">
        <w:rPr>
          <w:b/>
        </w:rPr>
        <w:t>Figure S</w:t>
      </w:r>
      <w:r w:rsidR="004E7223">
        <w:rPr>
          <w:b/>
        </w:rPr>
        <w:t>4</w:t>
      </w:r>
      <w:r w:rsidRPr="00CB254C">
        <w:t xml:space="preserve">, </w:t>
      </w:r>
      <w:r w:rsidRPr="00CB254C">
        <w:rPr>
          <w:b/>
        </w:rPr>
        <w:t>E</w:t>
      </w:r>
      <w:r w:rsidRPr="00CB254C">
        <w:t>). Measurements were performed with the aid of the IVIS Spectrum Caliper 200 system at the initial moment or after 24-</w:t>
      </w:r>
      <w:r w:rsidR="00821EA8">
        <w:t>h</w:t>
      </w:r>
      <w:r w:rsidRPr="00CB254C">
        <w:t xml:space="preserve"> storage at room temperature, in the absence of presence of </w:t>
      </w:r>
      <w:r w:rsidR="00FE4A0D">
        <w:t>fetal bovine serum</w:t>
      </w:r>
      <w:r w:rsidR="00F03492">
        <w:t xml:space="preserve"> </w:t>
      </w:r>
      <w:r w:rsidR="00FE4A0D">
        <w:t>(</w:t>
      </w:r>
      <w:r w:rsidRPr="00CB254C">
        <w:t>FBS</w:t>
      </w:r>
      <w:r w:rsidR="00FE4A0D">
        <w:t>)</w:t>
      </w:r>
      <w:r w:rsidRPr="00CB254C">
        <w:t xml:space="preserve">. For comparison, samples containing </w:t>
      </w:r>
      <w:proofErr w:type="spellStart"/>
      <w:r w:rsidRPr="00CB254C">
        <w:t>Rhodamine</w:t>
      </w:r>
      <w:proofErr w:type="spellEnd"/>
      <w:r w:rsidRPr="00CB254C">
        <w:t xml:space="preserve"> -PE instead of ICG were also investigated (</w:t>
      </w:r>
      <w:r w:rsidRPr="00CB254C">
        <w:rPr>
          <w:b/>
        </w:rPr>
        <w:t>Figure S</w:t>
      </w:r>
      <w:r w:rsidR="004E7223">
        <w:rPr>
          <w:b/>
        </w:rPr>
        <w:t>4</w:t>
      </w:r>
      <w:r w:rsidRPr="00CB254C">
        <w:t>,</w:t>
      </w:r>
      <w:r w:rsidRPr="00CB254C">
        <w:rPr>
          <w:b/>
        </w:rPr>
        <w:t xml:space="preserve"> B</w:t>
      </w:r>
      <w:r w:rsidRPr="00CB254C">
        <w:t>,</w:t>
      </w:r>
      <w:r w:rsidRPr="00CB254C">
        <w:rPr>
          <w:b/>
        </w:rPr>
        <w:t xml:space="preserve"> D</w:t>
      </w:r>
      <w:r w:rsidRPr="00CB254C">
        <w:t>,</w:t>
      </w:r>
      <w:r w:rsidRPr="00CB254C">
        <w:rPr>
          <w:b/>
        </w:rPr>
        <w:t xml:space="preserve"> F</w:t>
      </w:r>
      <w:r w:rsidRPr="00CB254C">
        <w:t xml:space="preserve">). </w:t>
      </w:r>
    </w:p>
    <w:p w14:paraId="072005D3" w14:textId="77777777" w:rsidR="00F03492" w:rsidRPr="00CB254C" w:rsidRDefault="00F03492" w:rsidP="002B5481">
      <w:pPr>
        <w:pStyle w:val="MDPI31text"/>
      </w:pPr>
      <w:r w:rsidRPr="00CB254C">
        <w:t>The data indicated that in PBS, both ICG (</w:t>
      </w:r>
      <w:r w:rsidRPr="00CB254C">
        <w:rPr>
          <w:b/>
        </w:rPr>
        <w:t>Figure S</w:t>
      </w:r>
      <w:r>
        <w:rPr>
          <w:b/>
        </w:rPr>
        <w:t>4</w:t>
      </w:r>
      <w:r w:rsidRPr="00CB254C">
        <w:rPr>
          <w:b/>
        </w:rPr>
        <w:t>, A</w:t>
      </w:r>
      <w:r w:rsidRPr="00CB254C">
        <w:t xml:space="preserve">) and </w:t>
      </w:r>
      <w:proofErr w:type="spellStart"/>
      <w:r w:rsidRPr="00CB254C">
        <w:t>Rhodamine</w:t>
      </w:r>
      <w:proofErr w:type="spellEnd"/>
      <w:r w:rsidRPr="00CB254C">
        <w:t xml:space="preserve"> (</w:t>
      </w:r>
      <w:r w:rsidRPr="00CB254C">
        <w:rPr>
          <w:b/>
        </w:rPr>
        <w:t>Figure S</w:t>
      </w:r>
      <w:r>
        <w:rPr>
          <w:b/>
        </w:rPr>
        <w:t>4</w:t>
      </w:r>
      <w:r w:rsidRPr="00CB254C">
        <w:rPr>
          <w:b/>
        </w:rPr>
        <w:t>, B</w:t>
      </w:r>
      <w:r w:rsidRPr="00CB254C">
        <w:t>) barely displayed any fluorescence. The behavior upon FBS addition was different: for ICG, the fluorescence increased with one order of magnitude, with values of radiant efficiency of 10</w:t>
      </w:r>
      <w:r w:rsidRPr="00CB254C">
        <w:rPr>
          <w:vertAlign w:val="superscript"/>
        </w:rPr>
        <w:t>9</w:t>
      </w:r>
      <w:r w:rsidRPr="00CB254C">
        <w:t>,</w:t>
      </w:r>
      <w:r w:rsidRPr="00CB254C">
        <w:rPr>
          <w:vertAlign w:val="superscript"/>
        </w:rPr>
        <w:t xml:space="preserve"> </w:t>
      </w:r>
      <w:r w:rsidRPr="00CB254C">
        <w:t xml:space="preserve">which maintained </w:t>
      </w:r>
      <w:r w:rsidRPr="00CB254C">
        <w:lastRenderedPageBreak/>
        <w:t xml:space="preserve">during the analyzed period (curve ICG+FBS), as for </w:t>
      </w:r>
      <w:proofErr w:type="spellStart"/>
      <w:r w:rsidRPr="00CB254C">
        <w:t>Rhodamine</w:t>
      </w:r>
      <w:proofErr w:type="spellEnd"/>
      <w:r w:rsidRPr="00CB254C">
        <w:t>-PE the increase was virtually negligible.</w:t>
      </w:r>
    </w:p>
    <w:p w14:paraId="728C1557" w14:textId="7A8CF5B6" w:rsidR="00F03492" w:rsidRPr="00CB254C" w:rsidRDefault="00F03492" w:rsidP="002B5481">
      <w:pPr>
        <w:pStyle w:val="MDPI31text"/>
      </w:pPr>
      <w:r w:rsidRPr="00CB254C">
        <w:t xml:space="preserve">When the substances were added to empty </w:t>
      </w:r>
      <w:proofErr w:type="spellStart"/>
      <w:r w:rsidRPr="00CB254C">
        <w:t>nanoemulsions</w:t>
      </w:r>
      <w:proofErr w:type="spellEnd"/>
      <w:r w:rsidRPr="00CB254C">
        <w:t xml:space="preserve"> (LN), an increase in the fluorescent signal occurred due to the hydrophobic environment. The behavior of ICG added to LN is complex (</w:t>
      </w:r>
      <w:r w:rsidRPr="00CB254C">
        <w:rPr>
          <w:b/>
        </w:rPr>
        <w:t>Figure S</w:t>
      </w:r>
      <w:r>
        <w:rPr>
          <w:b/>
        </w:rPr>
        <w:t>4</w:t>
      </w:r>
      <w:r w:rsidRPr="00CB254C">
        <w:t xml:space="preserve">, </w:t>
      </w:r>
      <w:r w:rsidRPr="00CB254C">
        <w:rPr>
          <w:b/>
        </w:rPr>
        <w:t>C</w:t>
      </w:r>
      <w:r w:rsidRPr="00CB254C">
        <w:t xml:space="preserve">). Thus, when adding ICG to LN, a peak was attained for 10 µM ICG, close to the value recorded in FBS, followed by a linear reduction of the fluorescence at concentrations higher than 20 µM. The curve profile was similar after 24 </w:t>
      </w:r>
      <w:r w:rsidR="00821EA8">
        <w:t>h</w:t>
      </w:r>
      <w:r w:rsidRPr="00CB254C">
        <w:t xml:space="preserve">, but with values higher as compared with the initial moment. In the presence of FBS, initially there was a 25% increase of fluorescence as compared with the case without FBS. After 24 </w:t>
      </w:r>
      <w:r w:rsidR="00821EA8">
        <w:t>h</w:t>
      </w:r>
      <w:r w:rsidRPr="00CB254C">
        <w:t>, the shape of the curve is changed to a hyperbola, this alteration reflecting the two different processes ICG participates in: on one hand, insertion in the lipid monolayer and, on the other hand, the association with plasma proteins. This partitioning decreases</w:t>
      </w:r>
      <w:r w:rsidRPr="0048748C">
        <w:t xml:space="preserve"> the effective concentration and the physical separation of the molecules, contributing to the reduction </w:t>
      </w:r>
      <w:r w:rsidRPr="00CB254C">
        <w:t xml:space="preserve">of quenching. For </w:t>
      </w:r>
      <w:proofErr w:type="spellStart"/>
      <w:r w:rsidRPr="00CB254C">
        <w:t>Rhodamine</w:t>
      </w:r>
      <w:proofErr w:type="spellEnd"/>
      <w:r w:rsidRPr="00CB254C">
        <w:t>-PE added to LN, the profiles of the curves in presence or absence of FBS were similar (</w:t>
      </w:r>
      <w:r w:rsidRPr="00CB254C">
        <w:rPr>
          <w:b/>
        </w:rPr>
        <w:t>Figure S</w:t>
      </w:r>
      <w:r>
        <w:rPr>
          <w:b/>
        </w:rPr>
        <w:t>4</w:t>
      </w:r>
      <w:r w:rsidRPr="00CB254C">
        <w:t xml:space="preserve">, </w:t>
      </w:r>
      <w:r w:rsidRPr="00CB254C">
        <w:rPr>
          <w:b/>
        </w:rPr>
        <w:t>D</w:t>
      </w:r>
      <w:r w:rsidRPr="00CB254C">
        <w:t xml:space="preserve">). Initially there was a slight decrease, however 24 </w:t>
      </w:r>
      <w:r w:rsidR="00821EA8">
        <w:t>h</w:t>
      </w:r>
      <w:r w:rsidRPr="00CB254C">
        <w:t xml:space="preserve"> later the signal increased by 25% and the curves, with or without serum, were overlapping (</w:t>
      </w:r>
      <w:proofErr w:type="spellStart"/>
      <w:r w:rsidRPr="00CB254C">
        <w:t>Rho+LN+FBS</w:t>
      </w:r>
      <w:proofErr w:type="spellEnd"/>
      <w:r w:rsidRPr="00CB254C">
        <w:t xml:space="preserve"> versus </w:t>
      </w:r>
      <w:proofErr w:type="spellStart"/>
      <w:r w:rsidRPr="00CB254C">
        <w:t>Rho+LN</w:t>
      </w:r>
      <w:proofErr w:type="spellEnd"/>
      <w:r w:rsidRPr="00CB254C">
        <w:t>), and the dose-response dependence was improved.</w:t>
      </w:r>
    </w:p>
    <w:p w14:paraId="031B9276" w14:textId="4594251C" w:rsidR="00F03492" w:rsidRPr="00CB254C" w:rsidRDefault="00F03492" w:rsidP="002B5481">
      <w:pPr>
        <w:pStyle w:val="MDPI31text"/>
      </w:pPr>
      <w:r w:rsidRPr="00CB254C">
        <w:t>Regarding ICG/LN (</w:t>
      </w:r>
      <w:r w:rsidRPr="00CB254C">
        <w:rPr>
          <w:b/>
        </w:rPr>
        <w:t>Figure S</w:t>
      </w:r>
      <w:r>
        <w:rPr>
          <w:b/>
        </w:rPr>
        <w:t>4</w:t>
      </w:r>
      <w:r w:rsidRPr="00CB254C">
        <w:t xml:space="preserve">, </w:t>
      </w:r>
      <w:r w:rsidRPr="00CB254C">
        <w:rPr>
          <w:b/>
        </w:rPr>
        <w:t>E</w:t>
      </w:r>
      <w:r w:rsidRPr="00CB254C">
        <w:t xml:space="preserve">) initially, they displayed a dose-dependent increase of the signal, and the serum did not influence the signal, but after 24 </w:t>
      </w:r>
      <w:r w:rsidR="00821EA8">
        <w:t>h</w:t>
      </w:r>
      <w:r w:rsidRPr="00CB254C">
        <w:t xml:space="preserve"> there was a diminution and linearization of the signal, and the curves for ICG /LN and ICG/ LN +FBS overlapped.</w:t>
      </w:r>
    </w:p>
    <w:p w14:paraId="53CE630D" w14:textId="20669E54" w:rsidR="00F03492" w:rsidRDefault="00F03492" w:rsidP="002B5481">
      <w:pPr>
        <w:pStyle w:val="MDPI31text"/>
      </w:pPr>
      <w:proofErr w:type="spellStart"/>
      <w:r w:rsidRPr="00CB254C">
        <w:t>Nanoemulsions</w:t>
      </w:r>
      <w:proofErr w:type="spellEnd"/>
      <w:r w:rsidRPr="00CB254C">
        <w:t xml:space="preserve"> incorporating </w:t>
      </w:r>
      <w:proofErr w:type="spellStart"/>
      <w:r w:rsidRPr="00CB254C">
        <w:t>rhodamine</w:t>
      </w:r>
      <w:proofErr w:type="spellEnd"/>
      <w:r w:rsidRPr="00CB254C">
        <w:t xml:space="preserve"> (Rho/LN) (</w:t>
      </w:r>
      <w:r w:rsidRPr="00CB254C">
        <w:rPr>
          <w:b/>
        </w:rPr>
        <w:t>Figure S</w:t>
      </w:r>
      <w:r>
        <w:rPr>
          <w:b/>
        </w:rPr>
        <w:t>4</w:t>
      </w:r>
      <w:r w:rsidRPr="00CB254C">
        <w:t xml:space="preserve">, </w:t>
      </w:r>
      <w:r w:rsidRPr="00CB254C">
        <w:rPr>
          <w:b/>
        </w:rPr>
        <w:t>F</w:t>
      </w:r>
      <w:r w:rsidRPr="00CB254C">
        <w:t xml:space="preserve">) were only modestly affected by serum, which appears to stabilize the signal at 24 </w:t>
      </w:r>
      <w:r w:rsidR="00821EA8">
        <w:t>h</w:t>
      </w:r>
      <w:r w:rsidRPr="00CB254C">
        <w:t>, especially in the case of higher concentrations.</w:t>
      </w:r>
      <w:r w:rsidRPr="0048748C">
        <w:t xml:space="preserve"> </w:t>
      </w:r>
    </w:p>
    <w:p w14:paraId="2FBACDAE" w14:textId="77777777" w:rsidR="00F03492" w:rsidRPr="004E7223" w:rsidRDefault="00F03492" w:rsidP="002B5481">
      <w:pPr>
        <w:pStyle w:val="MDPI31text"/>
      </w:pPr>
      <w:r w:rsidRPr="004E7223">
        <w:t xml:space="preserve">Before injecting the ICG-labelled, </w:t>
      </w:r>
      <w:proofErr w:type="spellStart"/>
      <w:r w:rsidRPr="004E7223">
        <w:t>naringenin</w:t>
      </w:r>
      <w:proofErr w:type="spellEnd"/>
      <w:r w:rsidRPr="004E7223">
        <w:t xml:space="preserve">-loaded </w:t>
      </w:r>
      <w:proofErr w:type="spellStart"/>
      <w:r w:rsidRPr="004E7223">
        <w:t>nanoemulsions</w:t>
      </w:r>
      <w:proofErr w:type="spellEnd"/>
      <w:r w:rsidRPr="004E7223">
        <w:t xml:space="preserve"> into animals, an in vitro test was performed with the twofold role: (1) to assess the efficiency of ICG-labelled nanoparticles by comparison with a widely used probe, such as </w:t>
      </w:r>
      <w:proofErr w:type="spellStart"/>
      <w:r w:rsidRPr="004E7223">
        <w:t>Rhodamine</w:t>
      </w:r>
      <w:proofErr w:type="spellEnd"/>
      <w:r w:rsidRPr="004E7223">
        <w:t xml:space="preserve"> and (2) to verify the stability of the signal, since ICG was reported to be susceptible to degradation and subsequent decreased absorption in aqueous solution [1]. To this aim, increasing amounts of </w:t>
      </w:r>
      <w:proofErr w:type="spellStart"/>
      <w:r w:rsidRPr="004E7223">
        <w:t>nanoemulsions</w:t>
      </w:r>
      <w:proofErr w:type="spellEnd"/>
      <w:r w:rsidRPr="004E7223">
        <w:t xml:space="preserve">, corresponding to concentrations of the </w:t>
      </w:r>
      <w:proofErr w:type="spellStart"/>
      <w:r w:rsidRPr="004E7223">
        <w:t>fluorophore</w:t>
      </w:r>
      <w:proofErr w:type="spellEnd"/>
      <w:r w:rsidRPr="004E7223">
        <w:t xml:space="preserve"> in the range 0-60 µM, were mixed with fetal bovine serum (FBS) to a final concentration of 50% in PBS to mimic the in vivo plasma conditions, and the signal was quantified with the aid of the IVIS Spectrum Caliper 200 system. The following filter pairs (wavelengths for excitation/ emission) were used: 745 nm/820 nm for ICG, and 535 nm/620 nm for </w:t>
      </w:r>
      <w:proofErr w:type="spellStart"/>
      <w:r w:rsidRPr="004E7223">
        <w:t>Rhodamine</w:t>
      </w:r>
      <w:proofErr w:type="spellEnd"/>
      <w:r w:rsidRPr="004E7223">
        <w:t>.</w:t>
      </w:r>
    </w:p>
    <w:p w14:paraId="60258C86" w14:textId="77777777" w:rsidR="0048748C" w:rsidRPr="00CB254C" w:rsidRDefault="0048748C" w:rsidP="002B5481">
      <w:pPr>
        <w:pStyle w:val="MDPI52figure"/>
      </w:pPr>
      <w:r w:rsidRPr="00CB254C">
        <w:rPr>
          <w:noProof/>
          <w:lang w:eastAsia="zh-CN" w:bidi="ar-SA"/>
        </w:rPr>
        <w:lastRenderedPageBreak/>
        <w:drawing>
          <wp:inline distT="0" distB="0" distL="0" distR="0" wp14:anchorId="6ABB8C97" wp14:editId="75891AB4">
            <wp:extent cx="4508056" cy="3723480"/>
            <wp:effectExtent l="0" t="0" r="698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48358" cy="3756768"/>
                    </a:xfrm>
                    <a:prstGeom prst="rect">
                      <a:avLst/>
                    </a:prstGeom>
                  </pic:spPr>
                </pic:pic>
              </a:graphicData>
            </a:graphic>
          </wp:inline>
        </w:drawing>
      </w:r>
    </w:p>
    <w:p w14:paraId="1B8CD310" w14:textId="3A1A7278" w:rsidR="0048748C" w:rsidRPr="00CB254C" w:rsidRDefault="002B5481" w:rsidP="002B5481">
      <w:pPr>
        <w:pStyle w:val="MDPI51figurecaption"/>
      </w:pPr>
      <w:r w:rsidRPr="002B5481">
        <w:rPr>
          <w:b/>
          <w:iCs/>
        </w:rPr>
        <w:t xml:space="preserve">Figure </w:t>
      </w:r>
      <w:r>
        <w:rPr>
          <w:b/>
          <w:iCs/>
        </w:rPr>
        <w:t>S</w:t>
      </w:r>
      <w:r w:rsidRPr="002B5481">
        <w:rPr>
          <w:b/>
          <w:iCs/>
        </w:rPr>
        <w:t xml:space="preserve">4. </w:t>
      </w:r>
      <w:r w:rsidR="0048748C" w:rsidRPr="00E53A4A">
        <w:rPr>
          <w:spacing w:val="-4"/>
        </w:rPr>
        <w:t>Evaluation of radiant efficiency of</w:t>
      </w:r>
      <w:r w:rsidR="00821EA8" w:rsidRPr="00E53A4A">
        <w:rPr>
          <w:spacing w:val="-4"/>
        </w:rPr>
        <w:t xml:space="preserve"> </w:t>
      </w:r>
      <w:r w:rsidR="0048748C" w:rsidRPr="00E53A4A">
        <w:rPr>
          <w:spacing w:val="-4"/>
        </w:rPr>
        <w:t>ICG (</w:t>
      </w:r>
      <w:r w:rsidR="0048748C" w:rsidRPr="00E53A4A">
        <w:rPr>
          <w:b/>
          <w:spacing w:val="-4"/>
        </w:rPr>
        <w:t>A</w:t>
      </w:r>
      <w:r w:rsidR="0048748C" w:rsidRPr="00E53A4A">
        <w:rPr>
          <w:spacing w:val="-4"/>
        </w:rPr>
        <w:t xml:space="preserve">, </w:t>
      </w:r>
      <w:r w:rsidR="0048748C" w:rsidRPr="00E53A4A">
        <w:rPr>
          <w:b/>
          <w:spacing w:val="-4"/>
        </w:rPr>
        <w:t>C</w:t>
      </w:r>
      <w:r w:rsidR="0048748C" w:rsidRPr="00E53A4A">
        <w:rPr>
          <w:spacing w:val="-4"/>
        </w:rPr>
        <w:t xml:space="preserve">, </w:t>
      </w:r>
      <w:r w:rsidR="0048748C" w:rsidRPr="00E53A4A">
        <w:rPr>
          <w:b/>
          <w:spacing w:val="-4"/>
        </w:rPr>
        <w:t>E</w:t>
      </w:r>
      <w:r w:rsidR="0048748C" w:rsidRPr="00E53A4A">
        <w:rPr>
          <w:spacing w:val="-4"/>
        </w:rPr>
        <w:t xml:space="preserve">) as compared with </w:t>
      </w:r>
      <w:proofErr w:type="spellStart"/>
      <w:r w:rsidR="0048748C" w:rsidRPr="00E53A4A">
        <w:rPr>
          <w:spacing w:val="-4"/>
        </w:rPr>
        <w:t>Rhodamine</w:t>
      </w:r>
      <w:proofErr w:type="spellEnd"/>
      <w:r w:rsidR="0048748C" w:rsidRPr="00E53A4A">
        <w:rPr>
          <w:spacing w:val="-4"/>
        </w:rPr>
        <w:t>-PE (</w:t>
      </w:r>
      <w:r w:rsidR="0048748C" w:rsidRPr="00E53A4A">
        <w:rPr>
          <w:b/>
          <w:spacing w:val="-4"/>
        </w:rPr>
        <w:t>B</w:t>
      </w:r>
      <w:r w:rsidR="0048748C" w:rsidRPr="00E53A4A">
        <w:rPr>
          <w:spacing w:val="-4"/>
        </w:rPr>
        <w:t xml:space="preserve">, </w:t>
      </w:r>
      <w:r w:rsidR="0048748C" w:rsidRPr="00E53A4A">
        <w:rPr>
          <w:b/>
          <w:spacing w:val="-4"/>
        </w:rPr>
        <w:t>D</w:t>
      </w:r>
      <w:r w:rsidR="0048748C" w:rsidRPr="00E53A4A">
        <w:rPr>
          <w:spacing w:val="-4"/>
        </w:rPr>
        <w:t xml:space="preserve">, </w:t>
      </w:r>
      <w:r w:rsidR="0048748C" w:rsidRPr="00E53A4A">
        <w:rPr>
          <w:b/>
          <w:spacing w:val="-4"/>
        </w:rPr>
        <w:t>F</w:t>
      </w:r>
      <w:r w:rsidR="0048748C" w:rsidRPr="00E53A4A">
        <w:rPr>
          <w:spacing w:val="-4"/>
        </w:rPr>
        <w:t xml:space="preserve">), maintained in the dark for 24 </w:t>
      </w:r>
      <w:r w:rsidR="00821EA8" w:rsidRPr="00E53A4A">
        <w:rPr>
          <w:spacing w:val="-4"/>
        </w:rPr>
        <w:t>h</w:t>
      </w:r>
      <w:r w:rsidR="0048748C" w:rsidRPr="00E53A4A">
        <w:rPr>
          <w:spacing w:val="-4"/>
        </w:rPr>
        <w:t xml:space="preserve"> in the absence or presence of FBS in various microenvironments:</w:t>
      </w:r>
      <w:r w:rsidR="00821EA8" w:rsidRPr="00E53A4A">
        <w:rPr>
          <w:spacing w:val="-4"/>
        </w:rPr>
        <w:t xml:space="preserve"> </w:t>
      </w:r>
      <w:proofErr w:type="spellStart"/>
      <w:r w:rsidR="0048748C" w:rsidRPr="00E53A4A">
        <w:rPr>
          <w:spacing w:val="-4"/>
        </w:rPr>
        <w:t>fluorophores</w:t>
      </w:r>
      <w:proofErr w:type="spellEnd"/>
      <w:r w:rsidR="0048748C" w:rsidRPr="00E53A4A">
        <w:rPr>
          <w:spacing w:val="-4"/>
        </w:rPr>
        <w:t xml:space="preserve"> as free substances in PBS (</w:t>
      </w:r>
      <w:r w:rsidR="0048748C" w:rsidRPr="00E53A4A">
        <w:rPr>
          <w:b/>
          <w:spacing w:val="-4"/>
        </w:rPr>
        <w:t>A</w:t>
      </w:r>
      <w:r w:rsidR="0048748C" w:rsidRPr="00E53A4A">
        <w:rPr>
          <w:spacing w:val="-4"/>
        </w:rPr>
        <w:t xml:space="preserve">, </w:t>
      </w:r>
      <w:r w:rsidR="0048748C" w:rsidRPr="00E53A4A">
        <w:rPr>
          <w:b/>
          <w:spacing w:val="-4"/>
        </w:rPr>
        <w:t>B</w:t>
      </w:r>
      <w:r w:rsidR="0048748C" w:rsidRPr="00E53A4A">
        <w:rPr>
          <w:spacing w:val="-4"/>
        </w:rPr>
        <w:t>),</w:t>
      </w:r>
      <w:r w:rsidR="00821EA8" w:rsidRPr="00E53A4A">
        <w:rPr>
          <w:spacing w:val="-4"/>
        </w:rPr>
        <w:t xml:space="preserve"> </w:t>
      </w:r>
      <w:r w:rsidR="0048748C" w:rsidRPr="00E53A4A">
        <w:rPr>
          <w:spacing w:val="-4"/>
        </w:rPr>
        <w:t xml:space="preserve">added to pre-formed </w:t>
      </w:r>
      <w:proofErr w:type="spellStart"/>
      <w:r w:rsidR="0048748C" w:rsidRPr="00E53A4A">
        <w:rPr>
          <w:spacing w:val="-4"/>
        </w:rPr>
        <w:t>nanoemulsions</w:t>
      </w:r>
      <w:proofErr w:type="spellEnd"/>
      <w:r w:rsidR="0048748C" w:rsidRPr="00E53A4A">
        <w:rPr>
          <w:spacing w:val="-4"/>
        </w:rPr>
        <w:t xml:space="preserve"> (</w:t>
      </w:r>
      <w:r w:rsidR="0048748C" w:rsidRPr="00E53A4A">
        <w:rPr>
          <w:b/>
          <w:spacing w:val="-4"/>
        </w:rPr>
        <w:t>C</w:t>
      </w:r>
      <w:r w:rsidR="0048748C" w:rsidRPr="00E53A4A">
        <w:rPr>
          <w:spacing w:val="-4"/>
        </w:rPr>
        <w:t xml:space="preserve">, </w:t>
      </w:r>
      <w:r w:rsidR="0048748C" w:rsidRPr="00E53A4A">
        <w:rPr>
          <w:b/>
          <w:spacing w:val="-4"/>
        </w:rPr>
        <w:t>D</w:t>
      </w:r>
      <w:r w:rsidR="0048748C" w:rsidRPr="00E53A4A">
        <w:rPr>
          <w:spacing w:val="-4"/>
        </w:rPr>
        <w:t xml:space="preserve">), or stably incorporated into </w:t>
      </w:r>
      <w:proofErr w:type="spellStart"/>
      <w:r w:rsidR="0048748C" w:rsidRPr="00E53A4A">
        <w:rPr>
          <w:spacing w:val="-4"/>
        </w:rPr>
        <w:t>nanoemulsions</w:t>
      </w:r>
      <w:proofErr w:type="spellEnd"/>
      <w:r w:rsidR="0048748C" w:rsidRPr="00E53A4A">
        <w:rPr>
          <w:spacing w:val="-4"/>
        </w:rPr>
        <w:t xml:space="preserve"> (</w:t>
      </w:r>
      <w:r w:rsidR="0048748C" w:rsidRPr="00E53A4A">
        <w:rPr>
          <w:b/>
          <w:spacing w:val="-4"/>
        </w:rPr>
        <w:t>E</w:t>
      </w:r>
      <w:r w:rsidR="0048748C" w:rsidRPr="00E53A4A">
        <w:rPr>
          <w:spacing w:val="-4"/>
        </w:rPr>
        <w:t xml:space="preserve">, </w:t>
      </w:r>
      <w:r w:rsidR="0048748C" w:rsidRPr="00E53A4A">
        <w:rPr>
          <w:b/>
          <w:spacing w:val="-4"/>
        </w:rPr>
        <w:t>F</w:t>
      </w:r>
      <w:r w:rsidR="0048748C" w:rsidRPr="00E53A4A">
        <w:rPr>
          <w:spacing w:val="-4"/>
        </w:rPr>
        <w:t>).</w:t>
      </w:r>
    </w:p>
    <w:p w14:paraId="1EB6D615" w14:textId="62906ED0" w:rsidR="004E7223" w:rsidRDefault="004E7223" w:rsidP="002B5481">
      <w:pPr>
        <w:pStyle w:val="MDPI31text"/>
      </w:pPr>
      <w:r w:rsidRPr="004E7223">
        <w:t>The results indicated that ICG at its emission wavelength (820 nm) was about 10</w:t>
      </w:r>
      <w:r>
        <w:t>-</w:t>
      </w:r>
      <w:r w:rsidRPr="004E7223">
        <w:t xml:space="preserve">fold less radiant than </w:t>
      </w:r>
      <w:proofErr w:type="spellStart"/>
      <w:r w:rsidRPr="004E7223">
        <w:t>Rhodamine</w:t>
      </w:r>
      <w:proofErr w:type="spellEnd"/>
      <w:r w:rsidRPr="004E7223">
        <w:t xml:space="preserve"> at its emission wavelength (620 nm) (</w:t>
      </w:r>
      <w:r w:rsidRPr="004E7223">
        <w:rPr>
          <w:b/>
          <w:bCs/>
        </w:rPr>
        <w:t>Figures S</w:t>
      </w:r>
      <w:r>
        <w:rPr>
          <w:b/>
          <w:bCs/>
        </w:rPr>
        <w:t>5</w:t>
      </w:r>
      <w:r w:rsidRPr="004E7223">
        <w:rPr>
          <w:b/>
          <w:bCs/>
        </w:rPr>
        <w:t>A</w:t>
      </w:r>
      <w:r w:rsidRPr="004E7223">
        <w:t xml:space="preserve"> and </w:t>
      </w:r>
      <w:r w:rsidRPr="004E7223">
        <w:rPr>
          <w:b/>
          <w:bCs/>
        </w:rPr>
        <w:t>S</w:t>
      </w:r>
      <w:r>
        <w:rPr>
          <w:b/>
          <w:bCs/>
        </w:rPr>
        <w:t>5</w:t>
      </w:r>
      <w:r w:rsidRPr="004E7223">
        <w:rPr>
          <w:b/>
          <w:bCs/>
        </w:rPr>
        <w:t>C</w:t>
      </w:r>
      <w:r w:rsidRPr="004E7223">
        <w:t xml:space="preserve"> as compared with </w:t>
      </w:r>
      <w:r w:rsidRPr="004E7223">
        <w:rPr>
          <w:b/>
          <w:bCs/>
        </w:rPr>
        <w:t>Figures S</w:t>
      </w:r>
      <w:r>
        <w:rPr>
          <w:b/>
          <w:bCs/>
        </w:rPr>
        <w:t>5</w:t>
      </w:r>
      <w:r w:rsidRPr="004E7223">
        <w:rPr>
          <w:b/>
          <w:bCs/>
        </w:rPr>
        <w:t>B</w:t>
      </w:r>
      <w:r w:rsidRPr="004E7223">
        <w:t xml:space="preserve"> and </w:t>
      </w:r>
      <w:r w:rsidRPr="004E7223">
        <w:rPr>
          <w:b/>
          <w:bCs/>
        </w:rPr>
        <w:t>S</w:t>
      </w:r>
      <w:r>
        <w:rPr>
          <w:b/>
          <w:bCs/>
        </w:rPr>
        <w:t>5</w:t>
      </w:r>
      <w:r w:rsidRPr="004E7223">
        <w:rPr>
          <w:b/>
          <w:bCs/>
        </w:rPr>
        <w:t>D</w:t>
      </w:r>
      <w:r w:rsidRPr="004E7223">
        <w:t xml:space="preserve">). The behavior of the two probes after storage for 24 </w:t>
      </w:r>
      <w:r w:rsidR="00821EA8">
        <w:t>h</w:t>
      </w:r>
      <w:r w:rsidRPr="004E7223">
        <w:t xml:space="preserve"> at room temperature was also different. Thus, the radiant efficiency decreased more pronouncedly for ICG as compared with </w:t>
      </w:r>
      <w:proofErr w:type="spellStart"/>
      <w:r w:rsidRPr="004E7223">
        <w:t>Rhodamine</w:t>
      </w:r>
      <w:proofErr w:type="spellEnd"/>
      <w:r w:rsidRPr="004E7223">
        <w:t xml:space="preserve">. Linear regression analysis indicated that R2 varied from 0.8752 to 0.9965 for ICG and from 0.7027 to 0.8678 for </w:t>
      </w:r>
      <w:proofErr w:type="spellStart"/>
      <w:r w:rsidRPr="004E7223">
        <w:t>Rhodamine</w:t>
      </w:r>
      <w:proofErr w:type="spellEnd"/>
      <w:r w:rsidRPr="004E7223">
        <w:t>. These results indicated a better linearity of the signal for the investigated range of concentrations in the case of ICG, an important criterion to be met for quantitating the accumulation of nanoparticles. Of note, at ICG concentrations higher than 60 µM, the signal started to decrease, probably as a consequence of fluorescence quenching (</w:t>
      </w:r>
      <w:r w:rsidRPr="004E7223">
        <w:rPr>
          <w:b/>
          <w:bCs/>
        </w:rPr>
        <w:t>Figure S</w:t>
      </w:r>
      <w:r>
        <w:rPr>
          <w:b/>
          <w:bCs/>
        </w:rPr>
        <w:t>3</w:t>
      </w:r>
      <w:r w:rsidRPr="004E7223">
        <w:t>).</w:t>
      </w:r>
    </w:p>
    <w:p w14:paraId="4A85DD20" w14:textId="77777777" w:rsidR="00AE47DB" w:rsidRPr="00212CCB" w:rsidRDefault="00AE47DB" w:rsidP="002B5481">
      <w:pPr>
        <w:pStyle w:val="MDPI52figure"/>
      </w:pPr>
      <w:r>
        <w:rPr>
          <w:noProof/>
          <w:lang w:eastAsia="zh-CN" w:bidi="ar-SA"/>
        </w:rPr>
        <w:drawing>
          <wp:inline distT="0" distB="0" distL="0" distR="0" wp14:anchorId="034C2A4F" wp14:editId="6ED0BD14">
            <wp:extent cx="5057974" cy="2568449"/>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81433" cy="2580361"/>
                    </a:xfrm>
                    <a:prstGeom prst="rect">
                      <a:avLst/>
                    </a:prstGeom>
                  </pic:spPr>
                </pic:pic>
              </a:graphicData>
            </a:graphic>
          </wp:inline>
        </w:drawing>
      </w:r>
    </w:p>
    <w:p w14:paraId="0C80E9AC" w14:textId="0D670DD4" w:rsidR="00AE47DB" w:rsidRDefault="002B5481" w:rsidP="002B5481">
      <w:pPr>
        <w:pStyle w:val="MDPI51figurecaption"/>
      </w:pPr>
      <w:r w:rsidRPr="002B5481">
        <w:rPr>
          <w:b/>
          <w:bCs/>
        </w:rPr>
        <w:lastRenderedPageBreak/>
        <w:t xml:space="preserve">Figure </w:t>
      </w:r>
      <w:r>
        <w:rPr>
          <w:b/>
          <w:bCs/>
        </w:rPr>
        <w:t>S</w:t>
      </w:r>
      <w:r w:rsidRPr="002B5481">
        <w:rPr>
          <w:b/>
          <w:bCs/>
        </w:rPr>
        <w:t xml:space="preserve">5. </w:t>
      </w:r>
      <w:r w:rsidR="00AE47DB" w:rsidRPr="007F07AE">
        <w:t xml:space="preserve">Radiant efficiency of ICG (A, C) compared with </w:t>
      </w:r>
      <w:proofErr w:type="spellStart"/>
      <w:r w:rsidR="00AE47DB" w:rsidRPr="007F07AE">
        <w:t>Rhodamine</w:t>
      </w:r>
      <w:proofErr w:type="spellEnd"/>
      <w:r w:rsidR="00AE47DB" w:rsidRPr="007F07AE">
        <w:t xml:space="preserve"> (B, D) as a fluorescent probe for the </w:t>
      </w:r>
      <w:proofErr w:type="spellStart"/>
      <w:r w:rsidR="00AE47DB" w:rsidRPr="007F07AE">
        <w:t>naringenin</w:t>
      </w:r>
      <w:proofErr w:type="spellEnd"/>
      <w:r w:rsidR="00AE47DB" w:rsidRPr="007F07AE">
        <w:t xml:space="preserve">-loaded </w:t>
      </w:r>
      <w:proofErr w:type="spellStart"/>
      <w:r w:rsidR="00AE47DB" w:rsidRPr="007F07AE">
        <w:t>nanoemulsions</w:t>
      </w:r>
      <w:proofErr w:type="spellEnd"/>
      <w:r w:rsidR="00AE47DB" w:rsidRPr="007F07AE">
        <w:t xml:space="preserve">. The radiant efficiency of </w:t>
      </w:r>
      <w:proofErr w:type="spellStart"/>
      <w:r w:rsidR="00AE47DB">
        <w:t>naringenin</w:t>
      </w:r>
      <w:proofErr w:type="spellEnd"/>
      <w:r w:rsidR="00AE47DB">
        <w:t xml:space="preserve">-loaded </w:t>
      </w:r>
      <w:proofErr w:type="spellStart"/>
      <w:r w:rsidR="00AE47DB">
        <w:t>nanoemulsions</w:t>
      </w:r>
      <w:proofErr w:type="spellEnd"/>
      <w:r w:rsidR="00AE47DB" w:rsidRPr="007F07AE">
        <w:t xml:space="preserve"> labeled with ICG or </w:t>
      </w:r>
      <w:proofErr w:type="spellStart"/>
      <w:r w:rsidR="00AE47DB" w:rsidRPr="007F07AE">
        <w:t>Rhodamine</w:t>
      </w:r>
      <w:proofErr w:type="spellEnd"/>
      <w:r w:rsidR="00AE47DB" w:rsidRPr="007F07AE">
        <w:t>-PE incubated in 50% FBS in PBS was measured with an IVIS Spectrum Caliper 200 system. The upper panels (A,</w:t>
      </w:r>
      <w:r w:rsidR="00AE47DB">
        <w:t xml:space="preserve"> </w:t>
      </w:r>
      <w:r w:rsidR="00AE47DB" w:rsidRPr="007F07AE">
        <w:t xml:space="preserve">B) illustrate the radiant efficiencies of ICG, respectively </w:t>
      </w:r>
      <w:proofErr w:type="spellStart"/>
      <w:r w:rsidR="00AE47DB" w:rsidRPr="007F07AE">
        <w:t>Rhodamine</w:t>
      </w:r>
      <w:proofErr w:type="spellEnd"/>
      <w:r w:rsidR="00AE47DB" w:rsidRPr="007F07AE">
        <w:t xml:space="preserve"> for the indicated concentrations at the initial time point. The lower panels (C,</w:t>
      </w:r>
      <w:r w:rsidR="00AE47DB">
        <w:t xml:space="preserve"> </w:t>
      </w:r>
      <w:r w:rsidR="00AE47DB" w:rsidRPr="007F07AE">
        <w:t xml:space="preserve">D) depict graphical representations of the radiant efficiencies of </w:t>
      </w:r>
      <w:proofErr w:type="spellStart"/>
      <w:r w:rsidR="00AE47DB">
        <w:t>naringenin</w:t>
      </w:r>
      <w:proofErr w:type="spellEnd"/>
      <w:r w:rsidR="00AE47DB">
        <w:t xml:space="preserve">-loaded </w:t>
      </w:r>
      <w:proofErr w:type="spellStart"/>
      <w:r w:rsidR="00AE47DB">
        <w:t>nanoemulsions</w:t>
      </w:r>
      <w:proofErr w:type="spellEnd"/>
      <w:r w:rsidR="00AE47DB" w:rsidRPr="007F07AE">
        <w:t xml:space="preserve"> with increasing concentrations of the fluorescent probe at the initial time (T</w:t>
      </w:r>
      <w:r w:rsidR="00AE47DB">
        <w:rPr>
          <w:vertAlign w:val="subscript"/>
        </w:rPr>
        <w:t>0</w:t>
      </w:r>
      <w:r w:rsidR="00AE47DB" w:rsidRPr="007F07AE">
        <w:t xml:space="preserve">) and after storage for 24 </w:t>
      </w:r>
      <w:r w:rsidR="00821EA8">
        <w:t>h</w:t>
      </w:r>
      <w:r w:rsidR="00AE47DB" w:rsidRPr="007F07AE">
        <w:t xml:space="preserve"> at room temperature.</w:t>
      </w:r>
    </w:p>
    <w:p w14:paraId="0FD355EE" w14:textId="63DC8001" w:rsidR="004E7223" w:rsidRPr="002B5481" w:rsidRDefault="00AE47DB" w:rsidP="002B5481">
      <w:pPr>
        <w:pStyle w:val="MDPI31text"/>
        <w:rPr>
          <w:sz w:val="18"/>
          <w:szCs w:val="18"/>
        </w:rPr>
      </w:pPr>
      <w:r>
        <w:t xml:space="preserve">Thus, </w:t>
      </w:r>
      <w:r w:rsidRPr="00F04E7A">
        <w:t xml:space="preserve">ICG-loaded </w:t>
      </w:r>
      <w:proofErr w:type="spellStart"/>
      <w:r w:rsidRPr="00F04E7A">
        <w:t>nanoemulsions</w:t>
      </w:r>
      <w:proofErr w:type="spellEnd"/>
      <w:r>
        <w:t xml:space="preserve"> displayed a dose-dependent fluorescent signal in the presence of 50% FBS, although it underwent a diminution upon 24 h storage at room temperature, in the dark. It was noticed that the decrease in the signal at 24 </w:t>
      </w:r>
      <w:r w:rsidR="00821EA8">
        <w:t>h</w:t>
      </w:r>
      <w:r>
        <w:t xml:space="preserve"> correlated inversely with ICG concentration such that at 60 µM the signal retained ~90% of its initial value. </w:t>
      </w:r>
      <w:r w:rsidRPr="00727002">
        <w:t>This agrees with the fact that concentrated ICG solutions are more stable [2].</w:t>
      </w:r>
      <w:bookmarkEnd w:id="2"/>
      <w:bookmarkEnd w:id="3"/>
      <w:bookmarkEnd w:id="4"/>
      <w:bookmarkEnd w:id="5"/>
    </w:p>
    <w:p w14:paraId="79BD4070" w14:textId="6DC724B1" w:rsidR="0048748C" w:rsidRPr="0048748C" w:rsidRDefault="002B5481" w:rsidP="002B5481">
      <w:pPr>
        <w:pStyle w:val="MDPI21heading1"/>
      </w:pPr>
      <w:r>
        <w:t xml:space="preserve">4. </w:t>
      </w:r>
      <w:proofErr w:type="spellStart"/>
      <w:r w:rsidR="0048748C" w:rsidRPr="0048748C">
        <w:t>Biodistribution</w:t>
      </w:r>
      <w:proofErr w:type="spellEnd"/>
      <w:r w:rsidR="0048748C" w:rsidRPr="0048748C">
        <w:t xml:space="preserve"> of </w:t>
      </w:r>
      <w:proofErr w:type="spellStart"/>
      <w:r w:rsidR="0048748C" w:rsidRPr="0048748C">
        <w:t>naringenin</w:t>
      </w:r>
      <w:proofErr w:type="spellEnd"/>
      <w:r w:rsidR="0048748C" w:rsidRPr="0048748C">
        <w:t xml:space="preserve">/ICG-loaded </w:t>
      </w:r>
      <w:proofErr w:type="spellStart"/>
      <w:r w:rsidR="0048748C" w:rsidRPr="0048748C">
        <w:t>nanoemulsions</w:t>
      </w:r>
      <w:proofErr w:type="spellEnd"/>
    </w:p>
    <w:p w14:paraId="6C5DFF39" w14:textId="0E46F6A0" w:rsidR="0048748C" w:rsidRDefault="0048748C" w:rsidP="002B5481">
      <w:pPr>
        <w:pStyle w:val="MDPI31text"/>
        <w:rPr>
          <w:bCs/>
        </w:rPr>
      </w:pPr>
      <w:r w:rsidRPr="0048748C">
        <w:t xml:space="preserve">The raw values of the radiant efficiencies per g tissue, averaged per experimental groups, are summarized in </w:t>
      </w:r>
      <w:r w:rsidRPr="0048748C">
        <w:rPr>
          <w:bCs/>
        </w:rPr>
        <w:t>Table S2.</w:t>
      </w:r>
    </w:p>
    <w:p w14:paraId="6045D1F3" w14:textId="732CED32" w:rsidR="004E7223" w:rsidRPr="0048748C" w:rsidRDefault="004E7223" w:rsidP="002B5481">
      <w:pPr>
        <w:pStyle w:val="MDPI31text"/>
      </w:pPr>
      <w:r w:rsidRPr="0048748C">
        <w:t xml:space="preserve">The control for </w:t>
      </w:r>
      <w:proofErr w:type="spellStart"/>
      <w:r w:rsidRPr="0048748C">
        <w:t>autofluorescence</w:t>
      </w:r>
      <w:proofErr w:type="spellEnd"/>
      <w:r w:rsidRPr="0048748C">
        <w:t xml:space="preserve"> was represented by the PBS and LPS animals, which did not receive ICG and had similar radiant efficiencies in all organs. However, the </w:t>
      </w:r>
      <w:proofErr w:type="spellStart"/>
      <w:r w:rsidRPr="0048748C">
        <w:t>autofluorescence</w:t>
      </w:r>
      <w:proofErr w:type="spellEnd"/>
      <w:r w:rsidRPr="0048748C">
        <w:t xml:space="preserve"> level varied significantly acros</w:t>
      </w:r>
      <w:r w:rsidR="00333D63">
        <w:t>s the organs, from as low as 10</w:t>
      </w:r>
      <w:r w:rsidRPr="0048748C">
        <w:t xml:space="preserve">% in the spleen to as much as 85% in the aorta, whereby percentages were calculated based on the values for the Nar/ICG/LN group. </w:t>
      </w:r>
    </w:p>
    <w:p w14:paraId="37C94AD6" w14:textId="58F2A5C5" w:rsidR="0048748C" w:rsidRPr="00E53A4A" w:rsidRDefault="002B5481" w:rsidP="00E53A4A">
      <w:pPr>
        <w:pStyle w:val="MDPI41tablecaption"/>
      </w:pPr>
      <w:r w:rsidRPr="002B5481">
        <w:rPr>
          <w:b/>
        </w:rPr>
        <w:t xml:space="preserve">Table </w:t>
      </w:r>
      <w:r>
        <w:rPr>
          <w:b/>
        </w:rPr>
        <w:t>S</w:t>
      </w:r>
      <w:r w:rsidRPr="002B5481">
        <w:rPr>
          <w:b/>
        </w:rPr>
        <w:t xml:space="preserve">2. </w:t>
      </w:r>
      <w:r w:rsidR="0048748C" w:rsidRPr="004E7223">
        <w:t xml:space="preserve">Radiant efficiencies (per g tissue), based on ICG fluorescence, of the organs from mice with LPS-induced inflammation, which received non-targeted (Nar/ ICG /LN) or VCAM-1 targeted (V-Nar/ICG/LN) </w:t>
      </w:r>
      <w:proofErr w:type="spellStart"/>
      <w:r w:rsidR="0048748C" w:rsidRPr="004E7223">
        <w:t>nanoemulsions</w:t>
      </w:r>
      <w:proofErr w:type="spellEnd"/>
      <w:r w:rsidR="0048748C" w:rsidRPr="004E7223">
        <w:t xml:space="preserve">, at one-hour post-injection. Control (of </w:t>
      </w:r>
      <w:proofErr w:type="spellStart"/>
      <w:r w:rsidR="0048748C" w:rsidRPr="004E7223">
        <w:t>autofluorescence</w:t>
      </w:r>
      <w:proofErr w:type="spellEnd"/>
      <w:r w:rsidR="0048748C" w:rsidRPr="004E7223">
        <w:t>) is represented by PBS- and LPS-injected animals.</w:t>
      </w:r>
      <w:r>
        <w:br w:type="page"/>
      </w:r>
    </w:p>
    <w:tbl>
      <w:tblPr>
        <w:tblStyle w:val="PlainTable2"/>
        <w:tblW w:w="0" w:type="auto"/>
        <w:jc w:val="center"/>
        <w:tblLook w:val="04A0" w:firstRow="1" w:lastRow="0" w:firstColumn="1" w:lastColumn="0" w:noHBand="0" w:noVBand="1"/>
      </w:tblPr>
      <w:tblGrid>
        <w:gridCol w:w="2640"/>
        <w:gridCol w:w="2212"/>
        <w:gridCol w:w="1423"/>
        <w:gridCol w:w="1578"/>
      </w:tblGrid>
      <w:tr w:rsidR="0048748C" w:rsidRPr="002B5481" w14:paraId="1A101659" w14:textId="77777777" w:rsidTr="002B548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8" w:space="0" w:color="auto"/>
              <w:bottom w:val="single" w:sz="4" w:space="0" w:color="auto"/>
            </w:tcBorders>
            <w:shd w:val="clear" w:color="auto" w:fill="auto"/>
            <w:vAlign w:val="center"/>
          </w:tcPr>
          <w:p w14:paraId="5D76F568"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sz w:val="20"/>
                <w:szCs w:val="20"/>
              </w:rPr>
            </w:pPr>
            <w:r w:rsidRPr="002B5481">
              <w:rPr>
                <w:rFonts w:ascii="Palatino Linotype" w:hAnsi="Palatino Linotype" w:cs="Times New Roman"/>
                <w:sz w:val="20"/>
                <w:szCs w:val="20"/>
              </w:rPr>
              <w:lastRenderedPageBreak/>
              <w:t>Radiant efficiency/g tissue</w:t>
            </w:r>
          </w:p>
        </w:tc>
        <w:tc>
          <w:tcPr>
            <w:tcW w:w="0" w:type="auto"/>
            <w:tcBorders>
              <w:top w:val="single" w:sz="8" w:space="0" w:color="auto"/>
              <w:bottom w:val="single" w:sz="4" w:space="0" w:color="auto"/>
            </w:tcBorders>
            <w:shd w:val="clear" w:color="auto" w:fill="auto"/>
            <w:vAlign w:val="center"/>
          </w:tcPr>
          <w:p w14:paraId="37B18B98" w14:textId="77777777" w:rsidR="0048748C" w:rsidRPr="002B5481" w:rsidRDefault="0048748C" w:rsidP="002B5481">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bCs w:val="0"/>
                <w:sz w:val="20"/>
                <w:szCs w:val="20"/>
              </w:rPr>
            </w:pPr>
            <w:r w:rsidRPr="002B5481">
              <w:rPr>
                <w:rFonts w:ascii="Palatino Linotype" w:hAnsi="Palatino Linotype" w:cs="Times New Roman"/>
                <w:sz w:val="20"/>
                <w:szCs w:val="20"/>
              </w:rPr>
              <w:t>Control</w:t>
            </w:r>
          </w:p>
          <w:p w14:paraId="314526E1" w14:textId="77777777" w:rsidR="0048748C" w:rsidRPr="002B5481" w:rsidRDefault="0048748C" w:rsidP="002B5481">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 from Nar/ICG/LN)</w:t>
            </w:r>
          </w:p>
        </w:tc>
        <w:tc>
          <w:tcPr>
            <w:tcW w:w="0" w:type="auto"/>
            <w:tcBorders>
              <w:top w:val="single" w:sz="8" w:space="0" w:color="auto"/>
              <w:bottom w:val="single" w:sz="4" w:space="0" w:color="auto"/>
            </w:tcBorders>
            <w:shd w:val="clear" w:color="auto" w:fill="auto"/>
            <w:vAlign w:val="center"/>
          </w:tcPr>
          <w:p w14:paraId="44F1455A" w14:textId="77777777" w:rsidR="0048748C" w:rsidRPr="002B5481" w:rsidRDefault="0048748C" w:rsidP="002B5481">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Nar/ICG/LN</w:t>
            </w:r>
          </w:p>
        </w:tc>
        <w:tc>
          <w:tcPr>
            <w:tcW w:w="0" w:type="auto"/>
            <w:tcBorders>
              <w:top w:val="single" w:sz="8" w:space="0" w:color="auto"/>
              <w:bottom w:val="single" w:sz="4" w:space="0" w:color="auto"/>
            </w:tcBorders>
            <w:shd w:val="clear" w:color="auto" w:fill="auto"/>
            <w:vAlign w:val="center"/>
          </w:tcPr>
          <w:p w14:paraId="76FE6FB3" w14:textId="77777777" w:rsidR="0048748C" w:rsidRPr="002B5481" w:rsidRDefault="0048748C" w:rsidP="002B5481">
            <w:pPr>
              <w:autoSpaceDE w:val="0"/>
              <w:autoSpaceDN w:val="0"/>
              <w:adjustRightInd w:val="0"/>
              <w:snapToGrid w:val="0"/>
              <w:spacing w:line="240" w:lineRule="auto"/>
              <w:jc w:val="center"/>
              <w:cnfStyle w:val="100000000000" w:firstRow="1"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V-Nar/ICG/LN</w:t>
            </w:r>
          </w:p>
        </w:tc>
      </w:tr>
      <w:tr w:rsidR="0048748C" w:rsidRPr="002B5481" w14:paraId="3FFAF0C3" w14:textId="77777777" w:rsidTr="002B54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nil"/>
            </w:tcBorders>
            <w:shd w:val="clear" w:color="auto" w:fill="auto"/>
            <w:vAlign w:val="center"/>
          </w:tcPr>
          <w:p w14:paraId="76361298"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b w:val="0"/>
                <w:sz w:val="20"/>
                <w:szCs w:val="20"/>
              </w:rPr>
            </w:pPr>
            <w:r w:rsidRPr="002B5481">
              <w:rPr>
                <w:rFonts w:ascii="Palatino Linotype" w:hAnsi="Palatino Linotype" w:cs="Times New Roman"/>
                <w:sz w:val="20"/>
                <w:szCs w:val="20"/>
              </w:rPr>
              <w:t>Plasma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8</w:t>
            </w:r>
            <w:r w:rsidRPr="002B5481">
              <w:rPr>
                <w:rFonts w:ascii="Palatino Linotype" w:hAnsi="Palatino Linotype" w:cs="Times New Roman"/>
                <w:sz w:val="20"/>
                <w:szCs w:val="20"/>
                <w:shd w:val="clear" w:color="auto" w:fill="FFFFFF"/>
              </w:rPr>
              <w:t>)</w:t>
            </w:r>
          </w:p>
        </w:tc>
        <w:tc>
          <w:tcPr>
            <w:tcW w:w="0" w:type="auto"/>
            <w:tcBorders>
              <w:top w:val="single" w:sz="4" w:space="0" w:color="auto"/>
              <w:bottom w:val="nil"/>
            </w:tcBorders>
            <w:shd w:val="clear" w:color="auto" w:fill="auto"/>
            <w:vAlign w:val="center"/>
          </w:tcPr>
          <w:p w14:paraId="13744F40"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1.041 ± 0.049 (27%)</w:t>
            </w:r>
          </w:p>
        </w:tc>
        <w:tc>
          <w:tcPr>
            <w:tcW w:w="0" w:type="auto"/>
            <w:tcBorders>
              <w:top w:val="single" w:sz="4" w:space="0" w:color="auto"/>
              <w:bottom w:val="nil"/>
            </w:tcBorders>
            <w:shd w:val="clear" w:color="auto" w:fill="auto"/>
            <w:vAlign w:val="center"/>
          </w:tcPr>
          <w:p w14:paraId="701111CE"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 xml:space="preserve">  3.85 ± 0.127</w:t>
            </w:r>
          </w:p>
        </w:tc>
        <w:tc>
          <w:tcPr>
            <w:tcW w:w="0" w:type="auto"/>
            <w:tcBorders>
              <w:top w:val="single" w:sz="4" w:space="0" w:color="auto"/>
              <w:bottom w:val="nil"/>
            </w:tcBorders>
            <w:shd w:val="clear" w:color="auto" w:fill="auto"/>
            <w:vAlign w:val="center"/>
          </w:tcPr>
          <w:p w14:paraId="59E4F795"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3.253 ± 0.198</w:t>
            </w:r>
          </w:p>
        </w:tc>
      </w:tr>
      <w:tr w:rsidR="0048748C" w:rsidRPr="002B5481" w14:paraId="15D6F0DF" w14:textId="77777777" w:rsidTr="002B5481">
        <w:trPr>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shd w:val="clear" w:color="auto" w:fill="auto"/>
            <w:vAlign w:val="center"/>
          </w:tcPr>
          <w:p w14:paraId="18F33652"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b w:val="0"/>
                <w:sz w:val="20"/>
                <w:szCs w:val="20"/>
              </w:rPr>
            </w:pPr>
            <w:r w:rsidRPr="002B5481">
              <w:rPr>
                <w:rFonts w:ascii="Palatino Linotype" w:hAnsi="Palatino Linotype" w:cs="Times New Roman"/>
                <w:sz w:val="20"/>
                <w:szCs w:val="20"/>
              </w:rPr>
              <w:t>Spleen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8</w:t>
            </w:r>
            <w:r w:rsidRPr="002B5481">
              <w:rPr>
                <w:rFonts w:ascii="Palatino Linotype" w:hAnsi="Palatino Linotype" w:cs="Times New Roman"/>
                <w:sz w:val="20"/>
                <w:szCs w:val="20"/>
                <w:shd w:val="clear" w:color="auto" w:fill="FFFFFF"/>
              </w:rPr>
              <w:t>)</w:t>
            </w:r>
          </w:p>
        </w:tc>
        <w:tc>
          <w:tcPr>
            <w:tcW w:w="0" w:type="auto"/>
            <w:tcBorders>
              <w:top w:val="nil"/>
              <w:bottom w:val="nil"/>
            </w:tcBorders>
            <w:shd w:val="clear" w:color="auto" w:fill="auto"/>
            <w:vAlign w:val="center"/>
          </w:tcPr>
          <w:p w14:paraId="45779439"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0.141 ± 0.009 (10%)</w:t>
            </w:r>
          </w:p>
        </w:tc>
        <w:tc>
          <w:tcPr>
            <w:tcW w:w="0" w:type="auto"/>
            <w:tcBorders>
              <w:top w:val="nil"/>
              <w:bottom w:val="nil"/>
            </w:tcBorders>
            <w:shd w:val="clear" w:color="auto" w:fill="auto"/>
            <w:vAlign w:val="center"/>
          </w:tcPr>
          <w:p w14:paraId="177E1D89"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1.416 ± 0.310</w:t>
            </w:r>
          </w:p>
        </w:tc>
        <w:tc>
          <w:tcPr>
            <w:tcW w:w="0" w:type="auto"/>
            <w:tcBorders>
              <w:top w:val="nil"/>
              <w:bottom w:val="nil"/>
            </w:tcBorders>
            <w:shd w:val="clear" w:color="auto" w:fill="auto"/>
            <w:vAlign w:val="center"/>
          </w:tcPr>
          <w:p w14:paraId="5C3FC78A"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1.953 ± 0.424</w:t>
            </w:r>
          </w:p>
        </w:tc>
      </w:tr>
      <w:tr w:rsidR="0048748C" w:rsidRPr="002B5481" w14:paraId="4DCC6932" w14:textId="77777777" w:rsidTr="002B54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shd w:val="clear" w:color="auto" w:fill="auto"/>
            <w:vAlign w:val="center"/>
          </w:tcPr>
          <w:p w14:paraId="71E35886"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b w:val="0"/>
                <w:sz w:val="20"/>
                <w:szCs w:val="20"/>
              </w:rPr>
            </w:pPr>
            <w:r w:rsidRPr="002B5481">
              <w:rPr>
                <w:rFonts w:ascii="Palatino Linotype" w:hAnsi="Palatino Linotype" w:cs="Times New Roman"/>
                <w:sz w:val="20"/>
                <w:szCs w:val="20"/>
              </w:rPr>
              <w:t>Aortic root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8</w:t>
            </w:r>
            <w:r w:rsidRPr="002B5481">
              <w:rPr>
                <w:rFonts w:ascii="Palatino Linotype" w:hAnsi="Palatino Linotype" w:cs="Times New Roman"/>
                <w:sz w:val="20"/>
                <w:szCs w:val="20"/>
                <w:shd w:val="clear" w:color="auto" w:fill="FFFFFF"/>
              </w:rPr>
              <w:t>)</w:t>
            </w:r>
          </w:p>
        </w:tc>
        <w:tc>
          <w:tcPr>
            <w:tcW w:w="0" w:type="auto"/>
            <w:tcBorders>
              <w:top w:val="nil"/>
              <w:bottom w:val="nil"/>
            </w:tcBorders>
            <w:shd w:val="clear" w:color="auto" w:fill="auto"/>
            <w:vAlign w:val="center"/>
          </w:tcPr>
          <w:p w14:paraId="39C811C1"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0.302 ± 0.009 (19%)</w:t>
            </w:r>
          </w:p>
        </w:tc>
        <w:tc>
          <w:tcPr>
            <w:tcW w:w="0" w:type="auto"/>
            <w:tcBorders>
              <w:top w:val="nil"/>
              <w:bottom w:val="nil"/>
            </w:tcBorders>
            <w:shd w:val="clear" w:color="auto" w:fill="auto"/>
            <w:vAlign w:val="center"/>
          </w:tcPr>
          <w:p w14:paraId="4B5DE35E"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1.550 ± 0.270</w:t>
            </w:r>
          </w:p>
        </w:tc>
        <w:tc>
          <w:tcPr>
            <w:tcW w:w="0" w:type="auto"/>
            <w:tcBorders>
              <w:top w:val="nil"/>
              <w:bottom w:val="nil"/>
            </w:tcBorders>
            <w:shd w:val="clear" w:color="auto" w:fill="auto"/>
            <w:vAlign w:val="center"/>
          </w:tcPr>
          <w:p w14:paraId="6BE86736"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2.400 ± 0.255</w:t>
            </w:r>
          </w:p>
        </w:tc>
      </w:tr>
      <w:tr w:rsidR="0048748C" w:rsidRPr="002B5481" w14:paraId="1E82BECA" w14:textId="77777777" w:rsidTr="002B5481">
        <w:trPr>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shd w:val="clear" w:color="auto" w:fill="auto"/>
            <w:vAlign w:val="center"/>
          </w:tcPr>
          <w:p w14:paraId="35EC7044"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b w:val="0"/>
                <w:sz w:val="20"/>
                <w:szCs w:val="20"/>
              </w:rPr>
            </w:pPr>
            <w:r w:rsidRPr="002B5481">
              <w:rPr>
                <w:rFonts w:ascii="Palatino Linotype" w:hAnsi="Palatino Linotype" w:cs="Times New Roman"/>
                <w:sz w:val="20"/>
                <w:szCs w:val="20"/>
              </w:rPr>
              <w:t>Aorta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7</w:t>
            </w:r>
            <w:r w:rsidRPr="002B5481">
              <w:rPr>
                <w:rFonts w:ascii="Palatino Linotype" w:hAnsi="Palatino Linotype" w:cs="Times New Roman"/>
                <w:sz w:val="20"/>
                <w:szCs w:val="20"/>
                <w:shd w:val="clear" w:color="auto" w:fill="FFFFFF"/>
              </w:rPr>
              <w:t>)</w:t>
            </w:r>
          </w:p>
        </w:tc>
        <w:tc>
          <w:tcPr>
            <w:tcW w:w="0" w:type="auto"/>
            <w:tcBorders>
              <w:top w:val="nil"/>
              <w:bottom w:val="nil"/>
            </w:tcBorders>
            <w:shd w:val="clear" w:color="auto" w:fill="auto"/>
            <w:vAlign w:val="center"/>
          </w:tcPr>
          <w:p w14:paraId="4A9BB705"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4.985 ± 0.015 (85%)</w:t>
            </w:r>
          </w:p>
        </w:tc>
        <w:tc>
          <w:tcPr>
            <w:tcW w:w="0" w:type="auto"/>
            <w:tcBorders>
              <w:top w:val="nil"/>
              <w:bottom w:val="nil"/>
            </w:tcBorders>
            <w:shd w:val="clear" w:color="auto" w:fill="auto"/>
            <w:vAlign w:val="center"/>
          </w:tcPr>
          <w:p w14:paraId="52C91E3F"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5.927 ± 0.698</w:t>
            </w:r>
          </w:p>
        </w:tc>
        <w:tc>
          <w:tcPr>
            <w:tcW w:w="0" w:type="auto"/>
            <w:tcBorders>
              <w:top w:val="nil"/>
              <w:bottom w:val="nil"/>
            </w:tcBorders>
            <w:shd w:val="clear" w:color="auto" w:fill="auto"/>
            <w:vAlign w:val="center"/>
          </w:tcPr>
          <w:p w14:paraId="089A3227"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7.860 ± 0.627</w:t>
            </w:r>
          </w:p>
        </w:tc>
      </w:tr>
      <w:tr w:rsidR="0048748C" w:rsidRPr="002B5481" w14:paraId="75A52D57" w14:textId="77777777" w:rsidTr="002B54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shd w:val="clear" w:color="auto" w:fill="auto"/>
            <w:vAlign w:val="center"/>
          </w:tcPr>
          <w:p w14:paraId="18DDFCD7"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b w:val="0"/>
                <w:sz w:val="20"/>
                <w:szCs w:val="20"/>
              </w:rPr>
            </w:pPr>
            <w:r w:rsidRPr="002B5481">
              <w:rPr>
                <w:rFonts w:ascii="Palatino Linotype" w:hAnsi="Palatino Linotype" w:cs="Times New Roman"/>
                <w:sz w:val="20"/>
                <w:szCs w:val="20"/>
              </w:rPr>
              <w:t>Liver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7</w:t>
            </w:r>
            <w:r w:rsidRPr="002B5481">
              <w:rPr>
                <w:rFonts w:ascii="Palatino Linotype" w:hAnsi="Palatino Linotype" w:cs="Times New Roman"/>
                <w:sz w:val="20"/>
                <w:szCs w:val="20"/>
                <w:shd w:val="clear" w:color="auto" w:fill="FFFFFF"/>
              </w:rPr>
              <w:t>)</w:t>
            </w:r>
          </w:p>
        </w:tc>
        <w:tc>
          <w:tcPr>
            <w:tcW w:w="0" w:type="auto"/>
            <w:tcBorders>
              <w:top w:val="nil"/>
              <w:bottom w:val="nil"/>
            </w:tcBorders>
            <w:shd w:val="clear" w:color="auto" w:fill="auto"/>
            <w:vAlign w:val="center"/>
          </w:tcPr>
          <w:p w14:paraId="17397317"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0.370 ± 0.025 (13%)</w:t>
            </w:r>
          </w:p>
        </w:tc>
        <w:tc>
          <w:tcPr>
            <w:tcW w:w="0" w:type="auto"/>
            <w:tcBorders>
              <w:top w:val="nil"/>
              <w:bottom w:val="nil"/>
            </w:tcBorders>
            <w:shd w:val="clear" w:color="auto" w:fill="auto"/>
            <w:vAlign w:val="center"/>
          </w:tcPr>
          <w:p w14:paraId="1200E890"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2.890 ± 0.225</w:t>
            </w:r>
          </w:p>
        </w:tc>
        <w:tc>
          <w:tcPr>
            <w:tcW w:w="0" w:type="auto"/>
            <w:tcBorders>
              <w:top w:val="nil"/>
              <w:bottom w:val="nil"/>
            </w:tcBorders>
            <w:shd w:val="clear" w:color="auto" w:fill="auto"/>
            <w:vAlign w:val="center"/>
          </w:tcPr>
          <w:p w14:paraId="47E6A06C"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2.790 ± 0.235</w:t>
            </w:r>
          </w:p>
        </w:tc>
      </w:tr>
      <w:tr w:rsidR="0048748C" w:rsidRPr="002B5481" w14:paraId="71682576" w14:textId="77777777" w:rsidTr="002B5481">
        <w:trPr>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shd w:val="clear" w:color="auto" w:fill="auto"/>
            <w:vAlign w:val="center"/>
          </w:tcPr>
          <w:p w14:paraId="5CC96834"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b w:val="0"/>
                <w:sz w:val="20"/>
                <w:szCs w:val="20"/>
              </w:rPr>
            </w:pPr>
            <w:r w:rsidRPr="002B5481">
              <w:rPr>
                <w:rFonts w:ascii="Palatino Linotype" w:hAnsi="Palatino Linotype" w:cs="Times New Roman"/>
                <w:sz w:val="20"/>
                <w:szCs w:val="20"/>
              </w:rPr>
              <w:t>Heart + aorta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7</w:t>
            </w:r>
            <w:r w:rsidRPr="002B5481">
              <w:rPr>
                <w:rFonts w:ascii="Palatino Linotype" w:hAnsi="Palatino Linotype" w:cs="Times New Roman"/>
                <w:sz w:val="20"/>
                <w:szCs w:val="20"/>
                <w:shd w:val="clear" w:color="auto" w:fill="FFFFFF"/>
              </w:rPr>
              <w:t>)</w:t>
            </w:r>
          </w:p>
        </w:tc>
        <w:tc>
          <w:tcPr>
            <w:tcW w:w="0" w:type="auto"/>
            <w:tcBorders>
              <w:top w:val="nil"/>
              <w:bottom w:val="nil"/>
            </w:tcBorders>
            <w:shd w:val="clear" w:color="auto" w:fill="auto"/>
            <w:vAlign w:val="center"/>
          </w:tcPr>
          <w:p w14:paraId="35AF67A3"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0.519 ± 0.007 (19%)</w:t>
            </w:r>
          </w:p>
        </w:tc>
        <w:tc>
          <w:tcPr>
            <w:tcW w:w="0" w:type="auto"/>
            <w:tcBorders>
              <w:top w:val="nil"/>
              <w:bottom w:val="nil"/>
            </w:tcBorders>
            <w:shd w:val="clear" w:color="auto" w:fill="auto"/>
            <w:vAlign w:val="center"/>
          </w:tcPr>
          <w:p w14:paraId="25279C67"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1.643 ± 0.147</w:t>
            </w:r>
          </w:p>
        </w:tc>
        <w:tc>
          <w:tcPr>
            <w:tcW w:w="0" w:type="auto"/>
            <w:tcBorders>
              <w:top w:val="nil"/>
              <w:bottom w:val="nil"/>
            </w:tcBorders>
            <w:shd w:val="clear" w:color="auto" w:fill="auto"/>
            <w:vAlign w:val="center"/>
          </w:tcPr>
          <w:p w14:paraId="7BA7DA21"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2.733 ± 0.230</w:t>
            </w:r>
          </w:p>
        </w:tc>
      </w:tr>
      <w:tr w:rsidR="0048748C" w:rsidRPr="002B5481" w14:paraId="31BE33FB" w14:textId="77777777" w:rsidTr="002B54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shd w:val="clear" w:color="auto" w:fill="auto"/>
            <w:vAlign w:val="center"/>
          </w:tcPr>
          <w:p w14:paraId="43721B46"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b w:val="0"/>
                <w:sz w:val="20"/>
                <w:szCs w:val="20"/>
              </w:rPr>
            </w:pPr>
            <w:r w:rsidRPr="002B5481">
              <w:rPr>
                <w:rFonts w:ascii="Palatino Linotype" w:hAnsi="Palatino Linotype" w:cs="Times New Roman"/>
                <w:sz w:val="20"/>
                <w:szCs w:val="20"/>
              </w:rPr>
              <w:t>Kidneys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7</w:t>
            </w:r>
            <w:r w:rsidRPr="002B5481">
              <w:rPr>
                <w:rFonts w:ascii="Palatino Linotype" w:hAnsi="Palatino Linotype" w:cs="Times New Roman"/>
                <w:sz w:val="20"/>
                <w:szCs w:val="20"/>
                <w:shd w:val="clear" w:color="auto" w:fill="FFFFFF"/>
              </w:rPr>
              <w:t>)</w:t>
            </w:r>
          </w:p>
        </w:tc>
        <w:tc>
          <w:tcPr>
            <w:tcW w:w="0" w:type="auto"/>
            <w:tcBorders>
              <w:top w:val="nil"/>
              <w:bottom w:val="nil"/>
            </w:tcBorders>
            <w:shd w:val="clear" w:color="auto" w:fill="auto"/>
            <w:vAlign w:val="center"/>
          </w:tcPr>
          <w:p w14:paraId="0B8D2C91"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0.450 ± 0.029 (27%)</w:t>
            </w:r>
          </w:p>
        </w:tc>
        <w:tc>
          <w:tcPr>
            <w:tcW w:w="0" w:type="auto"/>
            <w:tcBorders>
              <w:top w:val="nil"/>
              <w:bottom w:val="nil"/>
            </w:tcBorders>
            <w:shd w:val="clear" w:color="auto" w:fill="auto"/>
            <w:vAlign w:val="center"/>
          </w:tcPr>
          <w:p w14:paraId="41F36BE0"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1.610 ± 0.150</w:t>
            </w:r>
          </w:p>
        </w:tc>
        <w:tc>
          <w:tcPr>
            <w:tcW w:w="0" w:type="auto"/>
            <w:tcBorders>
              <w:top w:val="nil"/>
              <w:bottom w:val="nil"/>
            </w:tcBorders>
            <w:shd w:val="clear" w:color="auto" w:fill="auto"/>
            <w:vAlign w:val="center"/>
          </w:tcPr>
          <w:p w14:paraId="327E48DE"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1.700 ± 0.158</w:t>
            </w:r>
          </w:p>
        </w:tc>
      </w:tr>
      <w:tr w:rsidR="0048748C" w:rsidRPr="002B5481" w14:paraId="7192804C" w14:textId="77777777" w:rsidTr="002B5481">
        <w:trPr>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nil"/>
            </w:tcBorders>
            <w:shd w:val="clear" w:color="auto" w:fill="auto"/>
            <w:vAlign w:val="center"/>
          </w:tcPr>
          <w:p w14:paraId="68DCFB06"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sz w:val="20"/>
                <w:szCs w:val="20"/>
              </w:rPr>
            </w:pPr>
            <w:r w:rsidRPr="002B5481">
              <w:rPr>
                <w:rFonts w:ascii="Palatino Linotype" w:hAnsi="Palatino Linotype" w:cs="Times New Roman"/>
                <w:sz w:val="20"/>
                <w:szCs w:val="20"/>
              </w:rPr>
              <w:t>Lungs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7</w:t>
            </w:r>
            <w:r w:rsidRPr="002B5481">
              <w:rPr>
                <w:rFonts w:ascii="Palatino Linotype" w:hAnsi="Palatino Linotype" w:cs="Times New Roman"/>
                <w:sz w:val="20"/>
                <w:szCs w:val="20"/>
                <w:shd w:val="clear" w:color="auto" w:fill="FFFFFF"/>
              </w:rPr>
              <w:t>)</w:t>
            </w:r>
          </w:p>
        </w:tc>
        <w:tc>
          <w:tcPr>
            <w:tcW w:w="0" w:type="auto"/>
            <w:tcBorders>
              <w:top w:val="nil"/>
              <w:bottom w:val="nil"/>
            </w:tcBorders>
            <w:shd w:val="clear" w:color="auto" w:fill="auto"/>
            <w:vAlign w:val="center"/>
          </w:tcPr>
          <w:p w14:paraId="00970307"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shd w:val="clear" w:color="auto" w:fill="FFFFFF"/>
              </w:rPr>
            </w:pPr>
            <w:r w:rsidRPr="002B5481">
              <w:rPr>
                <w:rFonts w:ascii="Palatino Linotype" w:hAnsi="Palatino Linotype" w:cs="Times New Roman"/>
                <w:sz w:val="20"/>
                <w:szCs w:val="20"/>
                <w:shd w:val="clear" w:color="auto" w:fill="FFFFFF"/>
              </w:rPr>
              <w:t xml:space="preserve">0.797 </w:t>
            </w:r>
            <w:r w:rsidRPr="002B5481">
              <w:rPr>
                <w:rFonts w:ascii="Palatino Linotype" w:hAnsi="Palatino Linotype" w:cs="Times New Roman"/>
                <w:sz w:val="20"/>
                <w:szCs w:val="20"/>
              </w:rPr>
              <w:t>± 0.001 (45%)</w:t>
            </w:r>
          </w:p>
        </w:tc>
        <w:tc>
          <w:tcPr>
            <w:tcW w:w="0" w:type="auto"/>
            <w:tcBorders>
              <w:top w:val="nil"/>
              <w:bottom w:val="nil"/>
            </w:tcBorders>
            <w:shd w:val="clear" w:color="auto" w:fill="auto"/>
            <w:vAlign w:val="center"/>
          </w:tcPr>
          <w:p w14:paraId="3C5BE1F5"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1.770 ± 0.045</w:t>
            </w:r>
          </w:p>
        </w:tc>
        <w:tc>
          <w:tcPr>
            <w:tcW w:w="0" w:type="auto"/>
            <w:tcBorders>
              <w:top w:val="nil"/>
              <w:bottom w:val="nil"/>
            </w:tcBorders>
            <w:shd w:val="clear" w:color="auto" w:fill="auto"/>
            <w:vAlign w:val="center"/>
          </w:tcPr>
          <w:p w14:paraId="2BF8599C" w14:textId="77777777" w:rsidR="0048748C" w:rsidRPr="002B5481" w:rsidRDefault="0048748C" w:rsidP="002B5481">
            <w:pPr>
              <w:autoSpaceDE w:val="0"/>
              <w:autoSpaceDN w:val="0"/>
              <w:adjustRightInd w:val="0"/>
              <w:snapToGrid w:val="0"/>
              <w:spacing w:line="240" w:lineRule="auto"/>
              <w:jc w:val="center"/>
              <w:cnfStyle w:val="000000000000" w:firstRow="0" w:lastRow="0" w:firstColumn="0" w:lastColumn="0" w:oddVBand="0" w:evenVBand="0" w:oddHBand="0"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1.907 ± 0.096</w:t>
            </w:r>
          </w:p>
        </w:tc>
      </w:tr>
      <w:tr w:rsidR="0048748C" w:rsidRPr="002B5481" w14:paraId="0BAE477B" w14:textId="77777777" w:rsidTr="002B548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nil"/>
              <w:bottom w:val="single" w:sz="8" w:space="0" w:color="auto"/>
            </w:tcBorders>
            <w:shd w:val="clear" w:color="auto" w:fill="auto"/>
            <w:vAlign w:val="center"/>
          </w:tcPr>
          <w:p w14:paraId="1C50E084" w14:textId="77777777" w:rsidR="0048748C" w:rsidRPr="002B5481" w:rsidRDefault="0048748C" w:rsidP="002B5481">
            <w:pPr>
              <w:autoSpaceDE w:val="0"/>
              <w:autoSpaceDN w:val="0"/>
              <w:adjustRightInd w:val="0"/>
              <w:snapToGrid w:val="0"/>
              <w:spacing w:line="240" w:lineRule="auto"/>
              <w:jc w:val="center"/>
              <w:rPr>
                <w:rFonts w:ascii="Palatino Linotype" w:hAnsi="Palatino Linotype" w:cs="Times New Roman"/>
                <w:b w:val="0"/>
                <w:sz w:val="20"/>
                <w:szCs w:val="20"/>
              </w:rPr>
            </w:pPr>
            <w:r w:rsidRPr="002B5481">
              <w:rPr>
                <w:rFonts w:ascii="Palatino Linotype" w:hAnsi="Palatino Linotype" w:cs="Times New Roman"/>
                <w:sz w:val="20"/>
                <w:szCs w:val="20"/>
              </w:rPr>
              <w:t>Brain (</w:t>
            </w:r>
            <w:r w:rsidRPr="002B5481">
              <w:rPr>
                <w:rFonts w:ascii="Palatino Linotype" w:hAnsi="Palatino Linotype" w:cs="Times New Roman"/>
                <w:sz w:val="20"/>
                <w:szCs w:val="20"/>
                <w:shd w:val="clear" w:color="auto" w:fill="FFFFFF"/>
              </w:rPr>
              <w:t>×10</w:t>
            </w:r>
            <w:r w:rsidRPr="002B5481">
              <w:rPr>
                <w:rFonts w:ascii="Palatino Linotype" w:hAnsi="Palatino Linotype" w:cs="Times New Roman"/>
                <w:sz w:val="20"/>
                <w:szCs w:val="20"/>
                <w:shd w:val="clear" w:color="auto" w:fill="FFFFFF"/>
                <w:vertAlign w:val="superscript"/>
              </w:rPr>
              <w:t>6</w:t>
            </w:r>
            <w:r w:rsidRPr="002B5481">
              <w:rPr>
                <w:rFonts w:ascii="Palatino Linotype" w:hAnsi="Palatino Linotype" w:cs="Times New Roman"/>
                <w:sz w:val="20"/>
                <w:szCs w:val="20"/>
                <w:shd w:val="clear" w:color="auto" w:fill="FFFFFF"/>
              </w:rPr>
              <w:t>)</w:t>
            </w:r>
          </w:p>
        </w:tc>
        <w:tc>
          <w:tcPr>
            <w:tcW w:w="0" w:type="auto"/>
            <w:tcBorders>
              <w:top w:val="nil"/>
              <w:bottom w:val="single" w:sz="8" w:space="0" w:color="auto"/>
            </w:tcBorders>
            <w:shd w:val="clear" w:color="auto" w:fill="auto"/>
            <w:vAlign w:val="center"/>
          </w:tcPr>
          <w:p w14:paraId="65C1F9FF"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3.100 ± 0.300 (75%)</w:t>
            </w:r>
          </w:p>
        </w:tc>
        <w:tc>
          <w:tcPr>
            <w:tcW w:w="0" w:type="auto"/>
            <w:tcBorders>
              <w:top w:val="nil"/>
              <w:bottom w:val="single" w:sz="8" w:space="0" w:color="auto"/>
            </w:tcBorders>
            <w:shd w:val="clear" w:color="auto" w:fill="auto"/>
            <w:vAlign w:val="center"/>
          </w:tcPr>
          <w:p w14:paraId="5DA0A7DE"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4.000 ± 0.133</w:t>
            </w:r>
          </w:p>
        </w:tc>
        <w:tc>
          <w:tcPr>
            <w:tcW w:w="0" w:type="auto"/>
            <w:tcBorders>
              <w:top w:val="nil"/>
              <w:bottom w:val="single" w:sz="8" w:space="0" w:color="auto"/>
            </w:tcBorders>
            <w:shd w:val="clear" w:color="auto" w:fill="auto"/>
            <w:vAlign w:val="center"/>
          </w:tcPr>
          <w:p w14:paraId="7754CFA1" w14:textId="77777777" w:rsidR="0048748C" w:rsidRPr="002B5481" w:rsidRDefault="0048748C" w:rsidP="002B5481">
            <w:pPr>
              <w:autoSpaceDE w:val="0"/>
              <w:autoSpaceDN w:val="0"/>
              <w:adjustRightInd w:val="0"/>
              <w:snapToGrid w:val="0"/>
              <w:spacing w:line="240" w:lineRule="auto"/>
              <w:jc w:val="center"/>
              <w:cnfStyle w:val="000000100000" w:firstRow="0" w:lastRow="0" w:firstColumn="0" w:lastColumn="0" w:oddVBand="0" w:evenVBand="0" w:oddHBand="1" w:evenHBand="0" w:firstRowFirstColumn="0" w:firstRowLastColumn="0" w:lastRowFirstColumn="0" w:lastRowLastColumn="0"/>
              <w:rPr>
                <w:rFonts w:ascii="Palatino Linotype" w:hAnsi="Palatino Linotype" w:cs="Times New Roman"/>
                <w:sz w:val="20"/>
                <w:szCs w:val="20"/>
              </w:rPr>
            </w:pPr>
            <w:r w:rsidRPr="002B5481">
              <w:rPr>
                <w:rFonts w:ascii="Palatino Linotype" w:hAnsi="Palatino Linotype" w:cs="Times New Roman"/>
                <w:sz w:val="20"/>
                <w:szCs w:val="20"/>
              </w:rPr>
              <w:t>4.087 ± 0.419</w:t>
            </w:r>
          </w:p>
        </w:tc>
      </w:tr>
    </w:tbl>
    <w:p w14:paraId="7B89B80D" w14:textId="487367E6" w:rsidR="0048748C" w:rsidRPr="0048748C" w:rsidRDefault="002B5481" w:rsidP="002B5481">
      <w:pPr>
        <w:pStyle w:val="MDPI21heading1"/>
      </w:pPr>
      <w:r>
        <w:t xml:space="preserve">5. </w:t>
      </w:r>
      <w:r w:rsidR="0048748C" w:rsidRPr="0048748C">
        <w:t xml:space="preserve">Evaluation of PECAM-1 gene expression by </w:t>
      </w:r>
      <w:r w:rsidR="007951CA">
        <w:t xml:space="preserve">real-time </w:t>
      </w:r>
      <w:r w:rsidR="0048748C" w:rsidRPr="0048748C">
        <w:t>PCR</w:t>
      </w:r>
    </w:p>
    <w:p w14:paraId="0EF8D99A" w14:textId="15A779B1" w:rsidR="00B72A7B" w:rsidRDefault="0048748C" w:rsidP="00E53A4A">
      <w:pPr>
        <w:pStyle w:val="MDPI31text"/>
        <w:spacing w:after="240"/>
      </w:pPr>
      <w:r w:rsidRPr="0048748C">
        <w:rPr>
          <w:bCs/>
        </w:rPr>
        <w:t xml:space="preserve">PECAM gene expression was evaluated in the organs harvested from the mice with LPS-induced inflammation that received </w:t>
      </w:r>
      <w:r w:rsidRPr="0048748C">
        <w:t xml:space="preserve">non-targeted (Nar/LN) or VCAM-1 targeted (V-Nar/LN) </w:t>
      </w:r>
      <w:proofErr w:type="spellStart"/>
      <w:r w:rsidRPr="0048748C">
        <w:t>naringenin</w:t>
      </w:r>
      <w:proofErr w:type="spellEnd"/>
      <w:r w:rsidRPr="0048748C">
        <w:t xml:space="preserve">-loaded </w:t>
      </w:r>
      <w:proofErr w:type="spellStart"/>
      <w:r w:rsidRPr="0048748C">
        <w:t>nanoemulsions</w:t>
      </w:r>
      <w:proofErr w:type="spellEnd"/>
      <w:r w:rsidRPr="0048748C">
        <w:t xml:space="preserve"> (</w:t>
      </w:r>
      <w:r w:rsidRPr="0048748C">
        <w:rPr>
          <w:b/>
        </w:rPr>
        <w:t>Figure S</w:t>
      </w:r>
      <w:r w:rsidR="00BE3C81">
        <w:rPr>
          <w:b/>
        </w:rPr>
        <w:t>6</w:t>
      </w:r>
      <w:r w:rsidRPr="0048748C">
        <w:t xml:space="preserve">). Data indicated that there </w:t>
      </w:r>
      <w:r w:rsidR="007951CA" w:rsidRPr="0048748C">
        <w:t>were</w:t>
      </w:r>
      <w:r w:rsidRPr="0048748C">
        <w:t xml:space="preserve"> no significant changes of PECAM expression relative to ACTB in any of the experimental groups. This agrees with data from the </w:t>
      </w:r>
      <w:r w:rsidRPr="00B72A7B">
        <w:t>literature [</w:t>
      </w:r>
      <w:r w:rsidR="00FC1920">
        <w:t>3</w:t>
      </w:r>
      <w:r w:rsidRPr="00B72A7B">
        <w:t>]</w:t>
      </w:r>
      <w:r w:rsidRPr="0048748C">
        <w:t xml:space="preserve"> </w:t>
      </w:r>
      <w:r>
        <w:t>r</w:t>
      </w:r>
      <w:r w:rsidRPr="0048748C">
        <w:t>eport</w:t>
      </w:r>
      <w:r>
        <w:t>ing</w:t>
      </w:r>
      <w:r w:rsidRPr="0048748C">
        <w:t xml:space="preserve"> PECAM</w:t>
      </w:r>
      <w:r>
        <w:t>-1</w:t>
      </w:r>
      <w:r w:rsidRPr="0048748C">
        <w:t xml:space="preserve"> as a non-inducible gene upon inflammation.</w:t>
      </w:r>
    </w:p>
    <w:p w14:paraId="20ACBAF9" w14:textId="68C47B6A" w:rsidR="002B5481" w:rsidRPr="0048748C" w:rsidRDefault="002B5481" w:rsidP="00D15AC4">
      <w:pPr>
        <w:pStyle w:val="MDPI52figure"/>
      </w:pPr>
      <w:r>
        <w:rPr>
          <w:noProof/>
          <w:lang w:eastAsia="zh-CN" w:bidi="ar-SA"/>
        </w:rPr>
        <w:drawing>
          <wp:inline distT="0" distB="0" distL="0" distR="0" wp14:anchorId="30385595" wp14:editId="538AA738">
            <wp:extent cx="4169153" cy="2576616"/>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87833" cy="2588161"/>
                    </a:xfrm>
                    <a:prstGeom prst="rect">
                      <a:avLst/>
                    </a:prstGeom>
                    <a:noFill/>
                  </pic:spPr>
                </pic:pic>
              </a:graphicData>
            </a:graphic>
          </wp:inline>
        </w:drawing>
      </w:r>
    </w:p>
    <w:p w14:paraId="4FF6B775" w14:textId="316AD20E" w:rsidR="0048748C" w:rsidRPr="002B5481" w:rsidRDefault="002B5481" w:rsidP="002B5481">
      <w:pPr>
        <w:pStyle w:val="MDPI51figurecaption"/>
        <w:rPr>
          <w:b/>
          <w:bCs/>
          <w:sz w:val="20"/>
        </w:rPr>
      </w:pPr>
      <w:r w:rsidRPr="002B5481">
        <w:rPr>
          <w:b/>
        </w:rPr>
        <w:t xml:space="preserve">Figure </w:t>
      </w:r>
      <w:r>
        <w:rPr>
          <w:b/>
        </w:rPr>
        <w:t>S</w:t>
      </w:r>
      <w:r w:rsidRPr="002B5481">
        <w:rPr>
          <w:b/>
        </w:rPr>
        <w:t xml:space="preserve">6. </w:t>
      </w:r>
      <w:r w:rsidR="0048748C" w:rsidRPr="0048748C">
        <w:t xml:space="preserve">Gene expression of PECAM-1 in organs harvested from C57 BL/6 mice that were injected intravenously with non-targeted (Nar/LN) or VCAM-1 targeted (V-Nar/LN) </w:t>
      </w:r>
      <w:proofErr w:type="spellStart"/>
      <w:r w:rsidR="0048748C" w:rsidRPr="0048748C">
        <w:t>naringenin</w:t>
      </w:r>
      <w:proofErr w:type="spellEnd"/>
      <w:r w:rsidR="0048748C" w:rsidRPr="0048748C">
        <w:t xml:space="preserve">-loaded </w:t>
      </w:r>
      <w:proofErr w:type="spellStart"/>
      <w:r w:rsidR="0048748C" w:rsidRPr="0048748C">
        <w:t>nanoemulsions</w:t>
      </w:r>
      <w:proofErr w:type="spellEnd"/>
      <w:r w:rsidR="0048748C" w:rsidRPr="0048748C">
        <w:t>, administered retro-</w:t>
      </w:r>
      <w:proofErr w:type="spellStart"/>
      <w:r w:rsidR="0048748C" w:rsidRPr="0048748C">
        <w:t>orbitally</w:t>
      </w:r>
      <w:proofErr w:type="spellEnd"/>
      <w:r w:rsidR="0048748C" w:rsidRPr="0048748C">
        <w:t xml:space="preserve">, in a murine model of LPS-induced inflammation. As controls, mice receiving PBS, LPS or VCAM-1 targeted empty </w:t>
      </w:r>
      <w:proofErr w:type="spellStart"/>
      <w:r w:rsidR="0048748C" w:rsidRPr="0048748C">
        <w:t>nanoemulsions</w:t>
      </w:r>
      <w:proofErr w:type="spellEnd"/>
      <w:r w:rsidR="0048748C" w:rsidRPr="0048748C">
        <w:t xml:space="preserve"> (V-LN) were used. Results were normalized to ACTB (β-actin) and are expressed as fold changes compared with the PBS-treated mice, considered as 1. The data are expressed as mean ± SD. There were 3 animals per group, except Nar/LN which consisted of 4 animals.</w:t>
      </w:r>
    </w:p>
    <w:p w14:paraId="61419550" w14:textId="3FCD14DD" w:rsidR="00B72A7B" w:rsidRPr="00B72A7B" w:rsidRDefault="00B72A7B" w:rsidP="002B5481">
      <w:pPr>
        <w:pStyle w:val="MDPI21heading1"/>
      </w:pPr>
      <w:r w:rsidRPr="00B72A7B">
        <w:t>References</w:t>
      </w:r>
    </w:p>
    <w:p w14:paraId="4B27AB0F" w14:textId="4FF2207D" w:rsidR="00CB50EC" w:rsidRPr="00425B68" w:rsidRDefault="00CB50EC" w:rsidP="00CB50EC">
      <w:pPr>
        <w:pStyle w:val="MDPI71References"/>
        <w:numPr>
          <w:ilvl w:val="0"/>
          <w:numId w:val="5"/>
        </w:numPr>
      </w:pPr>
      <w:proofErr w:type="spellStart"/>
      <w:r w:rsidRPr="00425B68">
        <w:t>Gathje</w:t>
      </w:r>
      <w:proofErr w:type="spellEnd"/>
      <w:r w:rsidRPr="00425B68">
        <w:t xml:space="preserve">, J.; </w:t>
      </w:r>
      <w:proofErr w:type="spellStart"/>
      <w:r w:rsidRPr="00425B68">
        <w:t>Steuer</w:t>
      </w:r>
      <w:proofErr w:type="spellEnd"/>
      <w:r w:rsidRPr="00425B68">
        <w:t xml:space="preserve">, R.R.; </w:t>
      </w:r>
      <w:proofErr w:type="spellStart"/>
      <w:r w:rsidRPr="00425B68">
        <w:t>Nicholes</w:t>
      </w:r>
      <w:proofErr w:type="spellEnd"/>
      <w:r w:rsidRPr="00425B68">
        <w:t xml:space="preserve">, K.R. Stability studies on </w:t>
      </w:r>
      <w:proofErr w:type="spellStart"/>
      <w:r w:rsidRPr="00425B68">
        <w:t>indocyanine</w:t>
      </w:r>
      <w:proofErr w:type="spellEnd"/>
      <w:r w:rsidRPr="00425B68">
        <w:t xml:space="preserve"> green dye. </w:t>
      </w:r>
      <w:r w:rsidRPr="00425B68">
        <w:rPr>
          <w:i/>
          <w:iCs/>
        </w:rPr>
        <w:t>J</w:t>
      </w:r>
      <w:r w:rsidR="002B5481">
        <w:rPr>
          <w:i/>
          <w:iCs/>
        </w:rPr>
        <w:t>.</w:t>
      </w:r>
      <w:r w:rsidRPr="00425B68">
        <w:rPr>
          <w:i/>
          <w:iCs/>
        </w:rPr>
        <w:t xml:space="preserve"> Appl</w:t>
      </w:r>
      <w:r w:rsidR="002B5481">
        <w:rPr>
          <w:i/>
          <w:iCs/>
        </w:rPr>
        <w:t>.</w:t>
      </w:r>
      <w:r w:rsidRPr="00425B68">
        <w:rPr>
          <w:i/>
          <w:iCs/>
        </w:rPr>
        <w:t xml:space="preserve"> Physiol</w:t>
      </w:r>
      <w:r w:rsidRPr="00425B68">
        <w:t xml:space="preserve">. </w:t>
      </w:r>
      <w:r w:rsidRPr="00425B68">
        <w:rPr>
          <w:b/>
          <w:bCs/>
        </w:rPr>
        <w:t>1970</w:t>
      </w:r>
      <w:r w:rsidR="002B5481">
        <w:t xml:space="preserve">, </w:t>
      </w:r>
      <w:r w:rsidR="002B5481" w:rsidRPr="002B5481">
        <w:rPr>
          <w:i/>
        </w:rPr>
        <w:t>29</w:t>
      </w:r>
      <w:r w:rsidR="002B5481">
        <w:t>, 181–185.</w:t>
      </w:r>
    </w:p>
    <w:p w14:paraId="299B25C9" w14:textId="1FDCD501" w:rsidR="00F052AC" w:rsidRDefault="00F052AC" w:rsidP="00F052AC">
      <w:pPr>
        <w:pStyle w:val="MDPI71References"/>
        <w:numPr>
          <w:ilvl w:val="0"/>
          <w:numId w:val="5"/>
        </w:numPr>
      </w:pPr>
      <w:proofErr w:type="spellStart"/>
      <w:r>
        <w:t>Saxena</w:t>
      </w:r>
      <w:proofErr w:type="spellEnd"/>
      <w:r>
        <w:t xml:space="preserve">, V.; </w:t>
      </w:r>
      <w:proofErr w:type="spellStart"/>
      <w:r>
        <w:t>Sadoqi</w:t>
      </w:r>
      <w:proofErr w:type="spellEnd"/>
      <w:r>
        <w:t xml:space="preserve">, M.; Shao, J. Degradation kinetics of </w:t>
      </w:r>
      <w:proofErr w:type="spellStart"/>
      <w:r>
        <w:t>indocyanine</w:t>
      </w:r>
      <w:proofErr w:type="spellEnd"/>
      <w:r>
        <w:t xml:space="preserve"> green in aqueous solution. </w:t>
      </w:r>
      <w:r w:rsidRPr="00362AC2">
        <w:rPr>
          <w:i/>
          <w:iCs/>
        </w:rPr>
        <w:t>J</w:t>
      </w:r>
      <w:r w:rsidR="002B5481">
        <w:rPr>
          <w:i/>
          <w:iCs/>
        </w:rPr>
        <w:t>.</w:t>
      </w:r>
      <w:r w:rsidRPr="00362AC2">
        <w:rPr>
          <w:i/>
          <w:iCs/>
        </w:rPr>
        <w:t xml:space="preserve"> Pharm</w:t>
      </w:r>
      <w:r w:rsidR="002B5481">
        <w:rPr>
          <w:i/>
          <w:iCs/>
        </w:rPr>
        <w:t>.</w:t>
      </w:r>
      <w:r w:rsidRPr="00362AC2">
        <w:rPr>
          <w:i/>
          <w:iCs/>
        </w:rPr>
        <w:t xml:space="preserve"> Sci</w:t>
      </w:r>
      <w:r>
        <w:t xml:space="preserve">. </w:t>
      </w:r>
      <w:r w:rsidRPr="00362AC2">
        <w:rPr>
          <w:b/>
          <w:bCs/>
        </w:rPr>
        <w:t>2003</w:t>
      </w:r>
      <w:r w:rsidR="002B5481">
        <w:t xml:space="preserve">, </w:t>
      </w:r>
      <w:r w:rsidR="002B5481" w:rsidRPr="002B5481">
        <w:rPr>
          <w:i/>
        </w:rPr>
        <w:t>92</w:t>
      </w:r>
      <w:r>
        <w:t>,</w:t>
      </w:r>
      <w:r w:rsidR="002B5481">
        <w:t xml:space="preserve"> 2090–2097.</w:t>
      </w:r>
    </w:p>
    <w:p w14:paraId="26EA244D" w14:textId="7F194DBE" w:rsidR="00FF2F8F" w:rsidRPr="00FF2F8F" w:rsidRDefault="00B72A7B" w:rsidP="00FF2F8F">
      <w:pPr>
        <w:pStyle w:val="MDPI71References"/>
        <w:numPr>
          <w:ilvl w:val="0"/>
          <w:numId w:val="5"/>
        </w:numPr>
      </w:pPr>
      <w:r>
        <w:t xml:space="preserve">Granger, D.N.; Stokes, K.Y. Differential regulation of leukocyte-endothelial cell adhesion In: </w:t>
      </w:r>
      <w:r w:rsidRPr="00F052AC">
        <w:rPr>
          <w:i/>
          <w:iCs/>
        </w:rPr>
        <w:t>Endothelial cells in health and disease</w:t>
      </w:r>
      <w:r>
        <w:t xml:space="preserve">; </w:t>
      </w:r>
      <w:proofErr w:type="spellStart"/>
      <w:r>
        <w:t>Aird</w:t>
      </w:r>
      <w:proofErr w:type="spellEnd"/>
      <w:r>
        <w:t xml:space="preserve">, W.C., Ed., Taylor and Francis: Boca Raton, USA </w:t>
      </w:r>
      <w:r w:rsidRPr="00F052AC">
        <w:rPr>
          <w:b/>
          <w:bCs/>
        </w:rPr>
        <w:t>2005</w:t>
      </w:r>
      <w:r w:rsidR="00E53A4A">
        <w:t>, pp. 229–</w:t>
      </w:r>
      <w:r w:rsidR="002B5481">
        <w:t>244.</w:t>
      </w:r>
    </w:p>
    <w:p w14:paraId="7DFE2CB4" w14:textId="6B725696" w:rsidR="00FF2F8F" w:rsidRPr="00FF2F8F" w:rsidRDefault="00FF2F8F" w:rsidP="00FF2F8F">
      <w:pPr>
        <w:pStyle w:val="MDPI62Acknowledgments"/>
        <w:spacing w:after="240"/>
      </w:pPr>
      <w:r w:rsidRPr="00190693">
        <w:rPr>
          <w:b/>
        </w:rPr>
        <w:lastRenderedPageBreak/>
        <w:t xml:space="preserve">Publisher's Note: </w:t>
      </w:r>
      <w:r w:rsidRPr="00190693">
        <w:t>MDPI stays neutral with regard to jurisdictional claims in published maps and institutional affiliations.</w:t>
      </w:r>
    </w:p>
    <w:tbl>
      <w:tblPr>
        <w:tblW w:w="0" w:type="auto"/>
        <w:jc w:val="center"/>
        <w:tblLook w:val="04A0" w:firstRow="1" w:lastRow="0" w:firstColumn="1" w:lastColumn="0" w:noHBand="0" w:noVBand="1"/>
      </w:tblPr>
      <w:tblGrid>
        <w:gridCol w:w="1706"/>
        <w:gridCol w:w="7138"/>
      </w:tblGrid>
      <w:tr w:rsidR="005F63C5" w:rsidRPr="006603BE" w14:paraId="603809AE" w14:textId="77777777" w:rsidTr="002B46F3">
        <w:trPr>
          <w:jc w:val="center"/>
        </w:trPr>
        <w:tc>
          <w:tcPr>
            <w:tcW w:w="0" w:type="auto"/>
            <w:shd w:val="clear" w:color="auto" w:fill="auto"/>
            <w:vAlign w:val="center"/>
          </w:tcPr>
          <w:p w14:paraId="3BD3D922" w14:textId="16DD6777" w:rsidR="005F63C5" w:rsidRPr="006603BE" w:rsidRDefault="00B15B86" w:rsidP="00594AA7">
            <w:pPr>
              <w:pStyle w:val="MDPI71References"/>
              <w:numPr>
                <w:ilvl w:val="0"/>
                <w:numId w:val="0"/>
              </w:numPr>
              <w:ind w:left="-85"/>
              <w:rPr>
                <w:rFonts w:eastAsia="宋体"/>
                <w:bCs/>
              </w:rPr>
            </w:pPr>
            <w:r w:rsidRPr="006603BE">
              <w:rPr>
                <w:rFonts w:eastAsia="宋体"/>
                <w:bCs/>
                <w:noProof/>
                <w:lang w:eastAsia="zh-CN" w:bidi="ar-SA"/>
              </w:rPr>
              <w:drawing>
                <wp:inline distT="0" distB="0" distL="0" distR="0" wp14:anchorId="7CA07CB5" wp14:editId="5647ADA5">
                  <wp:extent cx="1000125" cy="361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tc>
        <w:tc>
          <w:tcPr>
            <w:tcW w:w="7138" w:type="dxa"/>
            <w:shd w:val="clear" w:color="auto" w:fill="auto"/>
            <w:vAlign w:val="center"/>
          </w:tcPr>
          <w:p w14:paraId="493DBAE7" w14:textId="77777777" w:rsidR="005F63C5" w:rsidRPr="006603BE" w:rsidRDefault="002A6FDB" w:rsidP="008078D9">
            <w:pPr>
              <w:pStyle w:val="MDPI71References"/>
              <w:numPr>
                <w:ilvl w:val="0"/>
                <w:numId w:val="0"/>
              </w:numPr>
              <w:ind w:left="-85"/>
              <w:rPr>
                <w:rFonts w:eastAsia="宋体"/>
                <w:bCs/>
              </w:rPr>
            </w:pPr>
            <w:r>
              <w:rPr>
                <w:rFonts w:eastAsia="宋体"/>
                <w:bCs/>
              </w:rPr>
              <w:t>© 20</w:t>
            </w:r>
            <w:r w:rsidR="008078D9">
              <w:rPr>
                <w:rFonts w:eastAsia="宋体"/>
                <w:bCs/>
              </w:rPr>
              <w:t>20</w:t>
            </w:r>
            <w:r w:rsidR="005F63C5" w:rsidRPr="006603BE">
              <w:rPr>
                <w:rFonts w:eastAsia="宋体"/>
                <w:bCs/>
              </w:rPr>
              <w:t xml:space="preserve"> by the authors. Submitted for possible open access publication under the terms and conditions of the Creative Commons Attribution (CC BY) license (http://creativecommons.org/licenses/by/4.0/).</w:t>
            </w:r>
          </w:p>
        </w:tc>
      </w:tr>
    </w:tbl>
    <w:p w14:paraId="60D84947" w14:textId="77777777" w:rsidR="00B415BD" w:rsidRPr="00D272CB" w:rsidRDefault="00B415BD" w:rsidP="002B46F3">
      <w:pPr>
        <w:pStyle w:val="MDPI71References"/>
        <w:numPr>
          <w:ilvl w:val="0"/>
          <w:numId w:val="0"/>
        </w:numPr>
        <w:spacing w:after="240"/>
        <w:rPr>
          <w:rFonts w:eastAsia="宋体"/>
        </w:rPr>
      </w:pPr>
    </w:p>
    <w:sectPr w:rsidR="00B415BD" w:rsidRPr="00D272CB" w:rsidSect="002B5481">
      <w:headerReference w:type="even" r:id="rId14"/>
      <w:headerReference w:type="default" r:id="rId15"/>
      <w:footerReference w:type="default" r:id="rId16"/>
      <w:headerReference w:type="first" r:id="rId17"/>
      <w:footerReference w:type="first" r:id="rId18"/>
      <w:pgSz w:w="11906" w:h="16838" w:code="9"/>
      <w:pgMar w:top="1417" w:right="1531" w:bottom="1077" w:left="1531" w:header="1020" w:footer="850" w:gutter="0"/>
      <w:pgNumType w:start="1"/>
      <w:cols w:space="425"/>
      <w:titlePg/>
      <w:docGrid w:type="lines"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3957D" w16cex:dateUtc="2020-11-09T08: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FD77308" w16cid:durableId="235383C0"/>
  <w16cid:commentId w16cid:paraId="65603201" w16cid:durableId="2353957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445FB" w14:textId="77777777" w:rsidR="00251C52" w:rsidRDefault="00251C52">
      <w:pPr>
        <w:spacing w:line="240" w:lineRule="auto"/>
      </w:pPr>
      <w:r>
        <w:separator/>
      </w:r>
    </w:p>
  </w:endnote>
  <w:endnote w:type="continuationSeparator" w:id="0">
    <w:p w14:paraId="712A4747" w14:textId="77777777" w:rsidR="00251C52" w:rsidRDefault="00251C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7760857"/>
      <w:docPartObj>
        <w:docPartGallery w:val="Page Numbers (Bottom of Page)"/>
        <w:docPartUnique/>
      </w:docPartObj>
    </w:sdtPr>
    <w:sdtEndPr>
      <w:rPr>
        <w:noProof/>
      </w:rPr>
    </w:sdtEndPr>
    <w:sdtContent>
      <w:p w14:paraId="7A29D13D" w14:textId="73389EC5" w:rsidR="002B46F3" w:rsidRDefault="002B46F3">
        <w:pPr>
          <w:pStyle w:val="Footer"/>
          <w:jc w:val="center"/>
        </w:pPr>
        <w:r>
          <w:fldChar w:fldCharType="begin"/>
        </w:r>
        <w:r>
          <w:instrText xml:space="preserve"> PAGE   \* MERGEFORMAT </w:instrText>
        </w:r>
        <w:r>
          <w:fldChar w:fldCharType="separate"/>
        </w:r>
        <w:r w:rsidR="00BE5CCC">
          <w:rPr>
            <w:noProof/>
          </w:rPr>
          <w:t>3</w:t>
        </w:r>
        <w:r>
          <w:rPr>
            <w:noProof/>
          </w:rPr>
          <w:fldChar w:fldCharType="end"/>
        </w:r>
      </w:p>
    </w:sdtContent>
  </w:sdt>
  <w:p w14:paraId="74DEDB40" w14:textId="77777777" w:rsidR="00FE126B" w:rsidRPr="00623F7A" w:rsidRDefault="00FE126B" w:rsidP="00FE126B">
    <w:pPr>
      <w:pStyle w:val="Footer"/>
      <w:spacing w:line="240" w:lineRule="auto"/>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18C36" w14:textId="77777777" w:rsidR="00FE126B" w:rsidRPr="00372FCD" w:rsidRDefault="00FE126B" w:rsidP="008078D9">
    <w:pPr>
      <w:tabs>
        <w:tab w:val="right" w:pos="8844"/>
      </w:tabs>
      <w:adjustRightInd w:val="0"/>
      <w:snapToGrid w:val="0"/>
      <w:spacing w:before="120" w:line="240" w:lineRule="auto"/>
      <w:rPr>
        <w:rFonts w:ascii="Palatino Linotype" w:hAnsi="Palatino Linotype"/>
        <w:sz w:val="16"/>
        <w:szCs w:val="16"/>
        <w:lang w:val="fr-CH"/>
      </w:rPr>
    </w:pPr>
    <w:r w:rsidRPr="00A44E35">
      <w:rPr>
        <w:rFonts w:ascii="Palatino Linotype" w:hAnsi="Palatino Linotype"/>
        <w:i/>
        <w:sz w:val="16"/>
        <w:szCs w:val="16"/>
      </w:rPr>
      <w:t>Pharmaceutics</w:t>
    </w:r>
    <w:r>
      <w:rPr>
        <w:rFonts w:ascii="Palatino Linotype" w:hAnsi="Palatino Linotype"/>
        <w:i/>
        <w:sz w:val="16"/>
        <w:szCs w:val="16"/>
      </w:rPr>
      <w:t xml:space="preserve"> </w:t>
    </w:r>
    <w:r w:rsidR="005F63C5" w:rsidRPr="005F63C5">
      <w:rPr>
        <w:rFonts w:ascii="Palatino Linotype" w:hAnsi="Palatino Linotype"/>
        <w:b/>
        <w:bCs/>
        <w:iCs/>
        <w:sz w:val="16"/>
        <w:szCs w:val="16"/>
      </w:rPr>
      <w:t>20</w:t>
    </w:r>
    <w:r w:rsidR="008078D9">
      <w:rPr>
        <w:rFonts w:ascii="Palatino Linotype" w:hAnsi="Palatino Linotype"/>
        <w:b/>
        <w:bCs/>
        <w:iCs/>
        <w:sz w:val="16"/>
        <w:szCs w:val="16"/>
      </w:rPr>
      <w:t>20</w:t>
    </w:r>
    <w:r w:rsidR="005F63C5" w:rsidRPr="005F63C5">
      <w:rPr>
        <w:rFonts w:ascii="Palatino Linotype" w:hAnsi="Palatino Linotype"/>
        <w:bCs/>
        <w:iCs/>
        <w:sz w:val="16"/>
        <w:szCs w:val="16"/>
      </w:rPr>
      <w:t xml:space="preserve">, </w:t>
    </w:r>
    <w:r w:rsidR="005F63C5" w:rsidRPr="005F63C5">
      <w:rPr>
        <w:rFonts w:ascii="Palatino Linotype" w:hAnsi="Palatino Linotype"/>
        <w:bCs/>
        <w:i/>
        <w:iCs/>
        <w:sz w:val="16"/>
        <w:szCs w:val="16"/>
      </w:rPr>
      <w:t>1</w:t>
    </w:r>
    <w:r w:rsidR="008078D9">
      <w:rPr>
        <w:rFonts w:ascii="Palatino Linotype" w:hAnsi="Palatino Linotype"/>
        <w:bCs/>
        <w:i/>
        <w:iCs/>
        <w:sz w:val="16"/>
        <w:szCs w:val="16"/>
      </w:rPr>
      <w:t>2</w:t>
    </w:r>
    <w:r w:rsidR="005F63C5" w:rsidRPr="005F63C5">
      <w:rPr>
        <w:rFonts w:ascii="Palatino Linotype" w:hAnsi="Palatino Linotype"/>
        <w:bCs/>
        <w:iCs/>
        <w:sz w:val="16"/>
        <w:szCs w:val="16"/>
      </w:rPr>
      <w:t xml:space="preserve">, </w:t>
    </w:r>
    <w:r w:rsidR="00061CCA">
      <w:rPr>
        <w:rFonts w:ascii="Palatino Linotype" w:hAnsi="Palatino Linotype"/>
        <w:bCs/>
        <w:iCs/>
        <w:sz w:val="16"/>
        <w:szCs w:val="16"/>
      </w:rPr>
      <w:t xml:space="preserve">x; </w:t>
    </w:r>
    <w:proofErr w:type="spellStart"/>
    <w:r w:rsidR="00061CCA">
      <w:rPr>
        <w:rFonts w:ascii="Palatino Linotype" w:hAnsi="Palatino Linotype"/>
        <w:bCs/>
        <w:iCs/>
        <w:sz w:val="16"/>
        <w:szCs w:val="16"/>
      </w:rPr>
      <w:t>doi</w:t>
    </w:r>
    <w:proofErr w:type="spellEnd"/>
    <w:r w:rsidR="00061CCA">
      <w:rPr>
        <w:rFonts w:ascii="Palatino Linotype" w:hAnsi="Palatino Linotype"/>
        <w:bCs/>
        <w:iCs/>
        <w:sz w:val="16"/>
        <w:szCs w:val="16"/>
      </w:rPr>
      <w:t>: FOR PEER REVIEW</w:t>
    </w:r>
    <w:r w:rsidR="00AF679C" w:rsidRPr="00372FCD">
      <w:rPr>
        <w:rFonts w:ascii="Palatino Linotype" w:hAnsi="Palatino Linotype"/>
        <w:sz w:val="16"/>
        <w:szCs w:val="16"/>
        <w:lang w:val="fr-CH"/>
      </w:rPr>
      <w:tab/>
    </w:r>
    <w:r w:rsidRPr="00372FCD">
      <w:rPr>
        <w:rFonts w:ascii="Palatino Linotype" w:hAnsi="Palatino Linotype"/>
        <w:sz w:val="16"/>
        <w:szCs w:val="16"/>
        <w:lang w:val="fr-CH"/>
      </w:rPr>
      <w:t>www.mdpi.com/journal/</w:t>
    </w:r>
    <w:r w:rsidRPr="00002864">
      <w:rPr>
        <w:rFonts w:ascii="Palatino Linotype" w:hAnsi="Palatino Linotype"/>
        <w:sz w:val="16"/>
        <w:szCs w:val="16"/>
      </w:rPr>
      <w:t>pharmaceutics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320AC0" w14:textId="77777777" w:rsidR="00251C52" w:rsidRDefault="00251C52">
      <w:pPr>
        <w:spacing w:line="240" w:lineRule="auto"/>
      </w:pPr>
      <w:r>
        <w:separator/>
      </w:r>
    </w:p>
  </w:footnote>
  <w:footnote w:type="continuationSeparator" w:id="0">
    <w:p w14:paraId="07CB061B" w14:textId="77777777" w:rsidR="00251C52" w:rsidRDefault="00251C5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838A3" w14:textId="77777777" w:rsidR="00FE126B" w:rsidRDefault="00FE126B" w:rsidP="00FE126B">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417E3E" w14:textId="77777777" w:rsidR="00FE126B" w:rsidRPr="00A53D46" w:rsidRDefault="00FE126B" w:rsidP="008078D9">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Pharmaceutics </w:t>
    </w:r>
    <w:r w:rsidR="005F63C5" w:rsidRPr="005F63C5">
      <w:rPr>
        <w:rFonts w:ascii="Palatino Linotype" w:hAnsi="Palatino Linotype"/>
        <w:b/>
        <w:sz w:val="16"/>
      </w:rPr>
      <w:t>20</w:t>
    </w:r>
    <w:r w:rsidR="008078D9">
      <w:rPr>
        <w:rFonts w:ascii="Palatino Linotype" w:hAnsi="Palatino Linotype"/>
        <w:b/>
        <w:sz w:val="16"/>
      </w:rPr>
      <w:t>20</w:t>
    </w:r>
    <w:r w:rsidR="005F63C5" w:rsidRPr="005F63C5">
      <w:rPr>
        <w:rFonts w:ascii="Palatino Linotype" w:hAnsi="Palatino Linotype"/>
        <w:sz w:val="16"/>
      </w:rPr>
      <w:t xml:space="preserve">, </w:t>
    </w:r>
    <w:r w:rsidR="005F63C5" w:rsidRPr="005F63C5">
      <w:rPr>
        <w:rFonts w:ascii="Palatino Linotype" w:hAnsi="Palatino Linotype"/>
        <w:i/>
        <w:sz w:val="16"/>
      </w:rPr>
      <w:t>1</w:t>
    </w:r>
    <w:r w:rsidR="008078D9">
      <w:rPr>
        <w:rFonts w:ascii="Palatino Linotype" w:hAnsi="Palatino Linotype"/>
        <w:i/>
        <w:sz w:val="16"/>
      </w:rPr>
      <w:t>2</w:t>
    </w:r>
    <w:r w:rsidR="00061CCA">
      <w:rPr>
        <w:rFonts w:ascii="Palatino Linotype" w:hAnsi="Palatino Linotype"/>
        <w:sz w:val="16"/>
      </w:rPr>
      <w:t>, x FOR PEER REVIEW</w:t>
    </w:r>
    <w:r w:rsidR="00AF679C">
      <w:rPr>
        <w:rFonts w:ascii="Palatino Linotype" w:hAnsi="Palatino Linotype"/>
        <w:sz w:val="16"/>
      </w:rPr>
      <w:tab/>
    </w:r>
    <w:r w:rsidR="00061CCA">
      <w:rPr>
        <w:rFonts w:ascii="Palatino Linotype" w:hAnsi="Palatino Linotype"/>
        <w:sz w:val="16"/>
      </w:rPr>
      <w:fldChar w:fldCharType="begin"/>
    </w:r>
    <w:r w:rsidR="00061CCA">
      <w:rPr>
        <w:rFonts w:ascii="Palatino Linotype" w:hAnsi="Palatino Linotype"/>
        <w:sz w:val="16"/>
      </w:rPr>
      <w:instrText xml:space="preserve"> PAGE   \* MERGEFORMAT </w:instrText>
    </w:r>
    <w:r w:rsidR="00061CCA">
      <w:rPr>
        <w:rFonts w:ascii="Palatino Linotype" w:hAnsi="Palatino Linotype"/>
        <w:sz w:val="16"/>
      </w:rPr>
      <w:fldChar w:fldCharType="separate"/>
    </w:r>
    <w:r w:rsidR="00BE5CCC">
      <w:rPr>
        <w:rFonts w:ascii="Palatino Linotype" w:hAnsi="Palatino Linotype"/>
        <w:noProof/>
        <w:sz w:val="16"/>
      </w:rPr>
      <w:t>3</w:t>
    </w:r>
    <w:r w:rsidR="00061CCA">
      <w:rPr>
        <w:rFonts w:ascii="Palatino Linotype" w:hAnsi="Palatino Linotype"/>
        <w:sz w:val="16"/>
      </w:rPr>
      <w:fldChar w:fldCharType="end"/>
    </w:r>
    <w:r w:rsidR="00061CCA">
      <w:rPr>
        <w:rFonts w:ascii="Palatino Linotype" w:hAnsi="Palatino Linotype"/>
        <w:sz w:val="16"/>
      </w:rPr>
      <w:t xml:space="preserve"> of </w:t>
    </w:r>
    <w:r w:rsidR="00061CCA">
      <w:rPr>
        <w:rFonts w:ascii="Palatino Linotype" w:hAnsi="Palatino Linotype"/>
        <w:sz w:val="16"/>
      </w:rPr>
      <w:fldChar w:fldCharType="begin"/>
    </w:r>
    <w:r w:rsidR="00061CCA">
      <w:rPr>
        <w:rFonts w:ascii="Palatino Linotype" w:hAnsi="Palatino Linotype"/>
        <w:sz w:val="16"/>
      </w:rPr>
      <w:instrText xml:space="preserve"> NUMPAGES   \* MERGEFORMAT </w:instrText>
    </w:r>
    <w:r w:rsidR="00061CCA">
      <w:rPr>
        <w:rFonts w:ascii="Palatino Linotype" w:hAnsi="Palatino Linotype"/>
        <w:sz w:val="16"/>
      </w:rPr>
      <w:fldChar w:fldCharType="separate"/>
    </w:r>
    <w:r w:rsidR="00BE5CCC">
      <w:rPr>
        <w:rFonts w:ascii="Palatino Linotype" w:hAnsi="Palatino Linotype"/>
        <w:noProof/>
        <w:sz w:val="16"/>
      </w:rPr>
      <w:t>8</w:t>
    </w:r>
    <w:r w:rsidR="00061CCA">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FBD22E" w14:textId="704CD791" w:rsidR="00FE126B" w:rsidRDefault="00B15B86" w:rsidP="00FE126B">
    <w:pPr>
      <w:pStyle w:val="MDPIheaderjournallogo"/>
    </w:pPr>
    <w:r w:rsidRPr="00E57A2F">
      <w:rPr>
        <w:i w:val="0"/>
        <w:noProof/>
        <w:szCs w:val="16"/>
        <w:lang w:eastAsia="zh-CN"/>
      </w:rPr>
      <mc:AlternateContent>
        <mc:Choice Requires="wps">
          <w:drawing>
            <wp:anchor distT="45720" distB="45720" distL="114300" distR="114300" simplePos="0" relativeHeight="251657728" behindDoc="1" locked="0" layoutInCell="1" allowOverlap="1" wp14:anchorId="5B66B904" wp14:editId="3477BAFA">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385" cy="709295"/>
                      </a:xfrm>
                      <a:prstGeom prst="rect">
                        <a:avLst/>
                      </a:prstGeom>
                      <a:solidFill>
                        <a:srgbClr val="FFFFFF"/>
                      </a:solidFill>
                      <a:ln w="9525">
                        <a:noFill/>
                        <a:miter lim="800000"/>
                        <a:headEnd/>
                        <a:tailEnd/>
                      </a:ln>
                    </wps:spPr>
                    <wps:txbx>
                      <w:txbxContent>
                        <w:p w14:paraId="138D65C7" w14:textId="6E5B9987" w:rsidR="00FE126B" w:rsidRDefault="00B15B86" w:rsidP="00FE126B">
                          <w:pPr>
                            <w:pStyle w:val="MDPIheaderjournallogo"/>
                            <w:jc w:val="center"/>
                            <w:textboxTightWrap w:val="allLines"/>
                            <w:rPr>
                              <w:i w:val="0"/>
                              <w:szCs w:val="16"/>
                            </w:rPr>
                          </w:pPr>
                          <w:r w:rsidRPr="00B415BD">
                            <w:rPr>
                              <w:i w:val="0"/>
                              <w:noProof/>
                              <w:szCs w:val="16"/>
                              <w:lang w:eastAsia="zh-CN"/>
                            </w:rPr>
                            <w:drawing>
                              <wp:inline distT="0" distB="0" distL="0" distR="0" wp14:anchorId="59479125" wp14:editId="477BAAFD">
                                <wp:extent cx="542925" cy="35242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66B904"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" stroked="f">
              <v:textbox inset="0,0,0,0">
                <w:txbxContent>
                  <w:p w14:paraId="138D65C7" w14:textId="6E5B9987" w:rsidR="00FE126B" w:rsidRDefault="00B15B86" w:rsidP="00FE126B">
                    <w:pPr>
                      <w:pStyle w:val="MDPIheaderjournallogo"/>
                      <w:jc w:val="center"/>
                      <w:textboxTightWrap w:val="allLines"/>
                      <w:rPr>
                        <w:i w:val="0"/>
                        <w:szCs w:val="16"/>
                      </w:rPr>
                    </w:pPr>
                    <w:r w:rsidRPr="00B415BD">
                      <w:rPr>
                        <w:i w:val="0"/>
                        <w:noProof/>
                        <w:szCs w:val="16"/>
                        <w:lang w:eastAsia="zh-CN"/>
                      </w:rPr>
                      <w:drawing>
                        <wp:inline distT="0" distB="0" distL="0" distR="0" wp14:anchorId="59479125" wp14:editId="477BAAFD">
                          <wp:extent cx="542925" cy="352425"/>
                          <wp:effectExtent l="0" t="0" r="0" b="0"/>
                          <wp:docPr id="4" name="Picture 3" descr="C:\Users\home\Desktop\logos\ori\png\logo-m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0ED4C4C5" wp14:editId="68E8EA50">
          <wp:extent cx="1666875" cy="438150"/>
          <wp:effectExtent l="0" t="0" r="0" b="0"/>
          <wp:docPr id="5" name="Picture 3" descr="C:\Users\home\AppData\Local\Temp\HZ$D.082.3360\Pharmaceutic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AppData\Local\Temp\HZ$D.082.3360\Pharmaceutics_log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66875" cy="43815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nsid w:val="5EFA6509"/>
    <w:multiLevelType w:val="hybridMultilevel"/>
    <w:tmpl w:val="FF6EAF86"/>
    <w:lvl w:ilvl="0" w:tplc="4FFCDE12">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9"/>
  <w:bordersDoNotSurroundHeader/>
  <w:bordersDoNotSurroundFooter/>
  <w:proofState w:spelling="clean" w:grammar="clean"/>
  <w:attachedTemplate r:id="rId1"/>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B86"/>
    <w:rsid w:val="0003311F"/>
    <w:rsid w:val="00037593"/>
    <w:rsid w:val="000531E0"/>
    <w:rsid w:val="00055107"/>
    <w:rsid w:val="00060CE0"/>
    <w:rsid w:val="000612C8"/>
    <w:rsid w:val="00061CCA"/>
    <w:rsid w:val="000C37A5"/>
    <w:rsid w:val="000C6327"/>
    <w:rsid w:val="000E6077"/>
    <w:rsid w:val="000F240B"/>
    <w:rsid w:val="000F276D"/>
    <w:rsid w:val="00101A60"/>
    <w:rsid w:val="0010564E"/>
    <w:rsid w:val="00107921"/>
    <w:rsid w:val="00121C66"/>
    <w:rsid w:val="00132AE7"/>
    <w:rsid w:val="00135B7B"/>
    <w:rsid w:val="00166B8F"/>
    <w:rsid w:val="0017210D"/>
    <w:rsid w:val="0017723A"/>
    <w:rsid w:val="00186784"/>
    <w:rsid w:val="001A7302"/>
    <w:rsid w:val="001C0AF7"/>
    <w:rsid w:val="001E2AEB"/>
    <w:rsid w:val="001E57EA"/>
    <w:rsid w:val="001F0D9A"/>
    <w:rsid w:val="00251C52"/>
    <w:rsid w:val="00260670"/>
    <w:rsid w:val="002805E5"/>
    <w:rsid w:val="002914EF"/>
    <w:rsid w:val="002975D2"/>
    <w:rsid w:val="002A6FDB"/>
    <w:rsid w:val="002B2F5B"/>
    <w:rsid w:val="002B46F3"/>
    <w:rsid w:val="002B5481"/>
    <w:rsid w:val="002B7F29"/>
    <w:rsid w:val="002F12A1"/>
    <w:rsid w:val="00304A64"/>
    <w:rsid w:val="00312B59"/>
    <w:rsid w:val="003252CE"/>
    <w:rsid w:val="00326141"/>
    <w:rsid w:val="00333D63"/>
    <w:rsid w:val="003715D2"/>
    <w:rsid w:val="00373775"/>
    <w:rsid w:val="00397093"/>
    <w:rsid w:val="00401D30"/>
    <w:rsid w:val="0040206A"/>
    <w:rsid w:val="004257C5"/>
    <w:rsid w:val="00425B68"/>
    <w:rsid w:val="00434768"/>
    <w:rsid w:val="00444E19"/>
    <w:rsid w:val="00452841"/>
    <w:rsid w:val="00466F83"/>
    <w:rsid w:val="00476909"/>
    <w:rsid w:val="0048222D"/>
    <w:rsid w:val="004830B8"/>
    <w:rsid w:val="0048748C"/>
    <w:rsid w:val="004919DE"/>
    <w:rsid w:val="004E19B0"/>
    <w:rsid w:val="004E4D6B"/>
    <w:rsid w:val="004E7223"/>
    <w:rsid w:val="004F611E"/>
    <w:rsid w:val="00507499"/>
    <w:rsid w:val="00540046"/>
    <w:rsid w:val="00560978"/>
    <w:rsid w:val="00585011"/>
    <w:rsid w:val="0058760E"/>
    <w:rsid w:val="00594AA7"/>
    <w:rsid w:val="005A1563"/>
    <w:rsid w:val="005C224E"/>
    <w:rsid w:val="005F63C5"/>
    <w:rsid w:val="005F6A3E"/>
    <w:rsid w:val="006051BD"/>
    <w:rsid w:val="00607654"/>
    <w:rsid w:val="00635915"/>
    <w:rsid w:val="0065134C"/>
    <w:rsid w:val="00653D90"/>
    <w:rsid w:val="006603BE"/>
    <w:rsid w:val="00660457"/>
    <w:rsid w:val="00667B11"/>
    <w:rsid w:val="00676B84"/>
    <w:rsid w:val="00692393"/>
    <w:rsid w:val="006A095B"/>
    <w:rsid w:val="006B118F"/>
    <w:rsid w:val="006F1BE5"/>
    <w:rsid w:val="007229D1"/>
    <w:rsid w:val="00723252"/>
    <w:rsid w:val="00727002"/>
    <w:rsid w:val="00740774"/>
    <w:rsid w:val="007951CA"/>
    <w:rsid w:val="007C757A"/>
    <w:rsid w:val="007D49FD"/>
    <w:rsid w:val="007F0A98"/>
    <w:rsid w:val="007F3E78"/>
    <w:rsid w:val="007F4CB1"/>
    <w:rsid w:val="008078D9"/>
    <w:rsid w:val="0081566E"/>
    <w:rsid w:val="00821EA8"/>
    <w:rsid w:val="008431B7"/>
    <w:rsid w:val="008604F3"/>
    <w:rsid w:val="008A7201"/>
    <w:rsid w:val="0091773E"/>
    <w:rsid w:val="00943D44"/>
    <w:rsid w:val="0095164A"/>
    <w:rsid w:val="00994A13"/>
    <w:rsid w:val="009D2A3D"/>
    <w:rsid w:val="009D6BAC"/>
    <w:rsid w:val="009E0A1F"/>
    <w:rsid w:val="009E3C6B"/>
    <w:rsid w:val="009F70E6"/>
    <w:rsid w:val="00A059F3"/>
    <w:rsid w:val="00A20AED"/>
    <w:rsid w:val="00A32C4E"/>
    <w:rsid w:val="00A36434"/>
    <w:rsid w:val="00A52198"/>
    <w:rsid w:val="00A678A3"/>
    <w:rsid w:val="00A75B97"/>
    <w:rsid w:val="00A83F87"/>
    <w:rsid w:val="00AA5C51"/>
    <w:rsid w:val="00AB577E"/>
    <w:rsid w:val="00AE47DB"/>
    <w:rsid w:val="00AF679C"/>
    <w:rsid w:val="00B12E3F"/>
    <w:rsid w:val="00B13A96"/>
    <w:rsid w:val="00B15B86"/>
    <w:rsid w:val="00B24C1A"/>
    <w:rsid w:val="00B26FB9"/>
    <w:rsid w:val="00B3298F"/>
    <w:rsid w:val="00B3485A"/>
    <w:rsid w:val="00B40C50"/>
    <w:rsid w:val="00B415BD"/>
    <w:rsid w:val="00B72A7B"/>
    <w:rsid w:val="00B852EB"/>
    <w:rsid w:val="00B93B82"/>
    <w:rsid w:val="00BA5835"/>
    <w:rsid w:val="00BC310B"/>
    <w:rsid w:val="00BE1869"/>
    <w:rsid w:val="00BE3C81"/>
    <w:rsid w:val="00BE5CCC"/>
    <w:rsid w:val="00BE7F76"/>
    <w:rsid w:val="00C14AD4"/>
    <w:rsid w:val="00C173CF"/>
    <w:rsid w:val="00C24BAA"/>
    <w:rsid w:val="00C36C5E"/>
    <w:rsid w:val="00C5523E"/>
    <w:rsid w:val="00C73B10"/>
    <w:rsid w:val="00C850C0"/>
    <w:rsid w:val="00C970BB"/>
    <w:rsid w:val="00CA4566"/>
    <w:rsid w:val="00CA67A6"/>
    <w:rsid w:val="00CB254C"/>
    <w:rsid w:val="00CB50EC"/>
    <w:rsid w:val="00CD3576"/>
    <w:rsid w:val="00CE0105"/>
    <w:rsid w:val="00CE4F3F"/>
    <w:rsid w:val="00D15AC4"/>
    <w:rsid w:val="00D24C36"/>
    <w:rsid w:val="00D25AE8"/>
    <w:rsid w:val="00D51815"/>
    <w:rsid w:val="00D52273"/>
    <w:rsid w:val="00D539B1"/>
    <w:rsid w:val="00DA015F"/>
    <w:rsid w:val="00DA28DD"/>
    <w:rsid w:val="00DE39F9"/>
    <w:rsid w:val="00DF07D2"/>
    <w:rsid w:val="00DF6FC2"/>
    <w:rsid w:val="00E058E4"/>
    <w:rsid w:val="00E11DEB"/>
    <w:rsid w:val="00E14019"/>
    <w:rsid w:val="00E2775C"/>
    <w:rsid w:val="00E3550D"/>
    <w:rsid w:val="00E44373"/>
    <w:rsid w:val="00E53A4A"/>
    <w:rsid w:val="00E62E60"/>
    <w:rsid w:val="00E7526E"/>
    <w:rsid w:val="00ED1BA2"/>
    <w:rsid w:val="00F03492"/>
    <w:rsid w:val="00F04E7A"/>
    <w:rsid w:val="00F052AC"/>
    <w:rsid w:val="00F2293C"/>
    <w:rsid w:val="00F23205"/>
    <w:rsid w:val="00F81686"/>
    <w:rsid w:val="00F85D63"/>
    <w:rsid w:val="00FA368E"/>
    <w:rsid w:val="00FA4140"/>
    <w:rsid w:val="00FA4D5E"/>
    <w:rsid w:val="00FC1920"/>
    <w:rsid w:val="00FD25F8"/>
    <w:rsid w:val="00FD73D2"/>
    <w:rsid w:val="00FE126B"/>
    <w:rsid w:val="00FE4A0D"/>
    <w:rsid w:val="00FF2F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8A243"/>
  <w15:chartTrackingRefBased/>
  <w15:docId w15:val="{E96173B8-7E21-432E-8345-130067F4E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15BD"/>
    <w:pPr>
      <w:spacing w:line="340" w:lineRule="atLeast"/>
      <w:jc w:val="both"/>
    </w:pPr>
    <w:rPr>
      <w:rFonts w:ascii="Times New Roman" w:eastAsia="Times New Roman" w:hAnsi="Times New Roman"/>
      <w:color w:val="000000"/>
      <w:sz w:val="24"/>
      <w:lang w:eastAsia="de-DE"/>
    </w:rPr>
  </w:style>
  <w:style w:type="paragraph" w:styleId="Heading4">
    <w:name w:val="heading 4"/>
    <w:basedOn w:val="Normal"/>
    <w:next w:val="Normal"/>
    <w:link w:val="Heading4Char"/>
    <w:autoRedefine/>
    <w:uiPriority w:val="9"/>
    <w:unhideWhenUsed/>
    <w:qFormat/>
    <w:rsid w:val="0048748C"/>
    <w:pPr>
      <w:keepNext/>
      <w:keepLines/>
      <w:spacing w:before="40" w:line="259" w:lineRule="auto"/>
      <w:outlineLvl w:val="3"/>
    </w:pPr>
    <w:rPr>
      <w:rFonts w:eastAsiaTheme="majorEastAsia" w:cstheme="majorBidi"/>
      <w:b/>
      <w:color w:val="auto"/>
      <w:szCs w:val="22"/>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B415BD"/>
    <w:pPr>
      <w:spacing w:before="240" w:line="240" w:lineRule="auto"/>
      <w:ind w:firstLine="0"/>
      <w:jc w:val="left"/>
    </w:pPr>
    <w:rPr>
      <w:i/>
    </w:rPr>
  </w:style>
  <w:style w:type="paragraph" w:customStyle="1" w:styleId="MDPI12title">
    <w:name w:val="MDPI_1.2_title"/>
    <w:next w:val="MDPI13authornames"/>
    <w:qFormat/>
    <w:rsid w:val="00B415BD"/>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B415BD"/>
    <w:pPr>
      <w:spacing w:after="120"/>
      <w:ind w:firstLine="0"/>
      <w:jc w:val="left"/>
    </w:pPr>
    <w:rPr>
      <w:b/>
      <w:snapToGrid/>
    </w:rPr>
  </w:style>
  <w:style w:type="paragraph" w:customStyle="1" w:styleId="MDPI14history">
    <w:name w:val="MDPI_1.4_history"/>
    <w:basedOn w:val="MDPI62Acknowledgments"/>
    <w:next w:val="Normal"/>
    <w:qFormat/>
    <w:rsid w:val="00B415BD"/>
    <w:pPr>
      <w:ind w:left="113"/>
      <w:jc w:val="left"/>
    </w:pPr>
    <w:rPr>
      <w:snapToGrid/>
    </w:rPr>
  </w:style>
  <w:style w:type="paragraph" w:customStyle="1" w:styleId="MDPI16affiliation">
    <w:name w:val="MDPI_1.6_affiliation"/>
    <w:basedOn w:val="MDPI62Acknowledgments"/>
    <w:qFormat/>
    <w:rsid w:val="00B415BD"/>
    <w:pPr>
      <w:spacing w:before="0"/>
      <w:ind w:left="311" w:hanging="198"/>
      <w:jc w:val="left"/>
    </w:pPr>
    <w:rPr>
      <w:snapToGrid/>
      <w:szCs w:val="18"/>
    </w:rPr>
  </w:style>
  <w:style w:type="paragraph" w:customStyle="1" w:styleId="MDPI17abstract">
    <w:name w:val="MDPI_1.7_abstract"/>
    <w:basedOn w:val="MDPI31text"/>
    <w:next w:val="MDPI18keywords"/>
    <w:qFormat/>
    <w:rsid w:val="00B415BD"/>
    <w:pPr>
      <w:spacing w:before="240"/>
      <w:ind w:left="113" w:firstLine="0"/>
    </w:pPr>
    <w:rPr>
      <w:snapToGrid/>
    </w:rPr>
  </w:style>
  <w:style w:type="paragraph" w:customStyle="1" w:styleId="MDPI18keywords">
    <w:name w:val="MDPI_1.8_keywords"/>
    <w:basedOn w:val="MDPI31text"/>
    <w:next w:val="Normal"/>
    <w:qFormat/>
    <w:rsid w:val="00B415BD"/>
    <w:pPr>
      <w:spacing w:before="240"/>
      <w:ind w:left="113" w:firstLine="0"/>
    </w:pPr>
  </w:style>
  <w:style w:type="paragraph" w:customStyle="1" w:styleId="MDPI19line">
    <w:name w:val="MDPI_1.9_line"/>
    <w:basedOn w:val="MDPI31text"/>
    <w:qFormat/>
    <w:rsid w:val="00B415BD"/>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B415BD"/>
    <w:pPr>
      <w:adjustRightInd w:val="0"/>
      <w:snapToGrid w:val="0"/>
      <w:spacing w:line="300" w:lineRule="exact"/>
      <w:jc w:val="center"/>
    </w:pPr>
    <w:rPr>
      <w:rFonts w:ascii="Times New Roman" w:hAnsi="Times New Roman"/>
      <w:lang w:val="de-DE" w:eastAsia="de-DE"/>
    </w:rPr>
    <w:tblPr>
      <w:jc w:val="center"/>
      <w:tblInd w:w="0" w:type="dxa"/>
      <w:tblBorders>
        <w:bottom w:val="single" w:sz="8" w:space="0" w:color="auto"/>
      </w:tblBorders>
      <w:tblCellMar>
        <w:top w:w="0" w:type="dxa"/>
        <w:left w:w="108" w:type="dxa"/>
        <w:bottom w:w="0" w:type="dxa"/>
        <w:right w:w="108" w:type="dxa"/>
      </w:tblCellMar>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39"/>
    <w:rsid w:val="00B415BD"/>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B415BD"/>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B415BD"/>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B415BD"/>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B415BD"/>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B415BD"/>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B415BD"/>
    <w:pPr>
      <w:ind w:firstLine="0"/>
    </w:pPr>
  </w:style>
  <w:style w:type="paragraph" w:customStyle="1" w:styleId="MDPI33textspaceafter">
    <w:name w:val="MDPI_3.3_text_space_after"/>
    <w:basedOn w:val="MDPI31text"/>
    <w:qFormat/>
    <w:rsid w:val="00B415BD"/>
    <w:pPr>
      <w:spacing w:after="240"/>
    </w:pPr>
  </w:style>
  <w:style w:type="paragraph" w:customStyle="1" w:styleId="MDPI35textbeforelist">
    <w:name w:val="MDPI_3.5_text_before_list"/>
    <w:basedOn w:val="MDPI31text"/>
    <w:qFormat/>
    <w:rsid w:val="00B415BD"/>
    <w:pPr>
      <w:spacing w:after="120"/>
    </w:pPr>
  </w:style>
  <w:style w:type="paragraph" w:customStyle="1" w:styleId="MDPI36textafterlist">
    <w:name w:val="MDPI_3.6_text_after_list"/>
    <w:basedOn w:val="MDPI31text"/>
    <w:qFormat/>
    <w:rsid w:val="00B415BD"/>
    <w:pPr>
      <w:spacing w:before="120"/>
    </w:pPr>
  </w:style>
  <w:style w:type="paragraph" w:customStyle="1" w:styleId="MDPI37itemize">
    <w:name w:val="MDPI_3.7_itemize"/>
    <w:basedOn w:val="MDPI31text"/>
    <w:qFormat/>
    <w:rsid w:val="00B415BD"/>
    <w:pPr>
      <w:numPr>
        <w:numId w:val="1"/>
      </w:numPr>
      <w:ind w:left="425" w:hanging="425"/>
    </w:pPr>
  </w:style>
  <w:style w:type="paragraph" w:customStyle="1" w:styleId="MDPI38bullet">
    <w:name w:val="MDPI_3.8_bullet"/>
    <w:basedOn w:val="MDPI31text"/>
    <w:qFormat/>
    <w:rsid w:val="00B415BD"/>
    <w:pPr>
      <w:numPr>
        <w:numId w:val="2"/>
      </w:numPr>
      <w:ind w:left="425" w:hanging="425"/>
    </w:pPr>
  </w:style>
  <w:style w:type="paragraph" w:customStyle="1" w:styleId="MDPI39equation">
    <w:name w:val="MDPI_3.9_equation"/>
    <w:basedOn w:val="MDPI31text"/>
    <w:qFormat/>
    <w:rsid w:val="00B415BD"/>
    <w:pPr>
      <w:spacing w:before="120" w:after="120"/>
      <w:ind w:left="709" w:firstLine="0"/>
      <w:jc w:val="center"/>
    </w:pPr>
  </w:style>
  <w:style w:type="paragraph" w:customStyle="1" w:styleId="MDPI3aequationnumber">
    <w:name w:val="MDPI_3.a_equation_number"/>
    <w:basedOn w:val="MDPI31text"/>
    <w:qFormat/>
    <w:rsid w:val="00B415BD"/>
    <w:pPr>
      <w:spacing w:before="120" w:after="120" w:line="240" w:lineRule="auto"/>
      <w:ind w:firstLine="0"/>
      <w:jc w:val="right"/>
    </w:pPr>
  </w:style>
  <w:style w:type="paragraph" w:customStyle="1" w:styleId="MDPI62Acknowledgments">
    <w:name w:val="MDPI_6.2_Acknowledgments"/>
    <w:qFormat/>
    <w:rsid w:val="00B415BD"/>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B415BD"/>
    <w:pPr>
      <w:spacing w:before="240" w:after="120" w:line="260" w:lineRule="atLeast"/>
      <w:ind w:left="425" w:right="425"/>
    </w:pPr>
    <w:rPr>
      <w:snapToGrid/>
      <w:szCs w:val="22"/>
    </w:rPr>
  </w:style>
  <w:style w:type="paragraph" w:customStyle="1" w:styleId="MDPI42tablebody">
    <w:name w:val="MDPI_4.2_table_body"/>
    <w:qFormat/>
    <w:rsid w:val="003252CE"/>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B415BD"/>
    <w:pPr>
      <w:spacing w:before="0"/>
      <w:ind w:left="0" w:right="0"/>
    </w:pPr>
  </w:style>
  <w:style w:type="paragraph" w:customStyle="1" w:styleId="MDPI51figurecaption">
    <w:name w:val="MDPI_5.1_figure_caption"/>
    <w:basedOn w:val="MDPI62Acknowledgments"/>
    <w:qFormat/>
    <w:rsid w:val="00B415BD"/>
    <w:pPr>
      <w:spacing w:after="240" w:line="260" w:lineRule="atLeast"/>
      <w:ind w:left="425" w:right="425"/>
    </w:pPr>
    <w:rPr>
      <w:snapToGrid/>
    </w:rPr>
  </w:style>
  <w:style w:type="paragraph" w:customStyle="1" w:styleId="MDPI52figure">
    <w:name w:val="MDPI_5.2_figure"/>
    <w:qFormat/>
    <w:rsid w:val="00B415BD"/>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B415BD"/>
    <w:pPr>
      <w:spacing w:before="240"/>
    </w:pPr>
    <w:rPr>
      <w:lang w:eastAsia="en-US"/>
    </w:rPr>
  </w:style>
  <w:style w:type="paragraph" w:customStyle="1" w:styleId="MDPI63AuthorContributions">
    <w:name w:val="MDPI_6.3_AuthorContributions"/>
    <w:basedOn w:val="MDPI62Acknowledgments"/>
    <w:qFormat/>
    <w:rsid w:val="00B415BD"/>
    <w:rPr>
      <w:rFonts w:eastAsia="宋体"/>
      <w:color w:val="auto"/>
      <w:lang w:eastAsia="en-US"/>
    </w:rPr>
  </w:style>
  <w:style w:type="paragraph" w:customStyle="1" w:styleId="MDPI64CoI">
    <w:name w:val="MDPI_6.4_CoI"/>
    <w:basedOn w:val="MDPI62Acknowledgments"/>
    <w:qFormat/>
    <w:rsid w:val="00B415BD"/>
  </w:style>
  <w:style w:type="paragraph" w:customStyle="1" w:styleId="MDPI31text">
    <w:name w:val="MDPI_3.1_text"/>
    <w:qFormat/>
    <w:rsid w:val="00B415BD"/>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B415BD"/>
    <w:pPr>
      <w:spacing w:before="240" w:after="120"/>
      <w:ind w:firstLine="0"/>
      <w:jc w:val="left"/>
      <w:outlineLvl w:val="2"/>
    </w:pPr>
  </w:style>
  <w:style w:type="paragraph" w:customStyle="1" w:styleId="MDPI21heading1">
    <w:name w:val="MDPI_2.1_heading1"/>
    <w:basedOn w:val="MDPI23heading3"/>
    <w:qFormat/>
    <w:rsid w:val="00B415BD"/>
    <w:pPr>
      <w:outlineLvl w:val="0"/>
    </w:pPr>
    <w:rPr>
      <w:b/>
    </w:rPr>
  </w:style>
  <w:style w:type="paragraph" w:customStyle="1" w:styleId="MDPI22heading2">
    <w:name w:val="MDPI_2.2_heading2"/>
    <w:basedOn w:val="Normal"/>
    <w:qFormat/>
    <w:rsid w:val="00B415BD"/>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B415BD"/>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B415BD"/>
    <w:pPr>
      <w:spacing w:line="240" w:lineRule="auto"/>
    </w:pPr>
    <w:rPr>
      <w:sz w:val="18"/>
      <w:szCs w:val="18"/>
    </w:rPr>
  </w:style>
  <w:style w:type="character" w:customStyle="1" w:styleId="BalloonTextChar">
    <w:name w:val="Balloon Text Char"/>
    <w:link w:val="BalloonText"/>
    <w:uiPriority w:val="99"/>
    <w:semiHidden/>
    <w:rsid w:val="00B415BD"/>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B415BD"/>
  </w:style>
  <w:style w:type="table" w:customStyle="1" w:styleId="MDPI41threelinetable">
    <w:name w:val="MDPI_4.1_three_line_table"/>
    <w:basedOn w:val="TableNormal"/>
    <w:uiPriority w:val="99"/>
    <w:rsid w:val="003252CE"/>
    <w:pPr>
      <w:adjustRightInd w:val="0"/>
      <w:snapToGrid w:val="0"/>
      <w:jc w:val="center"/>
    </w:pPr>
    <w:rPr>
      <w:rFonts w:ascii="Palatino Linotype" w:hAnsi="Palatino Linotype"/>
      <w:color w:val="000000"/>
    </w:rPr>
    <w:tblPr>
      <w:jc w:val="center"/>
      <w:tblInd w:w="0" w:type="dxa"/>
      <w:tblBorders>
        <w:top w:val="single" w:sz="8" w:space="0" w:color="auto"/>
        <w:bottom w:val="single" w:sz="8" w:space="0" w:color="auto"/>
      </w:tblBorders>
      <w:tblCellMar>
        <w:top w:w="0" w:type="dxa"/>
        <w:left w:w="108" w:type="dxa"/>
        <w:bottom w:w="0" w:type="dxa"/>
        <w:right w:w="108" w:type="dxa"/>
      </w:tblCellMar>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B40C50"/>
    <w:rPr>
      <w:color w:val="0563C1"/>
      <w:u w:val="single"/>
    </w:rPr>
  </w:style>
  <w:style w:type="character" w:customStyle="1" w:styleId="UnresolvedMention1">
    <w:name w:val="Unresolved Mention1"/>
    <w:uiPriority w:val="99"/>
    <w:semiHidden/>
    <w:unhideWhenUsed/>
    <w:rsid w:val="009E3C6B"/>
    <w:rPr>
      <w:color w:val="605E5C"/>
      <w:shd w:val="clear" w:color="auto" w:fill="E1DFDD"/>
    </w:rPr>
  </w:style>
  <w:style w:type="table" w:styleId="PlainTable4">
    <w:name w:val="Plain Table 4"/>
    <w:basedOn w:val="TableNormal"/>
    <w:uiPriority w:val="44"/>
    <w:rsid w:val="005F63C5"/>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4Char">
    <w:name w:val="Heading 4 Char"/>
    <w:basedOn w:val="DefaultParagraphFont"/>
    <w:link w:val="Heading4"/>
    <w:uiPriority w:val="9"/>
    <w:rsid w:val="0048748C"/>
    <w:rPr>
      <w:rFonts w:ascii="Times New Roman" w:eastAsiaTheme="majorEastAsia" w:hAnsi="Times New Roman" w:cstheme="majorBidi"/>
      <w:b/>
      <w:sz w:val="24"/>
      <w:szCs w:val="22"/>
      <w:lang w:val="ro-RO"/>
    </w:rPr>
  </w:style>
  <w:style w:type="paragraph" w:styleId="HTMLPreformatted">
    <w:name w:val="HTML Preformatted"/>
    <w:basedOn w:val="Normal"/>
    <w:link w:val="HTMLPreformattedChar"/>
    <w:uiPriority w:val="99"/>
    <w:unhideWhenUsed/>
    <w:rsid w:val="004874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color w:val="auto"/>
      <w:sz w:val="20"/>
      <w:lang w:eastAsia="en-US"/>
    </w:rPr>
  </w:style>
  <w:style w:type="character" w:customStyle="1" w:styleId="HTMLPreformattedChar">
    <w:name w:val="HTML Preformatted Char"/>
    <w:basedOn w:val="DefaultParagraphFont"/>
    <w:link w:val="HTMLPreformatted"/>
    <w:uiPriority w:val="99"/>
    <w:rsid w:val="0048748C"/>
    <w:rPr>
      <w:rFonts w:ascii="Courier New" w:eastAsia="Times New Roman" w:hAnsi="Courier New" w:cs="Courier New"/>
    </w:rPr>
  </w:style>
  <w:style w:type="table" w:styleId="PlainTable2">
    <w:name w:val="Plain Table 2"/>
    <w:basedOn w:val="TableNormal"/>
    <w:uiPriority w:val="42"/>
    <w:rsid w:val="0048748C"/>
    <w:rPr>
      <w:rFonts w:asciiTheme="minorHAnsi" w:eastAsiaTheme="minorHAnsi" w:hAnsiTheme="minorHAnsi" w:cstheme="minorBidi"/>
      <w:sz w:val="22"/>
      <w:szCs w:val="22"/>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ListParagraph">
    <w:name w:val="List Paragraph"/>
    <w:basedOn w:val="Normal"/>
    <w:uiPriority w:val="34"/>
    <w:qFormat/>
    <w:rsid w:val="0091773E"/>
    <w:pPr>
      <w:ind w:left="720"/>
      <w:contextualSpacing/>
    </w:pPr>
  </w:style>
  <w:style w:type="character" w:styleId="CommentReference">
    <w:name w:val="annotation reference"/>
    <w:basedOn w:val="DefaultParagraphFont"/>
    <w:uiPriority w:val="99"/>
    <w:semiHidden/>
    <w:unhideWhenUsed/>
    <w:rsid w:val="002B5481"/>
    <w:rPr>
      <w:sz w:val="16"/>
      <w:szCs w:val="16"/>
    </w:rPr>
  </w:style>
  <w:style w:type="paragraph" w:styleId="CommentText">
    <w:name w:val="annotation text"/>
    <w:basedOn w:val="Normal"/>
    <w:link w:val="CommentTextChar"/>
    <w:uiPriority w:val="99"/>
    <w:semiHidden/>
    <w:unhideWhenUsed/>
    <w:rsid w:val="002B5481"/>
    <w:pPr>
      <w:spacing w:line="240" w:lineRule="auto"/>
    </w:pPr>
    <w:rPr>
      <w:sz w:val="20"/>
    </w:rPr>
  </w:style>
  <w:style w:type="character" w:customStyle="1" w:styleId="CommentTextChar">
    <w:name w:val="Comment Text Char"/>
    <w:basedOn w:val="DefaultParagraphFont"/>
    <w:link w:val="CommentText"/>
    <w:uiPriority w:val="99"/>
    <w:semiHidden/>
    <w:rsid w:val="002B5481"/>
    <w:rPr>
      <w:rFonts w:ascii="Times New Roman" w:eastAsia="Times New Roman" w:hAnsi="Times New Roman"/>
      <w:color w:val="000000"/>
      <w:lang w:eastAsia="de-DE"/>
    </w:rPr>
  </w:style>
  <w:style w:type="paragraph" w:styleId="CommentSubject">
    <w:name w:val="annotation subject"/>
    <w:basedOn w:val="CommentText"/>
    <w:next w:val="CommentText"/>
    <w:link w:val="CommentSubjectChar"/>
    <w:uiPriority w:val="99"/>
    <w:semiHidden/>
    <w:unhideWhenUsed/>
    <w:rsid w:val="002B5481"/>
    <w:rPr>
      <w:b/>
      <w:bCs/>
    </w:rPr>
  </w:style>
  <w:style w:type="character" w:customStyle="1" w:styleId="CommentSubjectChar">
    <w:name w:val="Comment Subject Char"/>
    <w:basedOn w:val="CommentTextChar"/>
    <w:link w:val="CommentSubject"/>
    <w:uiPriority w:val="99"/>
    <w:semiHidden/>
    <w:rsid w:val="002B5481"/>
    <w:rPr>
      <w:rFonts w:ascii="Times New Roman" w:eastAsia="Times New Roman" w:hAnsi="Times New Roman"/>
      <w:b/>
      <w:bCs/>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header" Target="header1.xml"/><Relationship Id="rId22" Type="http://schemas.microsoft.com/office/2016/09/relationships/commentsIds" Target="commentsIds.xml"/></Relationships>
</file>

<file path=word/_rels/header3.xml.rels><?xml version="1.0" encoding="UTF-8" standalone="yes"?>
<Relationships xmlns="http://schemas.openxmlformats.org/package/2006/relationships"><Relationship Id="rId3" Type="http://schemas.openxmlformats.org/officeDocument/2006/relationships/image" Target="media/image9.png"/><Relationship Id="rId2" Type="http://schemas.openxmlformats.org/officeDocument/2006/relationships/image" Target="media/image80.png"/><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uela.calin\Downloads\pharmaceutics-template%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pharmaceutics-template (1).dot</Template>
  <TotalTime>11</TotalTime>
  <Pages>8</Pages>
  <Words>2624</Words>
  <Characters>14058</Characters>
  <Application>Microsoft Office Word</Application>
  <DocSecurity>0</DocSecurity>
  <Lines>335</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16545</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Calin</dc:creator>
  <cp:keywords/>
  <dc:description/>
  <cp:lastModifiedBy>MDPI</cp:lastModifiedBy>
  <cp:revision>8</cp:revision>
  <cp:lastPrinted>2020-11-05T06:28:00Z</cp:lastPrinted>
  <dcterms:created xsi:type="dcterms:W3CDTF">2020-11-09T08:23:00Z</dcterms:created>
  <dcterms:modified xsi:type="dcterms:W3CDTF">2020-11-09T10:01:00Z</dcterms:modified>
</cp:coreProperties>
</file>