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3161" w:rsidRDefault="00433161" w:rsidP="00433161">
      <w:pPr>
        <w:jc w:val="center"/>
      </w:pPr>
      <w:r>
        <w:rPr>
          <w:b/>
          <w:sz w:val="32"/>
        </w:rPr>
        <w:t>Roadmap to rebound: how to address rebound effects from resource efficiency policy</w:t>
      </w:r>
    </w:p>
    <w:p w:rsidR="00433161" w:rsidRDefault="00433161" w:rsidP="00433161"/>
    <w:p w:rsidR="00433161" w:rsidRPr="002B7F96" w:rsidRDefault="00433161" w:rsidP="00433161">
      <w:pPr>
        <w:rPr>
          <w:vertAlign w:val="superscript"/>
        </w:rPr>
      </w:pPr>
      <w:r w:rsidRPr="002B7F96">
        <w:t xml:space="preserve">David </w:t>
      </w:r>
      <w:r w:rsidRPr="002B7F96">
        <w:rPr>
          <w:u w:val="single"/>
        </w:rPr>
        <w:t>Font Vivanco</w:t>
      </w:r>
      <w:r w:rsidRPr="002B7F96">
        <w:rPr>
          <w:u w:val="single"/>
          <w:vertAlign w:val="superscript"/>
        </w:rPr>
        <w:t>1*</w:t>
      </w:r>
      <w:r w:rsidRPr="002B7F96">
        <w:t xml:space="preserve">, </w:t>
      </w:r>
      <w:proofErr w:type="spellStart"/>
      <w:r w:rsidRPr="002B7F96">
        <w:t>Serenella</w:t>
      </w:r>
      <w:proofErr w:type="spellEnd"/>
      <w:r w:rsidRPr="002B7F96">
        <w:t xml:space="preserve"> </w:t>
      </w:r>
      <w:r w:rsidRPr="002B7F96">
        <w:rPr>
          <w:u w:val="single"/>
        </w:rPr>
        <w:t>Sala</w:t>
      </w:r>
      <w:r w:rsidRPr="002B7F96">
        <w:rPr>
          <w:u w:val="single"/>
          <w:vertAlign w:val="superscript"/>
        </w:rPr>
        <w:t>2</w:t>
      </w:r>
      <w:r w:rsidRPr="002B7F96">
        <w:rPr>
          <w:u w:val="single"/>
        </w:rPr>
        <w:t>,</w:t>
      </w:r>
      <w:r w:rsidRPr="002B7F96">
        <w:t xml:space="preserve"> and Will</w:t>
      </w:r>
      <w:r w:rsidRPr="002B7F96">
        <w:rPr>
          <w:u w:val="single"/>
        </w:rPr>
        <w:t xml:space="preserve"> McDowall</w:t>
      </w:r>
      <w:r w:rsidRPr="002B7F96">
        <w:rPr>
          <w:u w:val="single"/>
          <w:vertAlign w:val="superscript"/>
        </w:rPr>
        <w:t>1</w:t>
      </w:r>
    </w:p>
    <w:p w:rsidR="00433161" w:rsidRPr="002B7F96" w:rsidRDefault="00433161" w:rsidP="00433161"/>
    <w:p w:rsidR="00433161" w:rsidRPr="004F1224" w:rsidRDefault="00433161" w:rsidP="00433161">
      <w:r w:rsidRPr="004F1224">
        <w:rPr>
          <w:vertAlign w:val="superscript"/>
        </w:rPr>
        <w:t>1</w:t>
      </w:r>
      <w:r w:rsidRPr="004F1224">
        <w:t xml:space="preserve"> UCL Institute for Sustainable Resources, University College London (UCL), WC1H 0NN London, United Kingdom</w:t>
      </w:r>
    </w:p>
    <w:p w:rsidR="00433161" w:rsidRDefault="00433161" w:rsidP="00433161">
      <w:r w:rsidRPr="004F1224">
        <w:rPr>
          <w:vertAlign w:val="superscript"/>
        </w:rPr>
        <w:t>2</w:t>
      </w:r>
      <w:r w:rsidRPr="004F1224">
        <w:t xml:space="preserve"> </w:t>
      </w:r>
      <w:r w:rsidRPr="00875614">
        <w:t xml:space="preserve">European Commission, Joint Research Centre, Directorate D: Sustainable Resources, </w:t>
      </w:r>
      <w:proofErr w:type="spellStart"/>
      <w:r w:rsidRPr="00875614">
        <w:t>Bioeconomy</w:t>
      </w:r>
      <w:proofErr w:type="spellEnd"/>
      <w:r w:rsidRPr="00875614">
        <w:t xml:space="preserve"> Unit, </w:t>
      </w:r>
      <w:proofErr w:type="spellStart"/>
      <w:r w:rsidRPr="00875614">
        <w:t>Ispra</w:t>
      </w:r>
      <w:proofErr w:type="spellEnd"/>
      <w:r w:rsidRPr="00875614">
        <w:t>, Italy</w:t>
      </w:r>
    </w:p>
    <w:p w:rsidR="00433161" w:rsidRDefault="00433161" w:rsidP="00433161">
      <w:r>
        <w:t xml:space="preserve">* Corresponding author: </w:t>
      </w:r>
      <w:r w:rsidRPr="00D22184">
        <w:t>David Font Vivanco; e-mail: d.vivanco@ucl.ac.uk; Tel.: +44(0)20 3108 5935</w:t>
      </w:r>
    </w:p>
    <w:p w:rsidR="00433161" w:rsidRPr="004F1224" w:rsidRDefault="00433161" w:rsidP="00433161"/>
    <w:p w:rsidR="00433161" w:rsidRPr="003D15DF" w:rsidRDefault="00433161" w:rsidP="00433161">
      <w:pPr>
        <w:pStyle w:val="Heading1"/>
      </w:pPr>
      <w:r>
        <w:t>Supporting information</w:t>
      </w:r>
    </w:p>
    <w:p w:rsidR="00433161" w:rsidRDefault="00433161"/>
    <w:p w:rsidR="00083454" w:rsidRDefault="00083454"/>
    <w:p w:rsidR="00083454" w:rsidRDefault="00083454"/>
    <w:p w:rsidR="00083454" w:rsidRDefault="00083454">
      <w:pPr>
        <w:sectPr w:rsidR="00083454">
          <w:footerReference w:type="default" r:id="rId7"/>
          <w:pgSz w:w="11906" w:h="16838"/>
          <w:pgMar w:top="1440" w:right="1440" w:bottom="1440" w:left="1440" w:header="708" w:footer="708" w:gutter="0"/>
          <w:cols w:space="708"/>
          <w:docGrid w:linePitch="360"/>
        </w:sectPr>
      </w:pPr>
    </w:p>
    <w:p w:rsidR="00083454" w:rsidRDefault="00083454">
      <w:r>
        <w:rPr>
          <w:b/>
          <w:sz w:val="24"/>
          <w:szCs w:val="24"/>
        </w:rPr>
        <w:lastRenderedPageBreak/>
        <w:t>Table S1</w:t>
      </w:r>
      <w:r>
        <w:rPr>
          <w:sz w:val="24"/>
          <w:szCs w:val="24"/>
        </w:rPr>
        <w:t>. Classification of the reviewed studies according to desired characteristics in terms of scope, rebound mechanisms, product properties, and indicators, for assessing rebound effects from policy. A cross symbol means that the study considers a particular characteristic in its analysis.</w:t>
      </w:r>
    </w:p>
    <w:tbl>
      <w:tblPr>
        <w:tblStyle w:val="TableGrid"/>
        <w:tblW w:w="13948" w:type="dxa"/>
        <w:tblLook w:val="04A0" w:firstRow="1" w:lastRow="0" w:firstColumn="1" w:lastColumn="0" w:noHBand="0" w:noVBand="1"/>
      </w:tblPr>
      <w:tblGrid>
        <w:gridCol w:w="1337"/>
        <w:gridCol w:w="1192"/>
        <w:gridCol w:w="1147"/>
        <w:gridCol w:w="892"/>
        <w:gridCol w:w="1291"/>
        <w:gridCol w:w="1132"/>
        <w:gridCol w:w="1193"/>
        <w:gridCol w:w="666"/>
        <w:gridCol w:w="794"/>
        <w:gridCol w:w="939"/>
        <w:gridCol w:w="956"/>
        <w:gridCol w:w="737"/>
        <w:gridCol w:w="661"/>
        <w:gridCol w:w="1011"/>
      </w:tblGrid>
      <w:tr w:rsidR="00083454" w:rsidRPr="000B7DCC" w:rsidTr="00DF4327">
        <w:trPr>
          <w:tblHeader/>
        </w:trPr>
        <w:tc>
          <w:tcPr>
            <w:tcW w:w="1337" w:type="dxa"/>
            <w:vMerge w:val="restart"/>
          </w:tcPr>
          <w:p w:rsidR="00083454" w:rsidRPr="000B7DCC" w:rsidRDefault="00083454" w:rsidP="00DF4327">
            <w:pPr>
              <w:rPr>
                <w:b/>
                <w:sz w:val="18"/>
                <w:szCs w:val="24"/>
              </w:rPr>
            </w:pPr>
            <w:r w:rsidRPr="000B7DCC">
              <w:rPr>
                <w:b/>
                <w:sz w:val="18"/>
                <w:szCs w:val="24"/>
              </w:rPr>
              <w:t>Study</w:t>
            </w:r>
          </w:p>
        </w:tc>
        <w:tc>
          <w:tcPr>
            <w:tcW w:w="1192" w:type="dxa"/>
            <w:vMerge w:val="restart"/>
          </w:tcPr>
          <w:p w:rsidR="00083454" w:rsidRPr="000B7DCC" w:rsidRDefault="00083454" w:rsidP="00DF4327">
            <w:pPr>
              <w:rPr>
                <w:b/>
                <w:sz w:val="18"/>
                <w:szCs w:val="24"/>
              </w:rPr>
            </w:pPr>
            <w:r w:rsidRPr="000B7DCC">
              <w:rPr>
                <w:b/>
                <w:sz w:val="18"/>
                <w:szCs w:val="24"/>
              </w:rPr>
              <w:t>Focus</w:t>
            </w:r>
          </w:p>
        </w:tc>
        <w:tc>
          <w:tcPr>
            <w:tcW w:w="875" w:type="dxa"/>
            <w:vMerge w:val="restart"/>
          </w:tcPr>
          <w:p w:rsidR="00083454" w:rsidRPr="000B7DCC" w:rsidRDefault="00083454" w:rsidP="00DF4327">
            <w:pPr>
              <w:rPr>
                <w:b/>
                <w:sz w:val="18"/>
                <w:szCs w:val="24"/>
              </w:rPr>
            </w:pPr>
            <w:r>
              <w:rPr>
                <w:b/>
                <w:sz w:val="18"/>
                <w:szCs w:val="24"/>
              </w:rPr>
              <w:t>Area(s) of policy intervention</w:t>
            </w:r>
          </w:p>
        </w:tc>
        <w:tc>
          <w:tcPr>
            <w:tcW w:w="892" w:type="dxa"/>
            <w:vMerge w:val="restart"/>
          </w:tcPr>
          <w:p w:rsidR="00083454" w:rsidRPr="000B7DCC" w:rsidRDefault="00083454" w:rsidP="00DF4327">
            <w:pPr>
              <w:rPr>
                <w:b/>
                <w:sz w:val="18"/>
                <w:szCs w:val="24"/>
              </w:rPr>
            </w:pPr>
            <w:r w:rsidRPr="000B7DCC">
              <w:rPr>
                <w:b/>
                <w:sz w:val="18"/>
                <w:szCs w:val="24"/>
              </w:rPr>
              <w:t>Rebound effect size</w:t>
            </w:r>
          </w:p>
        </w:tc>
        <w:tc>
          <w:tcPr>
            <w:tcW w:w="1291" w:type="dxa"/>
            <w:vMerge w:val="restart"/>
          </w:tcPr>
          <w:p w:rsidR="00083454" w:rsidRPr="000B7DCC" w:rsidRDefault="00083454" w:rsidP="00DF4327">
            <w:pPr>
              <w:rPr>
                <w:b/>
                <w:sz w:val="18"/>
                <w:szCs w:val="24"/>
              </w:rPr>
            </w:pPr>
            <w:r w:rsidRPr="000B7DCC">
              <w:rPr>
                <w:b/>
                <w:sz w:val="18"/>
                <w:szCs w:val="24"/>
              </w:rPr>
              <w:t xml:space="preserve">Key </w:t>
            </w:r>
            <w:r>
              <w:rPr>
                <w:b/>
                <w:sz w:val="18"/>
                <w:szCs w:val="24"/>
              </w:rPr>
              <w:t>drivers</w:t>
            </w:r>
          </w:p>
        </w:tc>
        <w:tc>
          <w:tcPr>
            <w:tcW w:w="2325" w:type="dxa"/>
            <w:gridSpan w:val="2"/>
          </w:tcPr>
          <w:p w:rsidR="00083454" w:rsidRPr="000B7DCC" w:rsidRDefault="00083454" w:rsidP="00DF4327">
            <w:pPr>
              <w:rPr>
                <w:b/>
                <w:sz w:val="18"/>
                <w:szCs w:val="24"/>
              </w:rPr>
            </w:pPr>
            <w:r w:rsidRPr="000B7DCC">
              <w:rPr>
                <w:b/>
                <w:sz w:val="18"/>
                <w:szCs w:val="24"/>
              </w:rPr>
              <w:t>Scope</w:t>
            </w:r>
          </w:p>
        </w:tc>
        <w:tc>
          <w:tcPr>
            <w:tcW w:w="2399" w:type="dxa"/>
            <w:gridSpan w:val="3"/>
          </w:tcPr>
          <w:p w:rsidR="00083454" w:rsidRPr="000B7DCC" w:rsidRDefault="00083454" w:rsidP="00DF4327">
            <w:pPr>
              <w:rPr>
                <w:b/>
                <w:sz w:val="18"/>
                <w:szCs w:val="24"/>
              </w:rPr>
            </w:pPr>
            <w:r w:rsidRPr="000B7DCC">
              <w:rPr>
                <w:b/>
                <w:sz w:val="18"/>
                <w:szCs w:val="24"/>
              </w:rPr>
              <w:t>Rebound mechanisms</w:t>
            </w:r>
          </w:p>
        </w:tc>
        <w:tc>
          <w:tcPr>
            <w:tcW w:w="1693" w:type="dxa"/>
            <w:gridSpan w:val="2"/>
          </w:tcPr>
          <w:p w:rsidR="00083454" w:rsidRPr="000B7DCC" w:rsidRDefault="00083454" w:rsidP="00DF4327">
            <w:pPr>
              <w:rPr>
                <w:b/>
                <w:sz w:val="18"/>
                <w:szCs w:val="24"/>
              </w:rPr>
            </w:pPr>
            <w:r w:rsidRPr="000B7DCC">
              <w:rPr>
                <w:b/>
                <w:sz w:val="18"/>
                <w:szCs w:val="24"/>
              </w:rPr>
              <w:t>Product properties</w:t>
            </w:r>
          </w:p>
        </w:tc>
        <w:tc>
          <w:tcPr>
            <w:tcW w:w="1944" w:type="dxa"/>
            <w:gridSpan w:val="2"/>
          </w:tcPr>
          <w:p w:rsidR="00083454" w:rsidRPr="000B7DCC" w:rsidRDefault="00083454" w:rsidP="00DF4327">
            <w:pPr>
              <w:rPr>
                <w:b/>
                <w:sz w:val="18"/>
                <w:szCs w:val="24"/>
              </w:rPr>
            </w:pPr>
            <w:r w:rsidRPr="000B7DCC">
              <w:rPr>
                <w:b/>
                <w:sz w:val="18"/>
                <w:szCs w:val="24"/>
              </w:rPr>
              <w:t>Indicators</w:t>
            </w:r>
          </w:p>
        </w:tc>
      </w:tr>
      <w:tr w:rsidR="00083454" w:rsidRPr="000B7DCC" w:rsidTr="00DF4327">
        <w:trPr>
          <w:tblHeader/>
        </w:trPr>
        <w:tc>
          <w:tcPr>
            <w:tcW w:w="1337" w:type="dxa"/>
            <w:vMerge/>
          </w:tcPr>
          <w:p w:rsidR="00083454" w:rsidRPr="000B7DCC" w:rsidRDefault="00083454" w:rsidP="00DF4327">
            <w:pPr>
              <w:rPr>
                <w:b/>
                <w:sz w:val="18"/>
                <w:szCs w:val="24"/>
              </w:rPr>
            </w:pPr>
          </w:p>
        </w:tc>
        <w:tc>
          <w:tcPr>
            <w:tcW w:w="1192" w:type="dxa"/>
            <w:vMerge/>
          </w:tcPr>
          <w:p w:rsidR="00083454" w:rsidRPr="000B7DCC" w:rsidRDefault="00083454" w:rsidP="00DF4327">
            <w:pPr>
              <w:rPr>
                <w:b/>
                <w:sz w:val="18"/>
                <w:szCs w:val="24"/>
              </w:rPr>
            </w:pPr>
          </w:p>
        </w:tc>
        <w:tc>
          <w:tcPr>
            <w:tcW w:w="875" w:type="dxa"/>
            <w:vMerge/>
          </w:tcPr>
          <w:p w:rsidR="00083454" w:rsidRPr="000B7DCC" w:rsidRDefault="00083454" w:rsidP="00DF4327">
            <w:pPr>
              <w:rPr>
                <w:b/>
                <w:sz w:val="18"/>
                <w:szCs w:val="24"/>
              </w:rPr>
            </w:pPr>
          </w:p>
        </w:tc>
        <w:tc>
          <w:tcPr>
            <w:tcW w:w="892" w:type="dxa"/>
            <w:vMerge/>
          </w:tcPr>
          <w:p w:rsidR="00083454" w:rsidRPr="000B7DCC" w:rsidRDefault="00083454" w:rsidP="00DF4327">
            <w:pPr>
              <w:rPr>
                <w:b/>
                <w:sz w:val="18"/>
                <w:szCs w:val="24"/>
              </w:rPr>
            </w:pPr>
          </w:p>
        </w:tc>
        <w:tc>
          <w:tcPr>
            <w:tcW w:w="1291" w:type="dxa"/>
            <w:vMerge/>
          </w:tcPr>
          <w:p w:rsidR="00083454" w:rsidRPr="000B7DCC" w:rsidRDefault="00083454" w:rsidP="00DF4327">
            <w:pPr>
              <w:rPr>
                <w:b/>
                <w:sz w:val="18"/>
                <w:szCs w:val="24"/>
              </w:rPr>
            </w:pPr>
          </w:p>
        </w:tc>
        <w:tc>
          <w:tcPr>
            <w:tcW w:w="1132" w:type="dxa"/>
          </w:tcPr>
          <w:p w:rsidR="00083454" w:rsidRPr="000B7DCC" w:rsidRDefault="00083454" w:rsidP="00DF4327">
            <w:pPr>
              <w:rPr>
                <w:b/>
                <w:sz w:val="18"/>
                <w:szCs w:val="24"/>
              </w:rPr>
            </w:pPr>
            <w:r w:rsidRPr="000B7DCC">
              <w:rPr>
                <w:b/>
                <w:sz w:val="18"/>
                <w:szCs w:val="24"/>
              </w:rPr>
              <w:t>Endogenous technical changes</w:t>
            </w:r>
          </w:p>
        </w:tc>
        <w:tc>
          <w:tcPr>
            <w:tcW w:w="1193" w:type="dxa"/>
          </w:tcPr>
          <w:p w:rsidR="00083454" w:rsidRPr="000B7DCC" w:rsidRDefault="00083454" w:rsidP="00DF4327">
            <w:pPr>
              <w:rPr>
                <w:b/>
                <w:sz w:val="18"/>
                <w:szCs w:val="24"/>
              </w:rPr>
            </w:pPr>
            <w:r w:rsidRPr="000B7DCC">
              <w:rPr>
                <w:b/>
                <w:sz w:val="18"/>
                <w:szCs w:val="24"/>
              </w:rPr>
              <w:t>Regional</w:t>
            </w:r>
            <w:r>
              <w:rPr>
                <w:b/>
                <w:sz w:val="18"/>
                <w:szCs w:val="24"/>
              </w:rPr>
              <w:t>, national or international</w:t>
            </w:r>
            <w:r w:rsidRPr="000B7DCC">
              <w:rPr>
                <w:b/>
                <w:sz w:val="18"/>
                <w:szCs w:val="24"/>
              </w:rPr>
              <w:t xml:space="preserve"> level</w:t>
            </w:r>
          </w:p>
        </w:tc>
        <w:tc>
          <w:tcPr>
            <w:tcW w:w="666" w:type="dxa"/>
          </w:tcPr>
          <w:p w:rsidR="00083454" w:rsidRPr="000B7DCC" w:rsidRDefault="00083454" w:rsidP="00DF4327">
            <w:pPr>
              <w:rPr>
                <w:b/>
                <w:sz w:val="18"/>
                <w:szCs w:val="24"/>
              </w:rPr>
            </w:pPr>
            <w:r w:rsidRPr="000B7DCC">
              <w:rPr>
                <w:b/>
                <w:sz w:val="18"/>
                <w:szCs w:val="24"/>
              </w:rPr>
              <w:t>Direct effect</w:t>
            </w:r>
          </w:p>
        </w:tc>
        <w:tc>
          <w:tcPr>
            <w:tcW w:w="794" w:type="dxa"/>
          </w:tcPr>
          <w:p w:rsidR="00083454" w:rsidRPr="000B7DCC" w:rsidRDefault="00083454" w:rsidP="00DF4327">
            <w:pPr>
              <w:rPr>
                <w:b/>
                <w:sz w:val="18"/>
                <w:szCs w:val="24"/>
              </w:rPr>
            </w:pPr>
            <w:r w:rsidRPr="000B7DCC">
              <w:rPr>
                <w:b/>
                <w:sz w:val="18"/>
                <w:szCs w:val="24"/>
              </w:rPr>
              <w:t>Indirect effects</w:t>
            </w:r>
          </w:p>
        </w:tc>
        <w:tc>
          <w:tcPr>
            <w:tcW w:w="939" w:type="dxa"/>
          </w:tcPr>
          <w:p w:rsidR="00083454" w:rsidRPr="000B7DCC" w:rsidRDefault="00083454" w:rsidP="00DF4327">
            <w:pPr>
              <w:rPr>
                <w:b/>
                <w:sz w:val="18"/>
                <w:szCs w:val="24"/>
              </w:rPr>
            </w:pPr>
            <w:r w:rsidRPr="000B7DCC">
              <w:rPr>
                <w:b/>
                <w:sz w:val="18"/>
                <w:szCs w:val="24"/>
              </w:rPr>
              <w:t>Macro-economic effects</w:t>
            </w:r>
          </w:p>
        </w:tc>
        <w:tc>
          <w:tcPr>
            <w:tcW w:w="956" w:type="dxa"/>
          </w:tcPr>
          <w:p w:rsidR="00083454" w:rsidRPr="000B7DCC" w:rsidRDefault="00083454" w:rsidP="00DF4327">
            <w:pPr>
              <w:rPr>
                <w:b/>
                <w:sz w:val="18"/>
                <w:szCs w:val="24"/>
              </w:rPr>
            </w:pPr>
            <w:r w:rsidRPr="000B7DCC">
              <w:rPr>
                <w:b/>
                <w:sz w:val="18"/>
                <w:szCs w:val="24"/>
              </w:rPr>
              <w:t>Changes in product attributes</w:t>
            </w:r>
          </w:p>
        </w:tc>
        <w:tc>
          <w:tcPr>
            <w:tcW w:w="737" w:type="dxa"/>
          </w:tcPr>
          <w:p w:rsidR="00083454" w:rsidRPr="000B7DCC" w:rsidRDefault="00083454" w:rsidP="00DF4327">
            <w:pPr>
              <w:rPr>
                <w:b/>
                <w:sz w:val="18"/>
                <w:szCs w:val="24"/>
              </w:rPr>
            </w:pPr>
            <w:r w:rsidRPr="000B7DCC">
              <w:rPr>
                <w:b/>
                <w:sz w:val="18"/>
                <w:szCs w:val="24"/>
              </w:rPr>
              <w:t>Capital costs</w:t>
            </w:r>
          </w:p>
        </w:tc>
        <w:tc>
          <w:tcPr>
            <w:tcW w:w="661" w:type="dxa"/>
          </w:tcPr>
          <w:p w:rsidR="00083454" w:rsidRPr="000B7DCC" w:rsidRDefault="00083454" w:rsidP="00DF4327">
            <w:pPr>
              <w:rPr>
                <w:b/>
                <w:sz w:val="18"/>
                <w:szCs w:val="24"/>
              </w:rPr>
            </w:pPr>
            <w:r w:rsidRPr="000B7DCC">
              <w:rPr>
                <w:b/>
                <w:sz w:val="18"/>
                <w:szCs w:val="24"/>
              </w:rPr>
              <w:t>Life cycle- based</w:t>
            </w:r>
          </w:p>
        </w:tc>
        <w:tc>
          <w:tcPr>
            <w:tcW w:w="1283" w:type="dxa"/>
          </w:tcPr>
          <w:p w:rsidR="00083454" w:rsidRPr="000B7DCC" w:rsidRDefault="00083454" w:rsidP="00DF4327">
            <w:pPr>
              <w:rPr>
                <w:b/>
                <w:sz w:val="18"/>
                <w:szCs w:val="24"/>
              </w:rPr>
            </w:pPr>
            <w:r w:rsidRPr="000B7DCC">
              <w:rPr>
                <w:b/>
                <w:sz w:val="18"/>
                <w:szCs w:val="24"/>
              </w:rPr>
              <w:t>Multiple indicators</w:t>
            </w:r>
          </w:p>
        </w:tc>
      </w:tr>
      <w:tr w:rsidR="00083454" w:rsidRPr="000B7DCC" w:rsidTr="00DF4327">
        <w:tc>
          <w:tcPr>
            <w:tcW w:w="1337" w:type="dxa"/>
          </w:tcPr>
          <w:p w:rsidR="00083454" w:rsidRDefault="00083454" w:rsidP="00DF4327">
            <w:pPr>
              <w:rPr>
                <w:sz w:val="18"/>
                <w:szCs w:val="24"/>
              </w:rPr>
            </w:pPr>
            <w:r>
              <w:rPr>
                <w:sz w:val="18"/>
                <w:szCs w:val="24"/>
              </w:rPr>
              <w:fldChar w:fldCharType="begin" w:fldLock="1"/>
            </w:r>
            <w:r w:rsidR="007663EB">
              <w:rPr>
                <w:sz w:val="18"/>
                <w:szCs w:val="24"/>
              </w:rPr>
              <w:instrText>ADDIN CSL_CITATION { "citationItems" : [ { "id" : "ITEM-1", "itemData" : { "DOI" : "10.1111/jiec.12702", "ISSN" : "10881980", "author" : [ { "dropping-particle" : "", "family" : "Wood", "given" : "Richard", "non-dropping-particle" : "", "parse-names" : false, "suffix" : "" }, { "dropping-particle" : "", "family" : "Moran", "given" : "Daniel", "non-dropping-particle" : "", "parse-names" : false, "suffix" : "" }, { "dropping-particle" : "", "family" : "Stadler", "given" : "Konstantin", "non-dropping-particle" : "", "parse-names" : false, "suffix" : "" }, { "dropping-particle" : "", "family" : "Ivanova", "given" : "Diana", "non-dropping-particle" : "", "parse-names" : false, "suffix" : "" }, { "dropping-particle" : "", "family" : "Steen-Olsen", "given" : "Kjartan", "non-dropping-particle" : "", "parse-names" : false, "suffix" : "" }, { "dropping-particle" : "", "family" : "Tisserant", "given" : "Alexandre", "non-dropping-particle" : "", "parse-names" : false, "suffix" : "" }, { "dropping-particle" : "", "family" : "Hertwich", "given" : "Edgar G.", "non-dropping-particle" : "", "parse-names" : false, "suffix" : "" } ], "container-title" : "Journal of Industrial Ecology", "id" : "ITEM-1", "issued" : { "date-parts" : [ [ "2017", "11", "27" ] ] }, "title" : "Prioritizing Consumption-Based Carbon Policy Based on the Evaluation of Mitigation Potential Using Input-Output Methods", "type" : "article-journal" }, "uris" : [ "http://www.mendeley.com/documents/?uuid=bb401fbc-5f83-396e-b6b1-09b33789cf88" ] } ], "mendeley" : { "formattedCitation" : "(Wood et al., 2017)", "plainTextFormattedCitation" : "(Wood et al., 2017)", "previouslyFormattedCitation" : "[1]" }, "properties" : {  }, "schema" : "https://github.com/citation-style-language/schema/raw/master/csl-citation.json" }</w:instrText>
            </w:r>
            <w:r>
              <w:rPr>
                <w:sz w:val="18"/>
                <w:szCs w:val="24"/>
              </w:rPr>
              <w:fldChar w:fldCharType="separate"/>
            </w:r>
            <w:r w:rsidR="007663EB" w:rsidRPr="007663EB">
              <w:rPr>
                <w:noProof/>
                <w:sz w:val="18"/>
                <w:szCs w:val="24"/>
              </w:rPr>
              <w:t>(Wood et al., 2017)</w:t>
            </w:r>
            <w:r>
              <w:rPr>
                <w:sz w:val="18"/>
                <w:szCs w:val="24"/>
              </w:rPr>
              <w:fldChar w:fldCharType="end"/>
            </w:r>
          </w:p>
        </w:tc>
        <w:tc>
          <w:tcPr>
            <w:tcW w:w="1192" w:type="dxa"/>
          </w:tcPr>
          <w:p w:rsidR="00083454" w:rsidRPr="000B7DCC" w:rsidRDefault="00083454" w:rsidP="00DF4327">
            <w:pPr>
              <w:rPr>
                <w:sz w:val="18"/>
                <w:szCs w:val="24"/>
              </w:rPr>
            </w:pPr>
            <w:r>
              <w:rPr>
                <w:sz w:val="18"/>
                <w:szCs w:val="24"/>
              </w:rPr>
              <w:t>C</w:t>
            </w:r>
            <w:r w:rsidRPr="00C15440">
              <w:rPr>
                <w:sz w:val="18"/>
                <w:szCs w:val="24"/>
              </w:rPr>
              <w:t>onsumer-oriented diet and clothing</w:t>
            </w:r>
            <w:r>
              <w:rPr>
                <w:sz w:val="18"/>
                <w:szCs w:val="24"/>
              </w:rPr>
              <w:t xml:space="preserve"> policy </w:t>
            </w:r>
            <w:r w:rsidRPr="00C15440">
              <w:rPr>
                <w:sz w:val="18"/>
                <w:szCs w:val="24"/>
              </w:rPr>
              <w:t>interventions in Europe</w:t>
            </w:r>
            <w:r>
              <w:rPr>
                <w:sz w:val="18"/>
                <w:szCs w:val="24"/>
              </w:rPr>
              <w:t>.</w:t>
            </w:r>
          </w:p>
        </w:tc>
        <w:tc>
          <w:tcPr>
            <w:tcW w:w="875" w:type="dxa"/>
          </w:tcPr>
          <w:p w:rsidR="00083454" w:rsidRDefault="00083454" w:rsidP="00DF4327">
            <w:pPr>
              <w:rPr>
                <w:sz w:val="18"/>
                <w:szCs w:val="24"/>
              </w:rPr>
            </w:pPr>
            <w:r>
              <w:rPr>
                <w:sz w:val="18"/>
                <w:szCs w:val="24"/>
              </w:rPr>
              <w:t>Food and clothing</w:t>
            </w:r>
          </w:p>
        </w:tc>
        <w:tc>
          <w:tcPr>
            <w:tcW w:w="892" w:type="dxa"/>
          </w:tcPr>
          <w:p w:rsidR="00083454" w:rsidRPr="000B7DCC" w:rsidRDefault="00083454" w:rsidP="00DF4327">
            <w:pPr>
              <w:rPr>
                <w:sz w:val="18"/>
                <w:szCs w:val="24"/>
              </w:rPr>
            </w:pPr>
            <w:r>
              <w:rPr>
                <w:sz w:val="18"/>
                <w:szCs w:val="24"/>
              </w:rPr>
              <w:t>25 to 75%</w:t>
            </w:r>
          </w:p>
        </w:tc>
        <w:tc>
          <w:tcPr>
            <w:tcW w:w="1291" w:type="dxa"/>
          </w:tcPr>
          <w:p w:rsidR="00083454" w:rsidRDefault="00083454" w:rsidP="00DF4327">
            <w:pPr>
              <w:rPr>
                <w:sz w:val="18"/>
                <w:szCs w:val="24"/>
              </w:rPr>
            </w:pPr>
            <w:r>
              <w:rPr>
                <w:sz w:val="18"/>
                <w:szCs w:val="24"/>
              </w:rPr>
              <w:t>Direct economic savings and differences in carbon intensity</w:t>
            </w:r>
          </w:p>
        </w:tc>
        <w:tc>
          <w:tcPr>
            <w:tcW w:w="1132" w:type="dxa"/>
          </w:tcPr>
          <w:p w:rsidR="00083454" w:rsidRPr="000B7DCC" w:rsidRDefault="00083454" w:rsidP="00DF4327">
            <w:pPr>
              <w:jc w:val="center"/>
              <w:rPr>
                <w:sz w:val="18"/>
                <w:szCs w:val="24"/>
              </w:rPr>
            </w:pPr>
            <w:r>
              <w:rPr>
                <w:sz w:val="18"/>
                <w:szCs w:val="24"/>
              </w:rPr>
              <w:t>X (Expert opinion)</w:t>
            </w:r>
          </w:p>
        </w:tc>
        <w:tc>
          <w:tcPr>
            <w:tcW w:w="1193" w:type="dxa"/>
          </w:tcPr>
          <w:p w:rsidR="00083454" w:rsidRPr="000B7DCC" w:rsidRDefault="00083454" w:rsidP="00DF4327">
            <w:pPr>
              <w:jc w:val="center"/>
              <w:rPr>
                <w:sz w:val="18"/>
                <w:szCs w:val="24"/>
              </w:rPr>
            </w:pPr>
            <w:r>
              <w:rPr>
                <w:sz w:val="18"/>
                <w:szCs w:val="24"/>
              </w:rPr>
              <w:t>International</w:t>
            </w:r>
          </w:p>
        </w:tc>
        <w:tc>
          <w:tcPr>
            <w:tcW w:w="666" w:type="dxa"/>
          </w:tcPr>
          <w:p w:rsidR="00083454" w:rsidRPr="000B7DCC" w:rsidRDefault="00083454" w:rsidP="00DF4327">
            <w:pPr>
              <w:jc w:val="center"/>
              <w:rPr>
                <w:sz w:val="18"/>
                <w:szCs w:val="24"/>
              </w:rPr>
            </w:pPr>
          </w:p>
        </w:tc>
        <w:tc>
          <w:tcPr>
            <w:tcW w:w="794" w:type="dxa"/>
          </w:tcPr>
          <w:p w:rsidR="00083454" w:rsidRPr="000B7DCC" w:rsidRDefault="00083454" w:rsidP="00DF4327">
            <w:pPr>
              <w:jc w:val="center"/>
              <w:rPr>
                <w:sz w:val="18"/>
                <w:szCs w:val="24"/>
              </w:rPr>
            </w:pPr>
            <w:r>
              <w:rPr>
                <w:sz w:val="18"/>
                <w:szCs w:val="24"/>
              </w:rPr>
              <w:t>x</w:t>
            </w:r>
          </w:p>
        </w:tc>
        <w:tc>
          <w:tcPr>
            <w:tcW w:w="939" w:type="dxa"/>
          </w:tcPr>
          <w:p w:rsidR="00083454" w:rsidRPr="000B7DCC" w:rsidRDefault="00083454" w:rsidP="00DF4327">
            <w:pPr>
              <w:jc w:val="center"/>
              <w:rPr>
                <w:sz w:val="18"/>
                <w:szCs w:val="24"/>
              </w:rPr>
            </w:pPr>
          </w:p>
        </w:tc>
        <w:tc>
          <w:tcPr>
            <w:tcW w:w="956" w:type="dxa"/>
          </w:tcPr>
          <w:p w:rsidR="00083454" w:rsidRPr="000B7DCC" w:rsidRDefault="00083454" w:rsidP="00DF4327">
            <w:pPr>
              <w:jc w:val="center"/>
              <w:rPr>
                <w:sz w:val="18"/>
                <w:szCs w:val="24"/>
              </w:rPr>
            </w:pPr>
          </w:p>
        </w:tc>
        <w:tc>
          <w:tcPr>
            <w:tcW w:w="737" w:type="dxa"/>
          </w:tcPr>
          <w:p w:rsidR="00083454" w:rsidRPr="000B7DCC" w:rsidRDefault="00083454" w:rsidP="00DF4327">
            <w:pPr>
              <w:jc w:val="center"/>
              <w:rPr>
                <w:sz w:val="18"/>
                <w:szCs w:val="24"/>
              </w:rPr>
            </w:pPr>
          </w:p>
        </w:tc>
        <w:tc>
          <w:tcPr>
            <w:tcW w:w="661" w:type="dxa"/>
          </w:tcPr>
          <w:p w:rsidR="00083454" w:rsidRPr="000B7DCC" w:rsidRDefault="00083454" w:rsidP="00DF4327">
            <w:pPr>
              <w:jc w:val="center"/>
              <w:rPr>
                <w:sz w:val="18"/>
                <w:szCs w:val="24"/>
              </w:rPr>
            </w:pPr>
            <w:r>
              <w:rPr>
                <w:sz w:val="18"/>
                <w:szCs w:val="24"/>
              </w:rPr>
              <w:t>x</w:t>
            </w:r>
          </w:p>
        </w:tc>
        <w:tc>
          <w:tcPr>
            <w:tcW w:w="1283" w:type="dxa"/>
          </w:tcPr>
          <w:p w:rsidR="00083454" w:rsidRPr="000B7DCC" w:rsidRDefault="00083454" w:rsidP="00DF4327">
            <w:pPr>
              <w:jc w:val="center"/>
              <w:rPr>
                <w:sz w:val="18"/>
                <w:szCs w:val="24"/>
              </w:rPr>
            </w:pPr>
          </w:p>
        </w:tc>
      </w:tr>
      <w:tr w:rsidR="00083454" w:rsidRPr="000B7DCC" w:rsidTr="00DF4327">
        <w:tc>
          <w:tcPr>
            <w:tcW w:w="1337" w:type="dxa"/>
          </w:tcPr>
          <w:p w:rsidR="00083454" w:rsidRPr="000B7DCC" w:rsidRDefault="00083454" w:rsidP="00DF4327">
            <w:pPr>
              <w:rPr>
                <w:sz w:val="18"/>
                <w:szCs w:val="24"/>
              </w:rPr>
            </w:pPr>
            <w:r>
              <w:rPr>
                <w:sz w:val="18"/>
                <w:szCs w:val="24"/>
              </w:rPr>
              <w:fldChar w:fldCharType="begin" w:fldLock="1"/>
            </w:r>
            <w:r w:rsidR="007663EB">
              <w:rPr>
                <w:sz w:val="18"/>
                <w:szCs w:val="24"/>
              </w:rPr>
              <w:instrText>ADDIN CSL_CITATION { "citationItems" : [ { "id" : "ITEM-1", "itemData" : { "ISBN" : "0304-3800", "author" : [ { "dropping-particle" : "", "family" : "Freire-Gonz\u00e1lez", "given" : "Jaume", "non-dropping-particle" : "", "parse-names" : false, "suffix" : "" } ], "container-title" : "Ecological Modelling\rCan We Break the Addiction to Fossil Energy? Special Issue, 7th Biennial International Workshop Advances in Energy Studies, Barcelona, Spain, 19-21 October 2010", "id" : "ITEM-1", "issue" : "1", "issued" : { "date-parts" : [ [ "2011" ] ] }, "page" : "32-40", "title" : "Methods to empirically estimate direct and indirect rebound effect of energy-saving technological changes in households", "type" : "article", "volume" : "223" }, "uris" : [ "http://www.mendeley.com/documents/?uuid=28c5d8b6-3c14-477b-8829-bf31e5eb5e33" ] } ], "mendeley" : { "formattedCitation" : "(Freire-Gonz\u00e1lez, 2011)", "plainTextFormattedCitation" : "(Freire-Gonz\u00e1lez, 2011)", "previouslyFormattedCitation" : "[2]" }, "properties" : {  }, "schema" : "https://github.com/citation-style-language/schema/raw/master/csl-citation.json" }</w:instrText>
            </w:r>
            <w:r>
              <w:rPr>
                <w:sz w:val="18"/>
                <w:szCs w:val="24"/>
              </w:rPr>
              <w:fldChar w:fldCharType="separate"/>
            </w:r>
            <w:r w:rsidR="007663EB" w:rsidRPr="007663EB">
              <w:rPr>
                <w:noProof/>
                <w:sz w:val="18"/>
                <w:szCs w:val="24"/>
              </w:rPr>
              <w:t>(Freire-González, 2011)</w:t>
            </w:r>
            <w:r>
              <w:rPr>
                <w:sz w:val="18"/>
                <w:szCs w:val="24"/>
              </w:rPr>
              <w:fldChar w:fldCharType="end"/>
            </w:r>
          </w:p>
        </w:tc>
        <w:tc>
          <w:tcPr>
            <w:tcW w:w="1192" w:type="dxa"/>
          </w:tcPr>
          <w:p w:rsidR="00083454" w:rsidRPr="000B7DCC" w:rsidRDefault="00083454" w:rsidP="00DF4327">
            <w:pPr>
              <w:rPr>
                <w:sz w:val="18"/>
                <w:szCs w:val="24"/>
              </w:rPr>
            </w:pPr>
            <w:r w:rsidRPr="000B7DCC">
              <w:rPr>
                <w:sz w:val="18"/>
                <w:szCs w:val="24"/>
              </w:rPr>
              <w:t xml:space="preserve">Energy performance of </w:t>
            </w:r>
            <w:r>
              <w:rPr>
                <w:sz w:val="18"/>
                <w:szCs w:val="24"/>
              </w:rPr>
              <w:t xml:space="preserve">household </w:t>
            </w:r>
            <w:r w:rsidRPr="000B7DCC">
              <w:rPr>
                <w:sz w:val="18"/>
                <w:szCs w:val="24"/>
              </w:rPr>
              <w:t>energy efficiency policies in Catalonia</w:t>
            </w:r>
          </w:p>
        </w:tc>
        <w:tc>
          <w:tcPr>
            <w:tcW w:w="875" w:type="dxa"/>
          </w:tcPr>
          <w:p w:rsidR="00083454" w:rsidRPr="000B7DCC" w:rsidRDefault="00083454" w:rsidP="00DF4327">
            <w:pPr>
              <w:rPr>
                <w:sz w:val="18"/>
                <w:szCs w:val="24"/>
              </w:rPr>
            </w:pPr>
            <w:r>
              <w:rPr>
                <w:sz w:val="18"/>
                <w:szCs w:val="24"/>
              </w:rPr>
              <w:t>Energy</w:t>
            </w:r>
          </w:p>
        </w:tc>
        <w:tc>
          <w:tcPr>
            <w:tcW w:w="892" w:type="dxa"/>
          </w:tcPr>
          <w:p w:rsidR="00083454" w:rsidRPr="000B7DCC" w:rsidRDefault="00083454" w:rsidP="00DF4327">
            <w:pPr>
              <w:rPr>
                <w:sz w:val="18"/>
                <w:szCs w:val="24"/>
              </w:rPr>
            </w:pPr>
            <w:r w:rsidRPr="000B7DCC">
              <w:rPr>
                <w:sz w:val="18"/>
                <w:szCs w:val="24"/>
              </w:rPr>
              <w:t>35</w:t>
            </w:r>
            <w:r>
              <w:rPr>
                <w:sz w:val="18"/>
                <w:szCs w:val="24"/>
              </w:rPr>
              <w:t xml:space="preserve"> to </w:t>
            </w:r>
            <w:r w:rsidRPr="000B7DCC">
              <w:rPr>
                <w:sz w:val="18"/>
                <w:szCs w:val="24"/>
              </w:rPr>
              <w:t>49%</w:t>
            </w:r>
          </w:p>
        </w:tc>
        <w:tc>
          <w:tcPr>
            <w:tcW w:w="1291" w:type="dxa"/>
          </w:tcPr>
          <w:p w:rsidR="00083454" w:rsidRPr="000B7DCC" w:rsidRDefault="00083454" w:rsidP="00DF4327">
            <w:pPr>
              <w:rPr>
                <w:sz w:val="18"/>
                <w:szCs w:val="24"/>
              </w:rPr>
            </w:pPr>
            <w:r>
              <w:rPr>
                <w:sz w:val="18"/>
                <w:szCs w:val="24"/>
              </w:rPr>
              <w:t>Direct economic savings</w:t>
            </w:r>
          </w:p>
        </w:tc>
        <w:tc>
          <w:tcPr>
            <w:tcW w:w="1132" w:type="dxa"/>
          </w:tcPr>
          <w:p w:rsidR="00083454" w:rsidRPr="000B7DCC" w:rsidRDefault="00083454" w:rsidP="00DF4327">
            <w:pPr>
              <w:jc w:val="center"/>
              <w:rPr>
                <w:sz w:val="18"/>
                <w:szCs w:val="24"/>
              </w:rPr>
            </w:pPr>
            <w:r>
              <w:rPr>
                <w:sz w:val="18"/>
                <w:szCs w:val="24"/>
              </w:rPr>
              <w:t>X (Empirical evidence)</w:t>
            </w:r>
          </w:p>
        </w:tc>
        <w:tc>
          <w:tcPr>
            <w:tcW w:w="1193" w:type="dxa"/>
          </w:tcPr>
          <w:p w:rsidR="00083454" w:rsidRPr="000B7DCC" w:rsidRDefault="00083454" w:rsidP="00DF4327">
            <w:pPr>
              <w:jc w:val="center"/>
              <w:rPr>
                <w:sz w:val="18"/>
                <w:szCs w:val="24"/>
              </w:rPr>
            </w:pPr>
            <w:r>
              <w:rPr>
                <w:sz w:val="18"/>
                <w:szCs w:val="24"/>
              </w:rPr>
              <w:t>Regional</w:t>
            </w:r>
          </w:p>
        </w:tc>
        <w:tc>
          <w:tcPr>
            <w:tcW w:w="666" w:type="dxa"/>
          </w:tcPr>
          <w:p w:rsidR="00083454" w:rsidRPr="000B7DCC" w:rsidRDefault="00083454" w:rsidP="00DF4327">
            <w:pPr>
              <w:jc w:val="center"/>
              <w:rPr>
                <w:sz w:val="18"/>
                <w:szCs w:val="24"/>
              </w:rPr>
            </w:pPr>
            <w:r w:rsidRPr="000B7DCC">
              <w:rPr>
                <w:sz w:val="18"/>
                <w:szCs w:val="24"/>
              </w:rPr>
              <w:t>x</w:t>
            </w:r>
          </w:p>
        </w:tc>
        <w:tc>
          <w:tcPr>
            <w:tcW w:w="794" w:type="dxa"/>
          </w:tcPr>
          <w:p w:rsidR="00083454" w:rsidRPr="000B7DCC" w:rsidRDefault="00083454" w:rsidP="00DF4327">
            <w:pPr>
              <w:jc w:val="center"/>
              <w:rPr>
                <w:sz w:val="18"/>
                <w:szCs w:val="24"/>
              </w:rPr>
            </w:pPr>
          </w:p>
        </w:tc>
        <w:tc>
          <w:tcPr>
            <w:tcW w:w="939" w:type="dxa"/>
          </w:tcPr>
          <w:p w:rsidR="00083454" w:rsidRPr="000B7DCC" w:rsidRDefault="00083454" w:rsidP="00DF4327">
            <w:pPr>
              <w:jc w:val="center"/>
              <w:rPr>
                <w:sz w:val="18"/>
                <w:szCs w:val="24"/>
              </w:rPr>
            </w:pPr>
          </w:p>
        </w:tc>
        <w:tc>
          <w:tcPr>
            <w:tcW w:w="956" w:type="dxa"/>
          </w:tcPr>
          <w:p w:rsidR="00083454" w:rsidRPr="000B7DCC" w:rsidRDefault="00083454" w:rsidP="00DF4327">
            <w:pPr>
              <w:jc w:val="center"/>
              <w:rPr>
                <w:sz w:val="18"/>
                <w:szCs w:val="24"/>
              </w:rPr>
            </w:pPr>
          </w:p>
        </w:tc>
        <w:tc>
          <w:tcPr>
            <w:tcW w:w="737" w:type="dxa"/>
          </w:tcPr>
          <w:p w:rsidR="00083454" w:rsidRPr="000B7DCC" w:rsidRDefault="00083454" w:rsidP="00DF4327">
            <w:pPr>
              <w:jc w:val="center"/>
              <w:rPr>
                <w:sz w:val="18"/>
                <w:szCs w:val="24"/>
              </w:rPr>
            </w:pPr>
          </w:p>
        </w:tc>
        <w:tc>
          <w:tcPr>
            <w:tcW w:w="661" w:type="dxa"/>
          </w:tcPr>
          <w:p w:rsidR="00083454" w:rsidRPr="000B7DCC" w:rsidRDefault="00083454" w:rsidP="00DF4327">
            <w:pPr>
              <w:jc w:val="center"/>
              <w:rPr>
                <w:sz w:val="18"/>
                <w:szCs w:val="24"/>
              </w:rPr>
            </w:pPr>
          </w:p>
        </w:tc>
        <w:tc>
          <w:tcPr>
            <w:tcW w:w="1283" w:type="dxa"/>
          </w:tcPr>
          <w:p w:rsidR="00083454" w:rsidRPr="000B7DCC" w:rsidRDefault="00083454" w:rsidP="00DF4327">
            <w:pPr>
              <w:jc w:val="center"/>
              <w:rPr>
                <w:sz w:val="18"/>
                <w:szCs w:val="24"/>
              </w:rPr>
            </w:pPr>
          </w:p>
        </w:tc>
      </w:tr>
      <w:tr w:rsidR="00083454" w:rsidRPr="000B7DCC" w:rsidTr="00DF4327">
        <w:tc>
          <w:tcPr>
            <w:tcW w:w="1337" w:type="dxa"/>
          </w:tcPr>
          <w:p w:rsidR="00083454" w:rsidRPr="000B7DCC" w:rsidRDefault="00083454" w:rsidP="00DF4327">
            <w:pPr>
              <w:rPr>
                <w:sz w:val="18"/>
                <w:szCs w:val="24"/>
              </w:rPr>
            </w:pPr>
            <w:r>
              <w:rPr>
                <w:sz w:val="18"/>
                <w:szCs w:val="24"/>
              </w:rPr>
              <w:fldChar w:fldCharType="begin" w:fldLock="1"/>
            </w:r>
            <w:r w:rsidR="007663EB">
              <w:rPr>
                <w:sz w:val="18"/>
                <w:szCs w:val="24"/>
              </w:rPr>
              <w:instrText>ADDIN CSL_CITATION { "citationItems" : [ { "id" : "ITEM-1", "itemData" : { "DOI" : "10.1111/ecoj.12089", "ISBN" : "1468-0297", "author" : [ { "dropping-particle" : "", "family" : "D'Haultf\u0153uille", "given" : "Xavier", "non-dropping-particle" : "", "parse-names" : false, "suffix" : "" }, { "dropping-particle" : "", "family" : "Givord", "given" : "Pauline", "non-dropping-particle" : "", "parse-names" : false, "suffix" : "" }, { "dropping-particle" : "", "family" : "Boutin", "given" : "Xavier", "non-dropping-particle" : "", "parse-names" : false, "suffix" : "" } ], "container-title" : "The economic journal", "id" : "ITEM-1", "issue" : "578", "issued" : { "date-parts" : [ [ "2014" ] ] }, "page" : "F444-F480", "title" : "The Environmental Effect of Green Taxation: The Case of the French Bonus/Malus", "type" : "article-journal", "volume" : "124" }, "uris" : [ "http://www.mendeley.com/documents/?uuid=d7f9a0da-daf5-42f8-84ad-6dcbc8d3d195" ] } ], "mendeley" : { "formattedCitation" : "(D\u2019Haultf\u0153uille et al., 2014)", "plainTextFormattedCitation" : "(D\u2019Haultf\u0153uille et al., 2014)", "previouslyFormattedCitation" : "[3]" }, "properties" : {  }, "schema" : "https://github.com/citation-style-language/schema/raw/master/csl-citation.json" }</w:instrText>
            </w:r>
            <w:r>
              <w:rPr>
                <w:sz w:val="18"/>
                <w:szCs w:val="24"/>
              </w:rPr>
              <w:fldChar w:fldCharType="separate"/>
            </w:r>
            <w:r w:rsidR="007663EB" w:rsidRPr="007663EB">
              <w:rPr>
                <w:noProof/>
                <w:sz w:val="18"/>
                <w:szCs w:val="24"/>
              </w:rPr>
              <w:t>(D’Haultfœuille et al., 2014)</w:t>
            </w:r>
            <w:r>
              <w:rPr>
                <w:sz w:val="18"/>
                <w:szCs w:val="24"/>
              </w:rPr>
              <w:fldChar w:fldCharType="end"/>
            </w:r>
          </w:p>
        </w:tc>
        <w:tc>
          <w:tcPr>
            <w:tcW w:w="1192" w:type="dxa"/>
          </w:tcPr>
          <w:p w:rsidR="00083454" w:rsidRPr="000B7DCC" w:rsidRDefault="00083454" w:rsidP="00DF4327">
            <w:pPr>
              <w:rPr>
                <w:sz w:val="18"/>
                <w:szCs w:val="24"/>
              </w:rPr>
            </w:pPr>
            <w:r>
              <w:rPr>
                <w:sz w:val="18"/>
                <w:szCs w:val="24"/>
              </w:rPr>
              <w:t>F</w:t>
            </w:r>
            <w:r w:rsidRPr="00B80C37">
              <w:rPr>
                <w:sz w:val="18"/>
                <w:szCs w:val="24"/>
              </w:rPr>
              <w:t>eebate scheme to promote the purchase of less polluting cars</w:t>
            </w:r>
            <w:r>
              <w:rPr>
                <w:sz w:val="18"/>
                <w:szCs w:val="24"/>
              </w:rPr>
              <w:t xml:space="preserve"> in France</w:t>
            </w:r>
          </w:p>
        </w:tc>
        <w:tc>
          <w:tcPr>
            <w:tcW w:w="875" w:type="dxa"/>
          </w:tcPr>
          <w:p w:rsidR="00083454" w:rsidRPr="00B80C37" w:rsidRDefault="00083454" w:rsidP="00DF4327">
            <w:pPr>
              <w:rPr>
                <w:sz w:val="18"/>
                <w:szCs w:val="24"/>
              </w:rPr>
            </w:pPr>
            <w:r>
              <w:rPr>
                <w:sz w:val="18"/>
                <w:szCs w:val="24"/>
              </w:rPr>
              <w:t>Transport</w:t>
            </w:r>
          </w:p>
        </w:tc>
        <w:tc>
          <w:tcPr>
            <w:tcW w:w="892" w:type="dxa"/>
          </w:tcPr>
          <w:p w:rsidR="00083454" w:rsidRPr="000B7DCC" w:rsidRDefault="00083454" w:rsidP="00DF4327">
            <w:pPr>
              <w:rPr>
                <w:sz w:val="18"/>
                <w:szCs w:val="24"/>
              </w:rPr>
            </w:pPr>
            <w:r w:rsidRPr="00B80C37">
              <w:rPr>
                <w:sz w:val="18"/>
                <w:szCs w:val="24"/>
              </w:rPr>
              <w:t>35</w:t>
            </w:r>
            <w:r>
              <w:rPr>
                <w:sz w:val="18"/>
                <w:szCs w:val="24"/>
              </w:rPr>
              <w:t xml:space="preserve"> to 170</w:t>
            </w:r>
            <w:r w:rsidRPr="00B80C37">
              <w:rPr>
                <w:sz w:val="18"/>
                <w:szCs w:val="24"/>
              </w:rPr>
              <w:t>%</w:t>
            </w:r>
          </w:p>
        </w:tc>
        <w:tc>
          <w:tcPr>
            <w:tcW w:w="1291" w:type="dxa"/>
          </w:tcPr>
          <w:p w:rsidR="00083454" w:rsidRPr="000B7DCC" w:rsidRDefault="00083454" w:rsidP="00DF4327">
            <w:pPr>
              <w:rPr>
                <w:sz w:val="18"/>
                <w:szCs w:val="24"/>
              </w:rPr>
            </w:pPr>
            <w:r>
              <w:rPr>
                <w:sz w:val="18"/>
                <w:szCs w:val="24"/>
              </w:rPr>
              <w:t>Additional travel demand, increased fleet, and manufacturing scale</w:t>
            </w:r>
          </w:p>
        </w:tc>
        <w:tc>
          <w:tcPr>
            <w:tcW w:w="1132" w:type="dxa"/>
          </w:tcPr>
          <w:p w:rsidR="00083454" w:rsidRPr="000B7DCC" w:rsidRDefault="00083454" w:rsidP="00DF4327">
            <w:pPr>
              <w:jc w:val="center"/>
              <w:rPr>
                <w:sz w:val="18"/>
                <w:szCs w:val="24"/>
              </w:rPr>
            </w:pPr>
            <w:r>
              <w:rPr>
                <w:sz w:val="18"/>
                <w:szCs w:val="24"/>
              </w:rPr>
              <w:t>X (Empirical evidence)</w:t>
            </w:r>
          </w:p>
        </w:tc>
        <w:tc>
          <w:tcPr>
            <w:tcW w:w="1193" w:type="dxa"/>
          </w:tcPr>
          <w:p w:rsidR="00083454" w:rsidRPr="000B7DCC" w:rsidRDefault="00083454" w:rsidP="00DF4327">
            <w:pPr>
              <w:jc w:val="center"/>
              <w:rPr>
                <w:sz w:val="18"/>
                <w:szCs w:val="24"/>
              </w:rPr>
            </w:pPr>
            <w:r>
              <w:rPr>
                <w:sz w:val="18"/>
                <w:szCs w:val="24"/>
              </w:rPr>
              <w:t>National</w:t>
            </w:r>
          </w:p>
        </w:tc>
        <w:tc>
          <w:tcPr>
            <w:tcW w:w="666" w:type="dxa"/>
          </w:tcPr>
          <w:p w:rsidR="00083454" w:rsidRPr="000B7DCC" w:rsidRDefault="00083454" w:rsidP="00DF4327">
            <w:pPr>
              <w:jc w:val="center"/>
              <w:rPr>
                <w:sz w:val="18"/>
                <w:szCs w:val="24"/>
              </w:rPr>
            </w:pPr>
            <w:r w:rsidRPr="000B7DCC">
              <w:rPr>
                <w:sz w:val="18"/>
                <w:szCs w:val="24"/>
              </w:rPr>
              <w:t>x</w:t>
            </w:r>
          </w:p>
        </w:tc>
        <w:tc>
          <w:tcPr>
            <w:tcW w:w="794" w:type="dxa"/>
          </w:tcPr>
          <w:p w:rsidR="00083454" w:rsidRPr="000B7DCC" w:rsidRDefault="00083454" w:rsidP="00DF4327">
            <w:pPr>
              <w:jc w:val="center"/>
              <w:rPr>
                <w:sz w:val="18"/>
                <w:szCs w:val="24"/>
              </w:rPr>
            </w:pPr>
          </w:p>
        </w:tc>
        <w:tc>
          <w:tcPr>
            <w:tcW w:w="939" w:type="dxa"/>
          </w:tcPr>
          <w:p w:rsidR="00083454" w:rsidRPr="000B7DCC" w:rsidRDefault="00083454" w:rsidP="00DF4327">
            <w:pPr>
              <w:jc w:val="center"/>
              <w:rPr>
                <w:sz w:val="18"/>
                <w:szCs w:val="24"/>
              </w:rPr>
            </w:pPr>
          </w:p>
        </w:tc>
        <w:tc>
          <w:tcPr>
            <w:tcW w:w="956" w:type="dxa"/>
          </w:tcPr>
          <w:p w:rsidR="00083454" w:rsidRPr="000B7DCC" w:rsidRDefault="00083454" w:rsidP="00DF4327">
            <w:pPr>
              <w:jc w:val="center"/>
              <w:rPr>
                <w:sz w:val="18"/>
                <w:szCs w:val="24"/>
              </w:rPr>
            </w:pPr>
          </w:p>
        </w:tc>
        <w:tc>
          <w:tcPr>
            <w:tcW w:w="737" w:type="dxa"/>
          </w:tcPr>
          <w:p w:rsidR="00083454" w:rsidRPr="000B7DCC" w:rsidRDefault="00083454" w:rsidP="00DF4327">
            <w:pPr>
              <w:jc w:val="center"/>
              <w:rPr>
                <w:sz w:val="18"/>
                <w:szCs w:val="24"/>
              </w:rPr>
            </w:pPr>
          </w:p>
        </w:tc>
        <w:tc>
          <w:tcPr>
            <w:tcW w:w="661" w:type="dxa"/>
          </w:tcPr>
          <w:p w:rsidR="00083454" w:rsidRPr="000B7DCC" w:rsidRDefault="00083454" w:rsidP="00DF4327">
            <w:pPr>
              <w:jc w:val="center"/>
              <w:rPr>
                <w:sz w:val="18"/>
                <w:szCs w:val="24"/>
              </w:rPr>
            </w:pPr>
          </w:p>
        </w:tc>
        <w:tc>
          <w:tcPr>
            <w:tcW w:w="1283" w:type="dxa"/>
          </w:tcPr>
          <w:p w:rsidR="00083454" w:rsidRPr="000B7DCC" w:rsidRDefault="00083454" w:rsidP="00DF4327">
            <w:pPr>
              <w:jc w:val="center"/>
              <w:rPr>
                <w:sz w:val="18"/>
                <w:szCs w:val="24"/>
              </w:rPr>
            </w:pPr>
          </w:p>
        </w:tc>
      </w:tr>
      <w:tr w:rsidR="00083454" w:rsidRPr="000B7DCC" w:rsidTr="00DF4327">
        <w:tc>
          <w:tcPr>
            <w:tcW w:w="1337" w:type="dxa"/>
          </w:tcPr>
          <w:p w:rsidR="00083454" w:rsidRPr="000B7DCC" w:rsidRDefault="00083454" w:rsidP="00DF4327">
            <w:pPr>
              <w:rPr>
                <w:sz w:val="18"/>
                <w:szCs w:val="24"/>
              </w:rPr>
            </w:pPr>
            <w:r>
              <w:rPr>
                <w:sz w:val="18"/>
                <w:szCs w:val="24"/>
              </w:rPr>
              <w:fldChar w:fldCharType="begin" w:fldLock="1"/>
            </w:r>
            <w:r w:rsidR="007663EB">
              <w:rPr>
                <w:sz w:val="18"/>
                <w:szCs w:val="24"/>
              </w:rPr>
              <w:instrText>ADDIN CSL_CITATION { "citationItems" : [ { "id" : "ITEM-1", "itemData" : { "DOI" : "10.1016/j.enpol.2011.08.011", "ISBN" : "0301-4215", "ISSN" : "03014215", "abstract" : "We examine the impact of recent tax reforms in Ireland on private car transport and its greenhouse gas emissions. A carbon tax was introduced on fuels, and purchase (vehicle registration) and ownership (motor) taxes were switched from engine size to potential emissions. We use a demographic model of the car stock (by age, size, and fuel) and a car purchase model that reflects the heterogeneous distribution of mileage and usage costs across various engine sizes. The model shows a dramatic shift from petrol to diesel cars, particularly for large engines. The same pattern is observed in the latest data on car sales. This has a substantial impact on tax revenue as car owners shift to the lower tax rates. The tax burden has shifted from car ownership to car use, and that the overall tax burden on private car transport falls. As diesel engines are more fuel efficient than petrol engines, carbon dioxide emissions fall modestly or, if we consider the rebound effect of travel costs on mileage, minimally. From the perspective of the revenue, the costs per tonne of carbon dioxide avoided are (very) high. \u00a9 2011 Elsevier Ltd.", "author" : [ { "dropping-particle" : "", "family" : "Hennessy", "given" : "Hugh", "non-dropping-particle" : "", "parse-names" : false, "suffix" : "" }, { "dropping-particle" : "", "family" : "Tol", "given" : "Richard S J", "non-dropping-particle" : "", "parse-names" : false, "suffix" : "" } ], "container-title" : "Energy Policy", "id" : "ITEM-1", "issue" : "11", "issued" : { "date-parts" : [ [ "2011", "11", "1" ] ] }, "page" : "7059-7067", "publisher" : "Elsevier", "title" : "The impact of tax reform on new car purchases in Ireland", "type" : "article-journal", "volume" : "39" }, "uris" : [ "http://www.mendeley.com/documents/?uuid=7b5ed07f-690a-3192-8da0-aff29453f39b" ] } ], "mendeley" : { "formattedCitation" : "(Hennessy and Tol, 2011)", "plainTextFormattedCitation" : "(Hennessy and Tol, 2011)", "previouslyFormattedCitation" : "[4]" }, "properties" : {  }, "schema" : "https://github.com/citation-style-language/schema/raw/master/csl-citation.json" }</w:instrText>
            </w:r>
            <w:r>
              <w:rPr>
                <w:sz w:val="18"/>
                <w:szCs w:val="24"/>
              </w:rPr>
              <w:fldChar w:fldCharType="separate"/>
            </w:r>
            <w:r w:rsidR="007663EB" w:rsidRPr="007663EB">
              <w:rPr>
                <w:noProof/>
                <w:sz w:val="18"/>
                <w:szCs w:val="24"/>
              </w:rPr>
              <w:t>(Hennessy and Tol, 2011)</w:t>
            </w:r>
            <w:r>
              <w:rPr>
                <w:sz w:val="18"/>
                <w:szCs w:val="24"/>
              </w:rPr>
              <w:fldChar w:fldCharType="end"/>
            </w:r>
          </w:p>
        </w:tc>
        <w:tc>
          <w:tcPr>
            <w:tcW w:w="1192" w:type="dxa"/>
          </w:tcPr>
          <w:p w:rsidR="00083454" w:rsidRPr="000B7DCC" w:rsidRDefault="00083454" w:rsidP="00DF4327">
            <w:pPr>
              <w:rPr>
                <w:sz w:val="18"/>
                <w:szCs w:val="24"/>
              </w:rPr>
            </w:pPr>
            <w:r>
              <w:rPr>
                <w:sz w:val="18"/>
                <w:szCs w:val="24"/>
              </w:rPr>
              <w:t>T</w:t>
            </w:r>
            <w:r w:rsidRPr="00B80C37">
              <w:rPr>
                <w:sz w:val="18"/>
                <w:szCs w:val="24"/>
              </w:rPr>
              <w:t>ax reform on new car purchases in Ireland</w:t>
            </w:r>
          </w:p>
        </w:tc>
        <w:tc>
          <w:tcPr>
            <w:tcW w:w="875" w:type="dxa"/>
          </w:tcPr>
          <w:p w:rsidR="00083454" w:rsidRDefault="00083454" w:rsidP="00DF4327">
            <w:pPr>
              <w:rPr>
                <w:sz w:val="18"/>
                <w:szCs w:val="24"/>
              </w:rPr>
            </w:pPr>
            <w:r>
              <w:rPr>
                <w:sz w:val="18"/>
                <w:szCs w:val="24"/>
              </w:rPr>
              <w:t>Transport</w:t>
            </w:r>
          </w:p>
        </w:tc>
        <w:tc>
          <w:tcPr>
            <w:tcW w:w="892" w:type="dxa"/>
          </w:tcPr>
          <w:p w:rsidR="00083454" w:rsidRPr="000B7DCC" w:rsidRDefault="00083454" w:rsidP="00DF4327">
            <w:pPr>
              <w:rPr>
                <w:sz w:val="18"/>
                <w:szCs w:val="24"/>
              </w:rPr>
            </w:pPr>
            <w:r>
              <w:rPr>
                <w:sz w:val="18"/>
                <w:szCs w:val="24"/>
              </w:rPr>
              <w:t>37 to</w:t>
            </w:r>
            <w:r w:rsidRPr="00B80C37">
              <w:rPr>
                <w:sz w:val="18"/>
                <w:szCs w:val="24"/>
              </w:rPr>
              <w:t xml:space="preserve"> 61%</w:t>
            </w:r>
          </w:p>
        </w:tc>
        <w:tc>
          <w:tcPr>
            <w:tcW w:w="1291" w:type="dxa"/>
          </w:tcPr>
          <w:p w:rsidR="00083454" w:rsidRPr="000B7DCC" w:rsidRDefault="00083454" w:rsidP="00DF4327">
            <w:pPr>
              <w:rPr>
                <w:sz w:val="18"/>
                <w:szCs w:val="24"/>
              </w:rPr>
            </w:pPr>
            <w:r>
              <w:rPr>
                <w:sz w:val="18"/>
                <w:szCs w:val="24"/>
              </w:rPr>
              <w:t>Direct economic savings</w:t>
            </w:r>
          </w:p>
        </w:tc>
        <w:tc>
          <w:tcPr>
            <w:tcW w:w="1132" w:type="dxa"/>
          </w:tcPr>
          <w:p w:rsidR="00083454" w:rsidRPr="000B7DCC" w:rsidRDefault="00083454" w:rsidP="00DF4327">
            <w:pPr>
              <w:jc w:val="center"/>
              <w:rPr>
                <w:sz w:val="18"/>
                <w:szCs w:val="24"/>
              </w:rPr>
            </w:pPr>
            <w:r>
              <w:rPr>
                <w:sz w:val="18"/>
                <w:szCs w:val="24"/>
              </w:rPr>
              <w:t>X (Empirical evidence)</w:t>
            </w:r>
          </w:p>
        </w:tc>
        <w:tc>
          <w:tcPr>
            <w:tcW w:w="1193" w:type="dxa"/>
          </w:tcPr>
          <w:p w:rsidR="00083454" w:rsidRPr="000B7DCC" w:rsidRDefault="00083454" w:rsidP="00DF4327">
            <w:pPr>
              <w:jc w:val="center"/>
              <w:rPr>
                <w:sz w:val="18"/>
                <w:szCs w:val="24"/>
              </w:rPr>
            </w:pPr>
            <w:r>
              <w:rPr>
                <w:sz w:val="18"/>
                <w:szCs w:val="24"/>
              </w:rPr>
              <w:t>National</w:t>
            </w:r>
          </w:p>
        </w:tc>
        <w:tc>
          <w:tcPr>
            <w:tcW w:w="666" w:type="dxa"/>
          </w:tcPr>
          <w:p w:rsidR="00083454" w:rsidRPr="000B7DCC" w:rsidRDefault="00083454" w:rsidP="00DF4327">
            <w:pPr>
              <w:jc w:val="center"/>
              <w:rPr>
                <w:sz w:val="18"/>
                <w:szCs w:val="24"/>
              </w:rPr>
            </w:pPr>
            <w:r w:rsidRPr="000B7DCC">
              <w:rPr>
                <w:sz w:val="18"/>
                <w:szCs w:val="24"/>
              </w:rPr>
              <w:t>x</w:t>
            </w:r>
          </w:p>
        </w:tc>
        <w:tc>
          <w:tcPr>
            <w:tcW w:w="794" w:type="dxa"/>
          </w:tcPr>
          <w:p w:rsidR="00083454" w:rsidRPr="000B7DCC" w:rsidRDefault="00083454" w:rsidP="00DF4327">
            <w:pPr>
              <w:jc w:val="center"/>
              <w:rPr>
                <w:sz w:val="18"/>
                <w:szCs w:val="24"/>
              </w:rPr>
            </w:pPr>
          </w:p>
        </w:tc>
        <w:tc>
          <w:tcPr>
            <w:tcW w:w="939" w:type="dxa"/>
          </w:tcPr>
          <w:p w:rsidR="00083454" w:rsidRPr="000B7DCC" w:rsidRDefault="00083454" w:rsidP="00DF4327">
            <w:pPr>
              <w:jc w:val="center"/>
              <w:rPr>
                <w:sz w:val="18"/>
                <w:szCs w:val="24"/>
              </w:rPr>
            </w:pPr>
          </w:p>
        </w:tc>
        <w:tc>
          <w:tcPr>
            <w:tcW w:w="956" w:type="dxa"/>
          </w:tcPr>
          <w:p w:rsidR="00083454" w:rsidRPr="000B7DCC" w:rsidRDefault="00083454" w:rsidP="00DF4327">
            <w:pPr>
              <w:jc w:val="center"/>
              <w:rPr>
                <w:sz w:val="18"/>
                <w:szCs w:val="24"/>
              </w:rPr>
            </w:pPr>
          </w:p>
        </w:tc>
        <w:tc>
          <w:tcPr>
            <w:tcW w:w="737" w:type="dxa"/>
          </w:tcPr>
          <w:p w:rsidR="00083454" w:rsidRPr="000B7DCC" w:rsidRDefault="00083454" w:rsidP="00DF4327">
            <w:pPr>
              <w:jc w:val="center"/>
              <w:rPr>
                <w:sz w:val="18"/>
                <w:szCs w:val="24"/>
              </w:rPr>
            </w:pPr>
          </w:p>
        </w:tc>
        <w:tc>
          <w:tcPr>
            <w:tcW w:w="661" w:type="dxa"/>
          </w:tcPr>
          <w:p w:rsidR="00083454" w:rsidRPr="000B7DCC" w:rsidRDefault="00083454" w:rsidP="00DF4327">
            <w:pPr>
              <w:jc w:val="center"/>
              <w:rPr>
                <w:sz w:val="18"/>
                <w:szCs w:val="24"/>
              </w:rPr>
            </w:pPr>
          </w:p>
        </w:tc>
        <w:tc>
          <w:tcPr>
            <w:tcW w:w="1283" w:type="dxa"/>
          </w:tcPr>
          <w:p w:rsidR="00083454" w:rsidRPr="000B7DCC" w:rsidRDefault="00083454" w:rsidP="00DF4327">
            <w:pPr>
              <w:jc w:val="center"/>
              <w:rPr>
                <w:sz w:val="18"/>
                <w:szCs w:val="24"/>
              </w:rPr>
            </w:pPr>
          </w:p>
        </w:tc>
      </w:tr>
      <w:tr w:rsidR="00083454" w:rsidRPr="000B7DCC" w:rsidTr="00DF4327">
        <w:tc>
          <w:tcPr>
            <w:tcW w:w="1337" w:type="dxa"/>
          </w:tcPr>
          <w:p w:rsidR="00083454" w:rsidRPr="000B7DCC" w:rsidRDefault="00083454" w:rsidP="00DF4327">
            <w:pPr>
              <w:rPr>
                <w:sz w:val="18"/>
                <w:szCs w:val="24"/>
              </w:rPr>
            </w:pPr>
            <w:r>
              <w:rPr>
                <w:sz w:val="18"/>
                <w:szCs w:val="24"/>
              </w:rPr>
              <w:fldChar w:fldCharType="begin" w:fldLock="1"/>
            </w:r>
            <w:r w:rsidR="007663EB">
              <w:rPr>
                <w:sz w:val="18"/>
                <w:szCs w:val="24"/>
              </w:rPr>
              <w:instrText>ADDIN CSL_CITATION { "citationItems" : [ { "id" : "ITEM-1", "itemData" : { "DOI" : "10.1111/j.0741-6261.2008.00026.x", "ISSN" : "07416261", "author" : [ { "dropping-particle" : "", "family" : "Davis", "given" : "Lucas W.", "non-dropping-particle" : "", "parse-names" : false, "suffix" : "" } ], "container-title" : "The RAND Journal of Economics", "id" : "ITEM-1", "issue" : "2", "issued" : { "date-parts" : [ [ "2008", "6", "1" ] ] }, "page" : "530-546", "publisher" : "Blackwell Publishing Inc", "title" : "Durable goods and residential demand for energy and water: evidence from a field trial", "type" : "article-journal", "volume" : "39" }, "uris" : [ "http://www.mendeley.com/documents/?uuid=0f0e4946-6bb0-354a-a44f-83437f6e773b" ] } ], "mendeley" : { "formattedCitation" : "(Davis, 2008)", "plainTextFormattedCitation" : "(Davis, 2008)", "previouslyFormattedCitation" : "[5]" }, "properties" : {  }, "schema" : "https://github.com/citation-style-language/schema/raw/master/csl-citation.json" }</w:instrText>
            </w:r>
            <w:r>
              <w:rPr>
                <w:sz w:val="18"/>
                <w:szCs w:val="24"/>
              </w:rPr>
              <w:fldChar w:fldCharType="separate"/>
            </w:r>
            <w:r w:rsidR="007663EB" w:rsidRPr="007663EB">
              <w:rPr>
                <w:noProof/>
                <w:sz w:val="18"/>
                <w:szCs w:val="24"/>
              </w:rPr>
              <w:t>(Davis, 2008)</w:t>
            </w:r>
            <w:r>
              <w:rPr>
                <w:sz w:val="18"/>
                <w:szCs w:val="24"/>
              </w:rPr>
              <w:fldChar w:fldCharType="end"/>
            </w:r>
          </w:p>
        </w:tc>
        <w:tc>
          <w:tcPr>
            <w:tcW w:w="1192" w:type="dxa"/>
          </w:tcPr>
          <w:p w:rsidR="00083454" w:rsidRPr="000B7DCC" w:rsidRDefault="00083454" w:rsidP="00DF4327">
            <w:pPr>
              <w:rPr>
                <w:sz w:val="18"/>
                <w:szCs w:val="24"/>
              </w:rPr>
            </w:pPr>
            <w:r>
              <w:rPr>
                <w:sz w:val="18"/>
                <w:szCs w:val="24"/>
              </w:rPr>
              <w:t>W</w:t>
            </w:r>
            <w:r w:rsidRPr="00E859E6">
              <w:rPr>
                <w:sz w:val="18"/>
                <w:szCs w:val="24"/>
              </w:rPr>
              <w:t xml:space="preserve">ater and energy consumption of a government-sponsored </w:t>
            </w:r>
            <w:r w:rsidRPr="00E859E6">
              <w:rPr>
                <w:sz w:val="18"/>
                <w:szCs w:val="24"/>
              </w:rPr>
              <w:lastRenderedPageBreak/>
              <w:t xml:space="preserve">high-efficiency </w:t>
            </w:r>
            <w:r>
              <w:rPr>
                <w:sz w:val="18"/>
                <w:szCs w:val="24"/>
              </w:rPr>
              <w:t>cloth washer giveaway in Bern, Kansas</w:t>
            </w:r>
          </w:p>
        </w:tc>
        <w:tc>
          <w:tcPr>
            <w:tcW w:w="875" w:type="dxa"/>
          </w:tcPr>
          <w:p w:rsidR="00083454" w:rsidRDefault="00083454" w:rsidP="00DF4327">
            <w:pPr>
              <w:rPr>
                <w:sz w:val="18"/>
                <w:szCs w:val="24"/>
              </w:rPr>
            </w:pPr>
            <w:r>
              <w:rPr>
                <w:sz w:val="18"/>
                <w:szCs w:val="24"/>
              </w:rPr>
              <w:lastRenderedPageBreak/>
              <w:t>Water and energy</w:t>
            </w:r>
          </w:p>
        </w:tc>
        <w:tc>
          <w:tcPr>
            <w:tcW w:w="892" w:type="dxa"/>
          </w:tcPr>
          <w:p w:rsidR="00083454" w:rsidRPr="000B7DCC" w:rsidRDefault="00083454" w:rsidP="00DF4327">
            <w:pPr>
              <w:rPr>
                <w:sz w:val="18"/>
                <w:szCs w:val="24"/>
              </w:rPr>
            </w:pPr>
            <w:r>
              <w:rPr>
                <w:sz w:val="18"/>
                <w:szCs w:val="24"/>
              </w:rPr>
              <w:t>NA</w:t>
            </w:r>
          </w:p>
        </w:tc>
        <w:tc>
          <w:tcPr>
            <w:tcW w:w="1291" w:type="dxa"/>
          </w:tcPr>
          <w:p w:rsidR="00083454" w:rsidRPr="000B7DCC" w:rsidRDefault="00083454" w:rsidP="00DF4327">
            <w:pPr>
              <w:rPr>
                <w:sz w:val="18"/>
                <w:szCs w:val="24"/>
              </w:rPr>
            </w:pPr>
            <w:r>
              <w:rPr>
                <w:sz w:val="18"/>
                <w:szCs w:val="24"/>
              </w:rPr>
              <w:t>Direct economic savings and larger capacity</w:t>
            </w:r>
          </w:p>
        </w:tc>
        <w:tc>
          <w:tcPr>
            <w:tcW w:w="1132" w:type="dxa"/>
          </w:tcPr>
          <w:p w:rsidR="00083454" w:rsidRPr="000B7DCC" w:rsidRDefault="00083454" w:rsidP="00DF4327">
            <w:pPr>
              <w:jc w:val="center"/>
              <w:rPr>
                <w:sz w:val="18"/>
                <w:szCs w:val="24"/>
              </w:rPr>
            </w:pPr>
            <w:r>
              <w:rPr>
                <w:sz w:val="18"/>
                <w:szCs w:val="24"/>
              </w:rPr>
              <w:t>X (Empirical evidence)</w:t>
            </w:r>
          </w:p>
        </w:tc>
        <w:tc>
          <w:tcPr>
            <w:tcW w:w="1193" w:type="dxa"/>
          </w:tcPr>
          <w:p w:rsidR="00083454" w:rsidRPr="000B7DCC" w:rsidRDefault="00083454" w:rsidP="00DF4327">
            <w:pPr>
              <w:jc w:val="center"/>
              <w:rPr>
                <w:sz w:val="18"/>
                <w:szCs w:val="24"/>
              </w:rPr>
            </w:pPr>
            <w:r>
              <w:rPr>
                <w:sz w:val="18"/>
                <w:szCs w:val="24"/>
              </w:rPr>
              <w:t>Regional</w:t>
            </w:r>
          </w:p>
        </w:tc>
        <w:tc>
          <w:tcPr>
            <w:tcW w:w="666" w:type="dxa"/>
          </w:tcPr>
          <w:p w:rsidR="00083454" w:rsidRPr="000B7DCC" w:rsidRDefault="00083454" w:rsidP="00DF4327">
            <w:pPr>
              <w:jc w:val="center"/>
              <w:rPr>
                <w:sz w:val="18"/>
                <w:szCs w:val="24"/>
              </w:rPr>
            </w:pPr>
            <w:r w:rsidRPr="000B7DCC">
              <w:rPr>
                <w:sz w:val="18"/>
                <w:szCs w:val="24"/>
              </w:rPr>
              <w:t>x</w:t>
            </w:r>
          </w:p>
        </w:tc>
        <w:tc>
          <w:tcPr>
            <w:tcW w:w="794" w:type="dxa"/>
          </w:tcPr>
          <w:p w:rsidR="00083454" w:rsidRPr="000B7DCC" w:rsidRDefault="00083454" w:rsidP="00DF4327">
            <w:pPr>
              <w:jc w:val="center"/>
              <w:rPr>
                <w:sz w:val="18"/>
                <w:szCs w:val="24"/>
              </w:rPr>
            </w:pPr>
          </w:p>
        </w:tc>
        <w:tc>
          <w:tcPr>
            <w:tcW w:w="939" w:type="dxa"/>
          </w:tcPr>
          <w:p w:rsidR="00083454" w:rsidRPr="000B7DCC" w:rsidRDefault="00083454" w:rsidP="00DF4327">
            <w:pPr>
              <w:jc w:val="center"/>
              <w:rPr>
                <w:sz w:val="18"/>
                <w:szCs w:val="24"/>
              </w:rPr>
            </w:pPr>
          </w:p>
        </w:tc>
        <w:tc>
          <w:tcPr>
            <w:tcW w:w="956" w:type="dxa"/>
          </w:tcPr>
          <w:p w:rsidR="00083454" w:rsidRPr="000B7DCC" w:rsidRDefault="00083454" w:rsidP="00DF4327">
            <w:pPr>
              <w:jc w:val="center"/>
              <w:rPr>
                <w:sz w:val="18"/>
                <w:szCs w:val="24"/>
              </w:rPr>
            </w:pPr>
            <w:r w:rsidRPr="000B7DCC">
              <w:rPr>
                <w:sz w:val="18"/>
                <w:szCs w:val="24"/>
              </w:rPr>
              <w:t>x</w:t>
            </w:r>
          </w:p>
        </w:tc>
        <w:tc>
          <w:tcPr>
            <w:tcW w:w="737" w:type="dxa"/>
          </w:tcPr>
          <w:p w:rsidR="00083454" w:rsidRPr="000B7DCC" w:rsidRDefault="00083454" w:rsidP="00DF4327">
            <w:pPr>
              <w:jc w:val="center"/>
              <w:rPr>
                <w:sz w:val="18"/>
                <w:szCs w:val="24"/>
              </w:rPr>
            </w:pPr>
          </w:p>
        </w:tc>
        <w:tc>
          <w:tcPr>
            <w:tcW w:w="661" w:type="dxa"/>
          </w:tcPr>
          <w:p w:rsidR="00083454" w:rsidRPr="000B7DCC" w:rsidRDefault="00083454" w:rsidP="00DF4327">
            <w:pPr>
              <w:jc w:val="center"/>
              <w:rPr>
                <w:sz w:val="18"/>
                <w:szCs w:val="24"/>
              </w:rPr>
            </w:pPr>
          </w:p>
        </w:tc>
        <w:tc>
          <w:tcPr>
            <w:tcW w:w="1283" w:type="dxa"/>
          </w:tcPr>
          <w:p w:rsidR="00083454" w:rsidRPr="000B7DCC" w:rsidRDefault="00083454" w:rsidP="00DF4327">
            <w:pPr>
              <w:jc w:val="center"/>
              <w:rPr>
                <w:sz w:val="18"/>
                <w:szCs w:val="24"/>
              </w:rPr>
            </w:pPr>
          </w:p>
        </w:tc>
      </w:tr>
      <w:tr w:rsidR="00083454" w:rsidRPr="000B7DCC" w:rsidTr="00DF4327">
        <w:tc>
          <w:tcPr>
            <w:tcW w:w="1337" w:type="dxa"/>
          </w:tcPr>
          <w:p w:rsidR="00083454" w:rsidRPr="000B7DCC" w:rsidRDefault="00083454" w:rsidP="00DF4327">
            <w:pPr>
              <w:rPr>
                <w:sz w:val="18"/>
                <w:szCs w:val="24"/>
              </w:rPr>
            </w:pPr>
            <w:r>
              <w:rPr>
                <w:sz w:val="18"/>
                <w:szCs w:val="24"/>
              </w:rPr>
              <w:fldChar w:fldCharType="begin" w:fldLock="1"/>
            </w:r>
            <w:r w:rsidR="007663EB">
              <w:rPr>
                <w:sz w:val="18"/>
                <w:szCs w:val="24"/>
              </w:rPr>
              <w:instrText>ADDIN CSL_CITATION { "citationItems" : [ { "id" : "ITEM-1", "itemData" : { "DOI" : "10.2307/43189409", "abstract" : "This paper evaluates a large-scale appliance replacement program in Mexico that from 2009 to 2012 helped 1.9 million households replace their old refrigerators and air conditioners with energyefficient models. Using household-level billing records from the universe of Mexican residential customers , we find that refrigerator replacement reduces electricity consumption by 8 percent, about one-quarter of what was predicted by ex ante analyses. Moreover, we find that air conditioning replacement actually increases electricity consumption. Overall, we find that the program is an expensive way to reduce externalities from energy use, reducing carbon dioxide emissions at a program cost of over $500 per ton.", "author" : [ { "dropping-particle" : "", "family" : "Davis", "given" : "Lucas W.", "non-dropping-particle" : "", "parse-names" : false, "suffix" : "" }, { "dropping-particle" : "", "family" : "Fuchs", "given" : "Alan", "non-dropping-particle" : "", "parse-names" : false, "suffix" : "" }, { "dropping-particle" : "", "family" : "Gertler", "given" : "Paul", "non-dropping-particle" : "", "parse-names" : false, "suffix" : "" } ], "container-title" : "American Economic Journal: Economic Policy", "id" : "ITEM-1", "issued" : { "date-parts" : [ [ "2014" ] ] }, "page" : "207-238", "publisher" : "American Economic Association", "title" : "Cash for Coolers: Evaluating a Large-Scale Appliance Replacement Program in Mexico", "type" : "article", "volume" : "6" }, "uris" : [ "http://www.mendeley.com/documents/?uuid=42a5a507-3e8a-3519-8834-e9554dc1d721" ] } ], "mendeley" : { "formattedCitation" : "(Davis et al., 2014)", "plainTextFormattedCitation" : "(Davis et al., 2014)", "previouslyFormattedCitation" : "[6]" }, "properties" : {  }, "schema" : "https://github.com/citation-style-language/schema/raw/master/csl-citation.json" }</w:instrText>
            </w:r>
            <w:r>
              <w:rPr>
                <w:sz w:val="18"/>
                <w:szCs w:val="24"/>
              </w:rPr>
              <w:fldChar w:fldCharType="separate"/>
            </w:r>
            <w:r w:rsidR="007663EB" w:rsidRPr="007663EB">
              <w:rPr>
                <w:noProof/>
                <w:sz w:val="18"/>
                <w:szCs w:val="24"/>
              </w:rPr>
              <w:t>(Davis et al., 2014)</w:t>
            </w:r>
            <w:r>
              <w:rPr>
                <w:sz w:val="18"/>
                <w:szCs w:val="24"/>
              </w:rPr>
              <w:fldChar w:fldCharType="end"/>
            </w:r>
          </w:p>
        </w:tc>
        <w:tc>
          <w:tcPr>
            <w:tcW w:w="1192" w:type="dxa"/>
          </w:tcPr>
          <w:p w:rsidR="00083454" w:rsidRPr="000B7DCC" w:rsidRDefault="00083454" w:rsidP="00DF4327">
            <w:pPr>
              <w:rPr>
                <w:sz w:val="18"/>
                <w:szCs w:val="24"/>
              </w:rPr>
            </w:pPr>
            <w:r>
              <w:rPr>
                <w:sz w:val="18"/>
                <w:szCs w:val="24"/>
              </w:rPr>
              <w:t>L</w:t>
            </w:r>
            <w:r w:rsidRPr="00D85EE8">
              <w:rPr>
                <w:sz w:val="18"/>
                <w:szCs w:val="24"/>
              </w:rPr>
              <w:t>arge-scale  appliance  replacement  program  in  Mexico</w:t>
            </w:r>
          </w:p>
        </w:tc>
        <w:tc>
          <w:tcPr>
            <w:tcW w:w="875" w:type="dxa"/>
          </w:tcPr>
          <w:p w:rsidR="00083454" w:rsidRPr="004524E4" w:rsidRDefault="00083454" w:rsidP="00DF4327">
            <w:pPr>
              <w:rPr>
                <w:sz w:val="18"/>
                <w:szCs w:val="24"/>
              </w:rPr>
            </w:pPr>
            <w:r>
              <w:rPr>
                <w:sz w:val="18"/>
                <w:szCs w:val="24"/>
              </w:rPr>
              <w:t>Energy</w:t>
            </w:r>
          </w:p>
        </w:tc>
        <w:tc>
          <w:tcPr>
            <w:tcW w:w="892" w:type="dxa"/>
          </w:tcPr>
          <w:p w:rsidR="00083454" w:rsidRPr="000B7DCC" w:rsidRDefault="00083454" w:rsidP="00DF4327">
            <w:pPr>
              <w:rPr>
                <w:sz w:val="18"/>
                <w:szCs w:val="24"/>
              </w:rPr>
            </w:pPr>
            <w:r w:rsidRPr="004524E4">
              <w:rPr>
                <w:sz w:val="18"/>
                <w:szCs w:val="24"/>
              </w:rPr>
              <w:t>72%</w:t>
            </w:r>
          </w:p>
        </w:tc>
        <w:tc>
          <w:tcPr>
            <w:tcW w:w="1291" w:type="dxa"/>
          </w:tcPr>
          <w:p w:rsidR="00083454" w:rsidRPr="000B7DCC" w:rsidRDefault="00083454" w:rsidP="00DF4327">
            <w:pPr>
              <w:rPr>
                <w:sz w:val="18"/>
                <w:szCs w:val="24"/>
              </w:rPr>
            </w:pPr>
            <w:r>
              <w:rPr>
                <w:sz w:val="18"/>
                <w:szCs w:val="24"/>
              </w:rPr>
              <w:t>N</w:t>
            </w:r>
            <w:r w:rsidRPr="004524E4">
              <w:rPr>
                <w:sz w:val="18"/>
                <w:szCs w:val="24"/>
              </w:rPr>
              <w:t xml:space="preserve">otable economic savings </w:t>
            </w:r>
            <w:r>
              <w:rPr>
                <w:sz w:val="18"/>
                <w:szCs w:val="24"/>
              </w:rPr>
              <w:t xml:space="preserve">and </w:t>
            </w:r>
            <w:r w:rsidRPr="004524E4">
              <w:rPr>
                <w:sz w:val="18"/>
                <w:szCs w:val="24"/>
              </w:rPr>
              <w:t>energy-intensive features of the new appliances</w:t>
            </w:r>
          </w:p>
        </w:tc>
        <w:tc>
          <w:tcPr>
            <w:tcW w:w="1132" w:type="dxa"/>
          </w:tcPr>
          <w:p w:rsidR="00083454" w:rsidRPr="000B7DCC" w:rsidRDefault="00083454" w:rsidP="00DF4327">
            <w:pPr>
              <w:jc w:val="center"/>
              <w:rPr>
                <w:sz w:val="18"/>
                <w:szCs w:val="24"/>
              </w:rPr>
            </w:pPr>
            <w:r>
              <w:rPr>
                <w:sz w:val="18"/>
                <w:szCs w:val="24"/>
              </w:rPr>
              <w:t>X (Empirical evidence)</w:t>
            </w:r>
          </w:p>
        </w:tc>
        <w:tc>
          <w:tcPr>
            <w:tcW w:w="1193" w:type="dxa"/>
          </w:tcPr>
          <w:p w:rsidR="00083454" w:rsidRPr="000B7DCC" w:rsidRDefault="00083454" w:rsidP="00DF4327">
            <w:pPr>
              <w:jc w:val="center"/>
              <w:rPr>
                <w:sz w:val="18"/>
                <w:szCs w:val="24"/>
              </w:rPr>
            </w:pPr>
            <w:r>
              <w:rPr>
                <w:sz w:val="18"/>
                <w:szCs w:val="24"/>
              </w:rPr>
              <w:t>National</w:t>
            </w:r>
          </w:p>
        </w:tc>
        <w:tc>
          <w:tcPr>
            <w:tcW w:w="666" w:type="dxa"/>
          </w:tcPr>
          <w:p w:rsidR="00083454" w:rsidRPr="000B7DCC" w:rsidRDefault="00083454" w:rsidP="00DF4327">
            <w:pPr>
              <w:jc w:val="center"/>
              <w:rPr>
                <w:sz w:val="18"/>
                <w:szCs w:val="24"/>
              </w:rPr>
            </w:pPr>
            <w:r w:rsidRPr="000B7DCC">
              <w:rPr>
                <w:sz w:val="18"/>
                <w:szCs w:val="24"/>
              </w:rPr>
              <w:t>x</w:t>
            </w:r>
          </w:p>
        </w:tc>
        <w:tc>
          <w:tcPr>
            <w:tcW w:w="794" w:type="dxa"/>
          </w:tcPr>
          <w:p w:rsidR="00083454" w:rsidRPr="000B7DCC" w:rsidRDefault="00083454" w:rsidP="00DF4327">
            <w:pPr>
              <w:jc w:val="center"/>
              <w:rPr>
                <w:sz w:val="18"/>
                <w:szCs w:val="24"/>
              </w:rPr>
            </w:pPr>
          </w:p>
        </w:tc>
        <w:tc>
          <w:tcPr>
            <w:tcW w:w="939" w:type="dxa"/>
          </w:tcPr>
          <w:p w:rsidR="00083454" w:rsidRPr="000B7DCC" w:rsidRDefault="00083454" w:rsidP="00DF4327">
            <w:pPr>
              <w:jc w:val="center"/>
              <w:rPr>
                <w:sz w:val="18"/>
                <w:szCs w:val="24"/>
              </w:rPr>
            </w:pPr>
          </w:p>
        </w:tc>
        <w:tc>
          <w:tcPr>
            <w:tcW w:w="956" w:type="dxa"/>
          </w:tcPr>
          <w:p w:rsidR="00083454" w:rsidRPr="000B7DCC" w:rsidRDefault="00083454" w:rsidP="00DF4327">
            <w:pPr>
              <w:jc w:val="center"/>
              <w:rPr>
                <w:sz w:val="18"/>
                <w:szCs w:val="24"/>
              </w:rPr>
            </w:pPr>
            <w:r w:rsidRPr="000B7DCC">
              <w:rPr>
                <w:sz w:val="18"/>
                <w:szCs w:val="24"/>
              </w:rPr>
              <w:t>x</w:t>
            </w:r>
          </w:p>
        </w:tc>
        <w:tc>
          <w:tcPr>
            <w:tcW w:w="737" w:type="dxa"/>
          </w:tcPr>
          <w:p w:rsidR="00083454" w:rsidRPr="000B7DCC" w:rsidRDefault="00083454" w:rsidP="00DF4327">
            <w:pPr>
              <w:jc w:val="center"/>
              <w:rPr>
                <w:sz w:val="18"/>
                <w:szCs w:val="24"/>
              </w:rPr>
            </w:pPr>
          </w:p>
        </w:tc>
        <w:tc>
          <w:tcPr>
            <w:tcW w:w="661" w:type="dxa"/>
          </w:tcPr>
          <w:p w:rsidR="00083454" w:rsidRPr="000B7DCC" w:rsidRDefault="00083454" w:rsidP="00DF4327">
            <w:pPr>
              <w:jc w:val="center"/>
              <w:rPr>
                <w:sz w:val="18"/>
                <w:szCs w:val="24"/>
              </w:rPr>
            </w:pPr>
          </w:p>
        </w:tc>
        <w:tc>
          <w:tcPr>
            <w:tcW w:w="1283" w:type="dxa"/>
          </w:tcPr>
          <w:p w:rsidR="00083454" w:rsidRPr="000B7DCC" w:rsidRDefault="00083454" w:rsidP="00DF4327">
            <w:pPr>
              <w:jc w:val="center"/>
              <w:rPr>
                <w:sz w:val="18"/>
                <w:szCs w:val="24"/>
              </w:rPr>
            </w:pPr>
          </w:p>
        </w:tc>
      </w:tr>
      <w:tr w:rsidR="00083454" w:rsidRPr="000B7DCC" w:rsidTr="00DF4327">
        <w:tc>
          <w:tcPr>
            <w:tcW w:w="1337" w:type="dxa"/>
          </w:tcPr>
          <w:p w:rsidR="00083454" w:rsidRPr="000B7DCC" w:rsidRDefault="00083454" w:rsidP="00DF4327">
            <w:pPr>
              <w:rPr>
                <w:sz w:val="18"/>
                <w:szCs w:val="24"/>
              </w:rPr>
            </w:pPr>
            <w:r>
              <w:rPr>
                <w:sz w:val="18"/>
                <w:szCs w:val="24"/>
              </w:rPr>
              <w:fldChar w:fldCharType="begin" w:fldLock="1"/>
            </w:r>
            <w:r w:rsidR="007663EB">
              <w:rPr>
                <w:sz w:val="18"/>
                <w:szCs w:val="24"/>
              </w:rPr>
              <w:instrText>ADDIN CSL_CITATION { "citationItems" : [ { "id" : "ITEM-1", "itemData" : { "DOI" : "http://dx.doi.org/10.1016/j.eneco.2008.01.001", "ISBN" : "0140-9883", "abstract" : "Technological progress is one of the means of reducing energy usage and carbon dioxide (CO2) emissions. However, this reduction, in turn, leads to a reduction in the real cost of energy services per unit, which results in an increase in the demand for energy services. Therefore, a reduction in the anticipated CO2 emissions caused by a technological improvement might be partially offset in response to the cost reduction. Previous studies have referred to this effect as the \u201crebound effect.\u201d A large amount of empirical evidence on the rebound effect exists; however, most of these studies assume an exogenous improvement in energy efficiency, and thus, capital costs that may decrease the magnitude of the rebound effect are not taken into account expressly. This paper extends the scope of the research conducted by Brannlund et al. [Brannlund, R., Ghalwash, T., Nordstrom, J., 2007. Increased energy efficiency and the rebound effect: effects on consumption and emissions. Energy Economics 29, 1\u201317] in terms of two aspects: (i) considering capital costs explicitly as additional capital costs and (ii) adapting an iterating procedure, and estimating the rebound effect, using Japanese household data. As a result of our empirical analysis, we conclude that the rebound is approximately 27%. However, we also find that ignoring additional capital costs leads to an increase in the rebound effect. In the case of Japanese households, the magnitude of the rebound effect increases to approximately 115%. Moreover, our simulation study shows that only a one-time iteration of Brannlund et al. [Brannlund, R., Ghalwash, T., Nordstrom, J., 2007. Increased energy efficiency and the rebound effect: effects on consumption and emissions. Energy Economics 29, 1\u201317] may lead to a biased result.", "author" : [ { "dropping-particle" : "", "family" : "Mizobuchi", "given" : "Kenichi", "non-dropping-particle" : "", "parse-names" : false, "suffix" : "" } ], "container-title" : "Energy Economics", "id" : "ITEM-1", "issue" : "5", "issued" : { "date-parts" : [ [ "2008" ] ] }, "page" : "2486-2516", "title" : "An empirical study on the rebound effect considering capital costs", "type" : "article-journal", "volume" : "30" }, "uris" : [ "http://www.mendeley.com/documents/?uuid=926973e4-790a-41a1-a4ee-9eeebfab58da" ] } ], "mendeley" : { "formattedCitation" : "(Mizobuchi, 2008)", "plainTextFormattedCitation" : "(Mizobuchi, 2008)", "previouslyFormattedCitation" : "[7]" }, "properties" : {  }, "schema" : "https://github.com/citation-style-language/schema/raw/master/csl-citation.json" }</w:instrText>
            </w:r>
            <w:r>
              <w:rPr>
                <w:sz w:val="18"/>
                <w:szCs w:val="24"/>
              </w:rPr>
              <w:fldChar w:fldCharType="separate"/>
            </w:r>
            <w:r w:rsidR="007663EB" w:rsidRPr="007663EB">
              <w:rPr>
                <w:noProof/>
                <w:sz w:val="18"/>
                <w:szCs w:val="24"/>
              </w:rPr>
              <w:t>(Mizobuchi, 2008)</w:t>
            </w:r>
            <w:r>
              <w:rPr>
                <w:sz w:val="18"/>
                <w:szCs w:val="24"/>
              </w:rPr>
              <w:fldChar w:fldCharType="end"/>
            </w:r>
          </w:p>
        </w:tc>
        <w:tc>
          <w:tcPr>
            <w:tcW w:w="1192" w:type="dxa"/>
          </w:tcPr>
          <w:p w:rsidR="00083454" w:rsidRPr="000B7DCC" w:rsidRDefault="00083454" w:rsidP="00DF4327">
            <w:pPr>
              <w:rPr>
                <w:sz w:val="18"/>
                <w:szCs w:val="24"/>
              </w:rPr>
            </w:pPr>
            <w:r>
              <w:rPr>
                <w:sz w:val="18"/>
                <w:szCs w:val="24"/>
              </w:rPr>
              <w:t xml:space="preserve">Carbon performance of </w:t>
            </w:r>
            <w:r w:rsidRPr="00DB44AE">
              <w:rPr>
                <w:sz w:val="18"/>
                <w:szCs w:val="24"/>
              </w:rPr>
              <w:t>Japanese energy saving policies</w:t>
            </w:r>
          </w:p>
        </w:tc>
        <w:tc>
          <w:tcPr>
            <w:tcW w:w="875" w:type="dxa"/>
          </w:tcPr>
          <w:p w:rsidR="00083454" w:rsidRDefault="00083454" w:rsidP="00DF4327">
            <w:pPr>
              <w:rPr>
                <w:sz w:val="18"/>
                <w:szCs w:val="24"/>
              </w:rPr>
            </w:pPr>
            <w:r>
              <w:rPr>
                <w:sz w:val="18"/>
                <w:szCs w:val="24"/>
              </w:rPr>
              <w:t>Energy</w:t>
            </w:r>
          </w:p>
        </w:tc>
        <w:tc>
          <w:tcPr>
            <w:tcW w:w="892" w:type="dxa"/>
          </w:tcPr>
          <w:p w:rsidR="00083454" w:rsidRPr="000B7DCC" w:rsidRDefault="00083454" w:rsidP="00DF4327">
            <w:pPr>
              <w:rPr>
                <w:sz w:val="18"/>
                <w:szCs w:val="24"/>
              </w:rPr>
            </w:pPr>
            <w:r>
              <w:rPr>
                <w:sz w:val="18"/>
                <w:szCs w:val="24"/>
              </w:rPr>
              <w:t xml:space="preserve">27 to </w:t>
            </w:r>
            <w:r w:rsidRPr="0049331D">
              <w:rPr>
                <w:sz w:val="18"/>
                <w:szCs w:val="24"/>
              </w:rPr>
              <w:t>115%</w:t>
            </w:r>
          </w:p>
        </w:tc>
        <w:tc>
          <w:tcPr>
            <w:tcW w:w="1291" w:type="dxa"/>
          </w:tcPr>
          <w:p w:rsidR="00083454" w:rsidRPr="000B7DCC" w:rsidRDefault="00083454" w:rsidP="00DF4327">
            <w:pPr>
              <w:rPr>
                <w:sz w:val="18"/>
                <w:szCs w:val="24"/>
              </w:rPr>
            </w:pPr>
            <w:r>
              <w:rPr>
                <w:sz w:val="18"/>
                <w:szCs w:val="24"/>
              </w:rPr>
              <w:t>C</w:t>
            </w:r>
            <w:r w:rsidRPr="00DB44AE">
              <w:rPr>
                <w:sz w:val="18"/>
                <w:szCs w:val="24"/>
              </w:rPr>
              <w:t xml:space="preserve">apital costs incurred by households </w:t>
            </w:r>
          </w:p>
        </w:tc>
        <w:tc>
          <w:tcPr>
            <w:tcW w:w="1132" w:type="dxa"/>
          </w:tcPr>
          <w:p w:rsidR="00083454" w:rsidRPr="000B7DCC" w:rsidRDefault="00083454" w:rsidP="00DF4327">
            <w:pPr>
              <w:jc w:val="center"/>
              <w:rPr>
                <w:sz w:val="18"/>
                <w:szCs w:val="24"/>
              </w:rPr>
            </w:pPr>
            <w:r>
              <w:rPr>
                <w:sz w:val="18"/>
                <w:szCs w:val="24"/>
              </w:rPr>
              <w:t>X (Empirical evidence)</w:t>
            </w:r>
          </w:p>
        </w:tc>
        <w:tc>
          <w:tcPr>
            <w:tcW w:w="1193" w:type="dxa"/>
          </w:tcPr>
          <w:p w:rsidR="00083454" w:rsidRPr="000B7DCC" w:rsidRDefault="00083454" w:rsidP="00DF4327">
            <w:pPr>
              <w:jc w:val="center"/>
              <w:rPr>
                <w:sz w:val="18"/>
                <w:szCs w:val="24"/>
              </w:rPr>
            </w:pPr>
            <w:r>
              <w:rPr>
                <w:sz w:val="18"/>
                <w:szCs w:val="24"/>
              </w:rPr>
              <w:t>National</w:t>
            </w:r>
          </w:p>
        </w:tc>
        <w:tc>
          <w:tcPr>
            <w:tcW w:w="666" w:type="dxa"/>
          </w:tcPr>
          <w:p w:rsidR="00083454" w:rsidRPr="000B7DCC" w:rsidRDefault="00083454" w:rsidP="00DF4327">
            <w:pPr>
              <w:jc w:val="center"/>
              <w:rPr>
                <w:sz w:val="18"/>
                <w:szCs w:val="24"/>
              </w:rPr>
            </w:pPr>
            <w:r w:rsidRPr="000B7DCC">
              <w:rPr>
                <w:sz w:val="18"/>
                <w:szCs w:val="24"/>
              </w:rPr>
              <w:t>x</w:t>
            </w:r>
          </w:p>
        </w:tc>
        <w:tc>
          <w:tcPr>
            <w:tcW w:w="794" w:type="dxa"/>
          </w:tcPr>
          <w:p w:rsidR="00083454" w:rsidRPr="000B7DCC" w:rsidRDefault="00083454" w:rsidP="00DF4327">
            <w:pPr>
              <w:jc w:val="center"/>
              <w:rPr>
                <w:sz w:val="18"/>
                <w:szCs w:val="24"/>
              </w:rPr>
            </w:pPr>
            <w:r w:rsidRPr="000B7DCC">
              <w:rPr>
                <w:sz w:val="18"/>
                <w:szCs w:val="24"/>
              </w:rPr>
              <w:t>x</w:t>
            </w:r>
          </w:p>
        </w:tc>
        <w:tc>
          <w:tcPr>
            <w:tcW w:w="939" w:type="dxa"/>
          </w:tcPr>
          <w:p w:rsidR="00083454" w:rsidRPr="000B7DCC" w:rsidRDefault="00083454" w:rsidP="00DF4327">
            <w:pPr>
              <w:jc w:val="center"/>
              <w:rPr>
                <w:sz w:val="18"/>
                <w:szCs w:val="24"/>
              </w:rPr>
            </w:pPr>
          </w:p>
        </w:tc>
        <w:tc>
          <w:tcPr>
            <w:tcW w:w="956" w:type="dxa"/>
          </w:tcPr>
          <w:p w:rsidR="00083454" w:rsidRPr="000B7DCC" w:rsidRDefault="00083454" w:rsidP="00DF4327">
            <w:pPr>
              <w:jc w:val="center"/>
              <w:rPr>
                <w:sz w:val="18"/>
                <w:szCs w:val="24"/>
              </w:rPr>
            </w:pPr>
          </w:p>
        </w:tc>
        <w:tc>
          <w:tcPr>
            <w:tcW w:w="737" w:type="dxa"/>
          </w:tcPr>
          <w:p w:rsidR="00083454" w:rsidRPr="000B7DCC" w:rsidRDefault="00083454" w:rsidP="00DF4327">
            <w:pPr>
              <w:jc w:val="center"/>
              <w:rPr>
                <w:sz w:val="18"/>
                <w:szCs w:val="24"/>
              </w:rPr>
            </w:pPr>
            <w:r w:rsidRPr="000B7DCC">
              <w:rPr>
                <w:sz w:val="18"/>
                <w:szCs w:val="24"/>
              </w:rPr>
              <w:t>x</w:t>
            </w:r>
          </w:p>
        </w:tc>
        <w:tc>
          <w:tcPr>
            <w:tcW w:w="661" w:type="dxa"/>
          </w:tcPr>
          <w:p w:rsidR="00083454" w:rsidRPr="000B7DCC" w:rsidRDefault="00083454" w:rsidP="00DF4327">
            <w:pPr>
              <w:jc w:val="center"/>
              <w:rPr>
                <w:sz w:val="18"/>
                <w:szCs w:val="24"/>
              </w:rPr>
            </w:pPr>
            <w:r w:rsidRPr="000B7DCC">
              <w:rPr>
                <w:sz w:val="18"/>
                <w:szCs w:val="24"/>
              </w:rPr>
              <w:t>x</w:t>
            </w:r>
          </w:p>
        </w:tc>
        <w:tc>
          <w:tcPr>
            <w:tcW w:w="1283" w:type="dxa"/>
          </w:tcPr>
          <w:p w:rsidR="00083454" w:rsidRPr="000B7DCC" w:rsidRDefault="00083454" w:rsidP="00DF4327">
            <w:pPr>
              <w:jc w:val="center"/>
              <w:rPr>
                <w:sz w:val="18"/>
                <w:szCs w:val="24"/>
              </w:rPr>
            </w:pPr>
          </w:p>
        </w:tc>
      </w:tr>
      <w:tr w:rsidR="00083454" w:rsidRPr="000B7DCC" w:rsidTr="00DF4327">
        <w:tc>
          <w:tcPr>
            <w:tcW w:w="1337" w:type="dxa"/>
          </w:tcPr>
          <w:p w:rsidR="00083454" w:rsidRPr="000B7DCC" w:rsidRDefault="00083454" w:rsidP="00DF4327">
            <w:pPr>
              <w:rPr>
                <w:sz w:val="18"/>
                <w:szCs w:val="24"/>
              </w:rPr>
            </w:pPr>
            <w:r>
              <w:rPr>
                <w:sz w:val="18"/>
                <w:szCs w:val="24"/>
              </w:rPr>
              <w:fldChar w:fldCharType="begin" w:fldLock="1"/>
            </w:r>
            <w:r w:rsidR="007663EB">
              <w:rPr>
                <w:sz w:val="18"/>
                <w:szCs w:val="24"/>
              </w:rPr>
              <w:instrText>ADDIN CSL_CITATION { "citationItems" : [ { "id" : "ITEM-1", "itemData" : { "DOI" : "10.1016/j.jclepro.2015.04.019", "ISSN" : "09596526", "abstract" : "\u00a9 2015 Elsevier Ltd.Abstract The term eco-innovation has been coined to label those innovations expected to reduce the life cycle environmental burdens resulting from their use. Claims of environmental superiority are usually supported by technology-oriented analyses, such as product-level life cycle assessment. However, the environmental superiority of an innovation depends not only on its technical characteristics but also on technology-demand interactions. In this article, such interactions are incorporated through the concept of the environmental rebound effect. Using the Dynamic IPAT-Life cycle assessment with Environmental Rebound effect or DILER model, environmental superiority claims of seven alleged transport eco-innovations were evaluated by comparing alternative macro-level scenarios (with and without innovation) for Europe. The results support the claims of environmental superiority of only three out of seven studied innovations. That is, a majority of innovations actually induced increases in various environmental pressures. Such increases can be attributed mostly to the influence of generally noteworthy environmental rebound effects. The magnitude of the rebound effect is found to be highly correlated with two variables: the total change in effective income resulting from the use of the innovation and the difference between the environmental pressures per monetary unit of the studied innovations and that of the rest of consumption. The article contributes to the literature by (a) applying a comprehensive approach to the rebound effect and its relationship with the eco-innovation concept, (b) by calculating original rebound estimates of specific transport innovations and assessing these in absolute terms, as well as by (c) obtaining novel insights into the drivers behind the rebound effect. The counterintuitive results of this study also invite to re-assess the use of technology-oriented tools for guiding environmental policy. Other policy implications of this study relate to the relevance of transport cost differences, the targeted promotion of actual eco-innovations and its combination with broader policies as well as the achievement of higher quality mobility.", "author" : [ { "dropping-particle" : "", "family" : "Font Vivanco", "given" : "D.", "non-dropping-particle" : "", "parse-names" : false, "suffix" : "" }, { "dropping-particle" : "", "family" : "Kemp", "given" : "R.", "non-dropping-particle" : "", "parse-names" : false, "suffix" : "" }, { "dropping-particle" : "", "family" : "Voet", "given" : "E.", "non-dropping-particle" : "Van Der", "parse-names" : false, "suffix" : "" } ], "container-title" : "Journal of Cleaner Production", "id" : "ITEM-1", "issued" : { "date-parts" : [ [ "2015" ] ] }, "title" : "The relativity of eco-innovation: environmental rebound effects from past transport innovations in Europe", "type" : "article-journal", "volume" : "101" }, "uris" : [ "http://www.mendeley.com/documents/?uuid=cd6e4675-00a6-36b4-854d-3f78b6608293" ] } ], "mendeley" : { "formattedCitation" : "(Font Vivanco et al., 2015)", "plainTextFormattedCitation" : "(Font Vivanco et al., 2015)", "previouslyFormattedCitation" : "[8]" }, "properties" : {  }, "schema" : "https://github.com/citation-style-language/schema/raw/master/csl-citation.json" }</w:instrText>
            </w:r>
            <w:r>
              <w:rPr>
                <w:sz w:val="18"/>
                <w:szCs w:val="24"/>
              </w:rPr>
              <w:fldChar w:fldCharType="separate"/>
            </w:r>
            <w:r w:rsidR="007663EB" w:rsidRPr="007663EB">
              <w:rPr>
                <w:noProof/>
                <w:sz w:val="18"/>
                <w:szCs w:val="24"/>
              </w:rPr>
              <w:t>(Font Vivanco et al., 2015)</w:t>
            </w:r>
            <w:r>
              <w:rPr>
                <w:sz w:val="18"/>
                <w:szCs w:val="24"/>
              </w:rPr>
              <w:fldChar w:fldCharType="end"/>
            </w:r>
          </w:p>
        </w:tc>
        <w:tc>
          <w:tcPr>
            <w:tcW w:w="1192" w:type="dxa"/>
          </w:tcPr>
          <w:p w:rsidR="00083454" w:rsidRPr="000B7DCC" w:rsidRDefault="00083454" w:rsidP="00DF4327">
            <w:pPr>
              <w:rPr>
                <w:sz w:val="18"/>
                <w:szCs w:val="24"/>
              </w:rPr>
            </w:pPr>
            <w:r w:rsidRPr="00104101">
              <w:rPr>
                <w:sz w:val="18"/>
                <w:szCs w:val="24"/>
              </w:rPr>
              <w:t>EU-level eco-innovation policies</w:t>
            </w:r>
          </w:p>
        </w:tc>
        <w:tc>
          <w:tcPr>
            <w:tcW w:w="875" w:type="dxa"/>
          </w:tcPr>
          <w:p w:rsidR="00083454" w:rsidRDefault="00083454" w:rsidP="00DF4327">
            <w:pPr>
              <w:rPr>
                <w:sz w:val="18"/>
                <w:szCs w:val="24"/>
              </w:rPr>
            </w:pPr>
            <w:r>
              <w:rPr>
                <w:sz w:val="18"/>
                <w:szCs w:val="24"/>
              </w:rPr>
              <w:t>Transport</w:t>
            </w:r>
          </w:p>
        </w:tc>
        <w:tc>
          <w:tcPr>
            <w:tcW w:w="892" w:type="dxa"/>
          </w:tcPr>
          <w:p w:rsidR="00083454" w:rsidRPr="000B7DCC" w:rsidRDefault="00083454" w:rsidP="00DF4327">
            <w:pPr>
              <w:rPr>
                <w:sz w:val="18"/>
                <w:szCs w:val="24"/>
              </w:rPr>
            </w:pPr>
            <w:r>
              <w:rPr>
                <w:sz w:val="18"/>
                <w:szCs w:val="24"/>
              </w:rPr>
              <w:t>-1,500 to 7,189%</w:t>
            </w:r>
          </w:p>
        </w:tc>
        <w:tc>
          <w:tcPr>
            <w:tcW w:w="1291" w:type="dxa"/>
          </w:tcPr>
          <w:p w:rsidR="00083454" w:rsidRPr="000B7DCC" w:rsidRDefault="00083454" w:rsidP="00DF4327">
            <w:pPr>
              <w:rPr>
                <w:sz w:val="18"/>
                <w:szCs w:val="24"/>
              </w:rPr>
            </w:pPr>
            <w:r>
              <w:rPr>
                <w:sz w:val="18"/>
                <w:szCs w:val="24"/>
              </w:rPr>
              <w:t>Direct economic savings and differences in impact intensity</w:t>
            </w:r>
          </w:p>
        </w:tc>
        <w:tc>
          <w:tcPr>
            <w:tcW w:w="1132" w:type="dxa"/>
          </w:tcPr>
          <w:p w:rsidR="00083454" w:rsidRPr="000B7DCC" w:rsidRDefault="00083454" w:rsidP="00DF4327">
            <w:pPr>
              <w:jc w:val="center"/>
              <w:rPr>
                <w:sz w:val="18"/>
                <w:szCs w:val="24"/>
              </w:rPr>
            </w:pPr>
            <w:r>
              <w:rPr>
                <w:sz w:val="18"/>
                <w:szCs w:val="24"/>
              </w:rPr>
              <w:t>X (Empirical evidence)</w:t>
            </w:r>
          </w:p>
        </w:tc>
        <w:tc>
          <w:tcPr>
            <w:tcW w:w="1193" w:type="dxa"/>
          </w:tcPr>
          <w:p w:rsidR="00083454" w:rsidRPr="000B7DCC" w:rsidRDefault="00083454" w:rsidP="00DF4327">
            <w:pPr>
              <w:jc w:val="center"/>
              <w:rPr>
                <w:sz w:val="18"/>
                <w:szCs w:val="24"/>
              </w:rPr>
            </w:pPr>
            <w:r>
              <w:rPr>
                <w:sz w:val="18"/>
                <w:szCs w:val="24"/>
              </w:rPr>
              <w:t>International</w:t>
            </w:r>
          </w:p>
        </w:tc>
        <w:tc>
          <w:tcPr>
            <w:tcW w:w="666" w:type="dxa"/>
          </w:tcPr>
          <w:p w:rsidR="00083454" w:rsidRPr="000B7DCC" w:rsidRDefault="00083454" w:rsidP="00DF4327">
            <w:pPr>
              <w:jc w:val="center"/>
              <w:rPr>
                <w:sz w:val="18"/>
                <w:szCs w:val="24"/>
              </w:rPr>
            </w:pPr>
            <w:r w:rsidRPr="000B7DCC">
              <w:rPr>
                <w:sz w:val="18"/>
                <w:szCs w:val="24"/>
              </w:rPr>
              <w:t>x</w:t>
            </w:r>
          </w:p>
        </w:tc>
        <w:tc>
          <w:tcPr>
            <w:tcW w:w="794" w:type="dxa"/>
          </w:tcPr>
          <w:p w:rsidR="00083454" w:rsidRPr="000B7DCC" w:rsidRDefault="00083454" w:rsidP="00DF4327">
            <w:pPr>
              <w:jc w:val="center"/>
              <w:rPr>
                <w:sz w:val="18"/>
                <w:szCs w:val="24"/>
              </w:rPr>
            </w:pPr>
            <w:r w:rsidRPr="000B7DCC">
              <w:rPr>
                <w:sz w:val="18"/>
                <w:szCs w:val="24"/>
              </w:rPr>
              <w:t>x</w:t>
            </w:r>
          </w:p>
        </w:tc>
        <w:tc>
          <w:tcPr>
            <w:tcW w:w="939" w:type="dxa"/>
          </w:tcPr>
          <w:p w:rsidR="00083454" w:rsidRPr="000B7DCC" w:rsidRDefault="00083454" w:rsidP="00DF4327">
            <w:pPr>
              <w:jc w:val="center"/>
              <w:rPr>
                <w:sz w:val="18"/>
                <w:szCs w:val="24"/>
              </w:rPr>
            </w:pPr>
          </w:p>
        </w:tc>
        <w:tc>
          <w:tcPr>
            <w:tcW w:w="956" w:type="dxa"/>
          </w:tcPr>
          <w:p w:rsidR="00083454" w:rsidRPr="000B7DCC" w:rsidRDefault="00083454" w:rsidP="00DF4327">
            <w:pPr>
              <w:jc w:val="center"/>
              <w:rPr>
                <w:sz w:val="18"/>
                <w:szCs w:val="24"/>
              </w:rPr>
            </w:pPr>
            <w:r w:rsidRPr="000B7DCC">
              <w:rPr>
                <w:sz w:val="18"/>
                <w:szCs w:val="24"/>
              </w:rPr>
              <w:t>x</w:t>
            </w:r>
          </w:p>
        </w:tc>
        <w:tc>
          <w:tcPr>
            <w:tcW w:w="737" w:type="dxa"/>
          </w:tcPr>
          <w:p w:rsidR="00083454" w:rsidRPr="000B7DCC" w:rsidRDefault="00083454" w:rsidP="00DF4327">
            <w:pPr>
              <w:jc w:val="center"/>
              <w:rPr>
                <w:sz w:val="18"/>
                <w:szCs w:val="24"/>
              </w:rPr>
            </w:pPr>
            <w:r w:rsidRPr="000B7DCC">
              <w:rPr>
                <w:sz w:val="18"/>
                <w:szCs w:val="24"/>
              </w:rPr>
              <w:t>x</w:t>
            </w:r>
          </w:p>
        </w:tc>
        <w:tc>
          <w:tcPr>
            <w:tcW w:w="661" w:type="dxa"/>
          </w:tcPr>
          <w:p w:rsidR="00083454" w:rsidRPr="000B7DCC" w:rsidRDefault="00083454" w:rsidP="00DF4327">
            <w:pPr>
              <w:jc w:val="center"/>
              <w:rPr>
                <w:sz w:val="18"/>
                <w:szCs w:val="24"/>
              </w:rPr>
            </w:pPr>
            <w:r w:rsidRPr="000B7DCC">
              <w:rPr>
                <w:sz w:val="18"/>
                <w:szCs w:val="24"/>
              </w:rPr>
              <w:t>x</w:t>
            </w:r>
          </w:p>
        </w:tc>
        <w:tc>
          <w:tcPr>
            <w:tcW w:w="1283" w:type="dxa"/>
          </w:tcPr>
          <w:p w:rsidR="00083454" w:rsidRPr="000B7DCC" w:rsidRDefault="00083454" w:rsidP="00DF4327">
            <w:pPr>
              <w:jc w:val="center"/>
              <w:rPr>
                <w:sz w:val="18"/>
                <w:szCs w:val="24"/>
              </w:rPr>
            </w:pPr>
            <w:r w:rsidRPr="000B7DCC">
              <w:rPr>
                <w:sz w:val="18"/>
                <w:szCs w:val="24"/>
              </w:rPr>
              <w:t>x</w:t>
            </w:r>
          </w:p>
        </w:tc>
      </w:tr>
      <w:tr w:rsidR="00083454" w:rsidRPr="000B7DCC" w:rsidTr="00DF4327">
        <w:tc>
          <w:tcPr>
            <w:tcW w:w="1337" w:type="dxa"/>
          </w:tcPr>
          <w:p w:rsidR="00083454" w:rsidRDefault="00083454" w:rsidP="00DF4327">
            <w:pPr>
              <w:rPr>
                <w:sz w:val="18"/>
                <w:szCs w:val="24"/>
              </w:rPr>
            </w:pPr>
            <w:r>
              <w:rPr>
                <w:sz w:val="18"/>
                <w:szCs w:val="24"/>
              </w:rPr>
              <w:fldChar w:fldCharType="begin" w:fldLock="1"/>
            </w:r>
            <w:r w:rsidR="007663EB">
              <w:rPr>
                <w:sz w:val="18"/>
                <w:szCs w:val="24"/>
              </w:rPr>
              <w:instrText>ADDIN CSL_CITATION { "citationItems" : [ { "id" : "ITEM-1", "itemData" : { "DOI" : "10.1016/j.rser.2011.11.003", "ISBN" : "1364-0321", "ISSN" : "13640321", "abstract" : "This paper describes a new tool to assess the medium- and long-term economic and environmental impacts of large-scale policies. The approach - macro life cycle assessment (M-LCA) - is based on life cycle assessment methodology and includes additional elements to model economic externalities and the temporal evolution of background parameters. The general equilibrium model GTAP was therefore used to simulate the economic consequences of policies in a dynamic framework representing the temporal evolution of macroeconomic and technological parameters. Environmental impacts, expressed via four indicators (human health, ecosystems, global warming and natural resources), are computed according to policy life cycle and its indirect economic consequences. In order to illustrate the approach, two 2005-2025 European Union (EU) energy policies were compared using M-LCA. The first policy, the bioenergy policy, aims to significantly increase energy generation from biomass and reduce EU energy demand for coal. The second policy, the baseline policy, is a business as usual policy where year 2000 energy policies are extended to 2025. Results show that, compared to the baseline policy, the bioenergy policy generates fewer impacts on three of the four environmental indicators (human health, global warming and natural resources) at the world and EU scales, though the results may differ significantly at a regional level. The results also highlight the key contribution of economic growth to the total environmental impacts computed for the 2005-2025 period. A comparison of the results with a more conventional consequential LCA approach illustrates the benefits of M-LCA when modeling the indirect environmental impacts of large-scale policies. The sensitivity and uncertainty analysis indicates that the method is quite robust. However, its robustness must still be evaluated based on the sensitivity and uncertainty of additional parameters, including the evolution of economic growth. \u00a9 2011 Elsevier Ltd. All rights reserved.", "author" : [ { "dropping-particle" : "", "family" : "Dandres", "given" : "Thomas", "non-dropping-particle" : "", "parse-names" : false, "suffix" : "" }, { "dropping-particle" : "", "family" : "Gaudreault", "given" : "Caroline", "non-dropping-particle" : "", "parse-names" : false, "suffix" : "" }, { "dropping-particle" : "", "family" : "Tirado-Seco", "given" : "Pablo", "non-dropping-particle" : "", "parse-names" : false, "suffix" : "" }, { "dropping-particle" : "", "family" : "Samson", "given" : "R\u00e9jean", "non-dropping-particle" : "", "parse-names" : false, "suffix" : "" } ], "container-title" : "Renewable and Sustainable Energy Reviews", "id" : "ITEM-1", "issue" : "2", "issued" : { "date-parts" : [ [ "2012", "2", "1" ] ] }, "page" : "1180-1192", "publisher" : "Pergamon", "title" : "Macroanalysis of the economic and environmental impacts of a 2005-2025 European Union bioenergy policy using the GTAP model and life cycle assessment", "type" : "article-journal", "volume" : "16" }, "uris" : [ "http://www.mendeley.com/documents/?uuid=a7d213d7-925b-3fbe-a2d0-f9266bf63f4a" ] } ], "mendeley" : { "formattedCitation" : "(Dandres et al., 2012)", "plainTextFormattedCitation" : "(Dandres et al., 2012)", "previouslyFormattedCitation" : "[9]" }, "properties" : {  }, "schema" : "https://github.com/citation-style-language/schema/raw/master/csl-citation.json" }</w:instrText>
            </w:r>
            <w:r>
              <w:rPr>
                <w:sz w:val="18"/>
                <w:szCs w:val="24"/>
              </w:rPr>
              <w:fldChar w:fldCharType="separate"/>
            </w:r>
            <w:r w:rsidR="007663EB" w:rsidRPr="007663EB">
              <w:rPr>
                <w:noProof/>
                <w:sz w:val="18"/>
                <w:szCs w:val="24"/>
              </w:rPr>
              <w:t>(Dandres et al., 2012)</w:t>
            </w:r>
            <w:r>
              <w:rPr>
                <w:sz w:val="18"/>
                <w:szCs w:val="24"/>
              </w:rPr>
              <w:fldChar w:fldCharType="end"/>
            </w:r>
          </w:p>
        </w:tc>
        <w:tc>
          <w:tcPr>
            <w:tcW w:w="1192" w:type="dxa"/>
          </w:tcPr>
          <w:p w:rsidR="00083454" w:rsidRPr="00104101" w:rsidRDefault="00083454" w:rsidP="00DF4327">
            <w:pPr>
              <w:rPr>
                <w:sz w:val="18"/>
                <w:szCs w:val="24"/>
              </w:rPr>
            </w:pPr>
            <w:r>
              <w:rPr>
                <w:sz w:val="18"/>
                <w:szCs w:val="24"/>
              </w:rPr>
              <w:t>EU-level bioenergy policy scenarios</w:t>
            </w:r>
          </w:p>
        </w:tc>
        <w:tc>
          <w:tcPr>
            <w:tcW w:w="875" w:type="dxa"/>
          </w:tcPr>
          <w:p w:rsidR="00083454" w:rsidRDefault="00083454" w:rsidP="00DF4327">
            <w:pPr>
              <w:rPr>
                <w:sz w:val="18"/>
                <w:szCs w:val="24"/>
              </w:rPr>
            </w:pPr>
            <w:r>
              <w:rPr>
                <w:sz w:val="18"/>
                <w:szCs w:val="24"/>
              </w:rPr>
              <w:t>Energy</w:t>
            </w:r>
          </w:p>
        </w:tc>
        <w:tc>
          <w:tcPr>
            <w:tcW w:w="892" w:type="dxa"/>
          </w:tcPr>
          <w:p w:rsidR="00083454" w:rsidRDefault="00083454" w:rsidP="00DF4327">
            <w:pPr>
              <w:rPr>
                <w:sz w:val="18"/>
                <w:szCs w:val="24"/>
              </w:rPr>
            </w:pPr>
            <w:r>
              <w:rPr>
                <w:sz w:val="18"/>
                <w:szCs w:val="24"/>
              </w:rPr>
              <w:t>-69 to 45%</w:t>
            </w:r>
          </w:p>
        </w:tc>
        <w:tc>
          <w:tcPr>
            <w:tcW w:w="1291" w:type="dxa"/>
          </w:tcPr>
          <w:p w:rsidR="00083454" w:rsidRDefault="00083454" w:rsidP="00DF4327">
            <w:pPr>
              <w:rPr>
                <w:sz w:val="18"/>
                <w:szCs w:val="24"/>
              </w:rPr>
            </w:pPr>
            <w:r>
              <w:rPr>
                <w:sz w:val="18"/>
                <w:szCs w:val="24"/>
              </w:rPr>
              <w:t>Drop in coal and lignite production costs and increase in exports</w:t>
            </w:r>
          </w:p>
        </w:tc>
        <w:tc>
          <w:tcPr>
            <w:tcW w:w="1132" w:type="dxa"/>
          </w:tcPr>
          <w:p w:rsidR="00083454" w:rsidRPr="000B7DCC" w:rsidRDefault="00083454" w:rsidP="00DF4327">
            <w:pPr>
              <w:jc w:val="center"/>
              <w:rPr>
                <w:sz w:val="18"/>
                <w:szCs w:val="24"/>
              </w:rPr>
            </w:pPr>
            <w:r>
              <w:rPr>
                <w:sz w:val="18"/>
                <w:szCs w:val="24"/>
              </w:rPr>
              <w:t>X (Expert opinion)</w:t>
            </w:r>
          </w:p>
        </w:tc>
        <w:tc>
          <w:tcPr>
            <w:tcW w:w="1193" w:type="dxa"/>
          </w:tcPr>
          <w:p w:rsidR="00083454" w:rsidRPr="000B7DCC" w:rsidRDefault="00083454" w:rsidP="00DF4327">
            <w:pPr>
              <w:jc w:val="center"/>
              <w:rPr>
                <w:sz w:val="18"/>
                <w:szCs w:val="24"/>
              </w:rPr>
            </w:pPr>
            <w:r>
              <w:rPr>
                <w:sz w:val="18"/>
                <w:szCs w:val="24"/>
              </w:rPr>
              <w:t>International</w:t>
            </w:r>
          </w:p>
        </w:tc>
        <w:tc>
          <w:tcPr>
            <w:tcW w:w="666" w:type="dxa"/>
          </w:tcPr>
          <w:p w:rsidR="00083454" w:rsidRPr="000B7DCC" w:rsidRDefault="00083454" w:rsidP="00DF4327">
            <w:pPr>
              <w:jc w:val="center"/>
              <w:rPr>
                <w:sz w:val="18"/>
                <w:szCs w:val="24"/>
              </w:rPr>
            </w:pPr>
          </w:p>
        </w:tc>
        <w:tc>
          <w:tcPr>
            <w:tcW w:w="794" w:type="dxa"/>
          </w:tcPr>
          <w:p w:rsidR="00083454" w:rsidRPr="000B7DCC" w:rsidRDefault="00083454" w:rsidP="00DF4327">
            <w:pPr>
              <w:jc w:val="center"/>
              <w:rPr>
                <w:sz w:val="18"/>
                <w:szCs w:val="24"/>
              </w:rPr>
            </w:pPr>
          </w:p>
        </w:tc>
        <w:tc>
          <w:tcPr>
            <w:tcW w:w="939" w:type="dxa"/>
          </w:tcPr>
          <w:p w:rsidR="00083454" w:rsidRPr="000B7DCC" w:rsidRDefault="00083454" w:rsidP="00DF4327">
            <w:pPr>
              <w:jc w:val="center"/>
              <w:rPr>
                <w:sz w:val="18"/>
                <w:szCs w:val="24"/>
              </w:rPr>
            </w:pPr>
            <w:r>
              <w:rPr>
                <w:sz w:val="18"/>
                <w:szCs w:val="24"/>
              </w:rPr>
              <w:t>x</w:t>
            </w:r>
          </w:p>
        </w:tc>
        <w:tc>
          <w:tcPr>
            <w:tcW w:w="956" w:type="dxa"/>
          </w:tcPr>
          <w:p w:rsidR="00083454" w:rsidRPr="000B7DCC" w:rsidRDefault="00083454" w:rsidP="00DF4327">
            <w:pPr>
              <w:jc w:val="center"/>
              <w:rPr>
                <w:sz w:val="18"/>
                <w:szCs w:val="24"/>
              </w:rPr>
            </w:pPr>
          </w:p>
        </w:tc>
        <w:tc>
          <w:tcPr>
            <w:tcW w:w="737" w:type="dxa"/>
          </w:tcPr>
          <w:p w:rsidR="00083454" w:rsidRPr="000B7DCC" w:rsidRDefault="00083454" w:rsidP="00DF4327">
            <w:pPr>
              <w:jc w:val="center"/>
              <w:rPr>
                <w:sz w:val="18"/>
                <w:szCs w:val="24"/>
              </w:rPr>
            </w:pPr>
          </w:p>
        </w:tc>
        <w:tc>
          <w:tcPr>
            <w:tcW w:w="661" w:type="dxa"/>
          </w:tcPr>
          <w:p w:rsidR="00083454" w:rsidRPr="000B7DCC" w:rsidRDefault="00083454" w:rsidP="00DF4327">
            <w:pPr>
              <w:jc w:val="center"/>
              <w:rPr>
                <w:sz w:val="18"/>
                <w:szCs w:val="24"/>
              </w:rPr>
            </w:pPr>
            <w:r>
              <w:rPr>
                <w:sz w:val="18"/>
                <w:szCs w:val="24"/>
              </w:rPr>
              <w:t>x</w:t>
            </w:r>
          </w:p>
        </w:tc>
        <w:tc>
          <w:tcPr>
            <w:tcW w:w="1283" w:type="dxa"/>
          </w:tcPr>
          <w:p w:rsidR="00083454" w:rsidRPr="000B7DCC" w:rsidRDefault="00083454" w:rsidP="00DF4327">
            <w:pPr>
              <w:jc w:val="center"/>
              <w:rPr>
                <w:sz w:val="18"/>
                <w:szCs w:val="24"/>
              </w:rPr>
            </w:pPr>
            <w:r>
              <w:rPr>
                <w:sz w:val="18"/>
                <w:szCs w:val="24"/>
              </w:rPr>
              <w:t>x</w:t>
            </w:r>
          </w:p>
        </w:tc>
      </w:tr>
      <w:tr w:rsidR="00083454" w:rsidRPr="000B7DCC" w:rsidTr="00DF4327">
        <w:tc>
          <w:tcPr>
            <w:tcW w:w="1337" w:type="dxa"/>
          </w:tcPr>
          <w:p w:rsidR="00083454" w:rsidRPr="000B7DCC" w:rsidRDefault="00083454" w:rsidP="00DF4327">
            <w:pPr>
              <w:rPr>
                <w:sz w:val="18"/>
                <w:szCs w:val="24"/>
              </w:rPr>
            </w:pPr>
            <w:r>
              <w:rPr>
                <w:sz w:val="18"/>
                <w:szCs w:val="24"/>
              </w:rPr>
              <w:fldChar w:fldCharType="begin" w:fldLock="1"/>
            </w:r>
            <w:r w:rsidR="007663EB">
              <w:rPr>
                <w:sz w:val="18"/>
                <w:szCs w:val="24"/>
              </w:rPr>
              <w:instrText>ADDIN CSL_CITATION { "citationItems" : [ { "id" : "ITEM-1", "itemData" : { "DOI" : "http://dx.doi.org/10.1016/j.eneco.2006.12.008", "ISBN" : "0140-9883", "abstract" : "This paper reports a study modeling the UK Climate Change Agreements (CCAs) and related energy-efficiency policies for energy-intensive industrial sectors. Bottom\u2013up estimates of the effects of these policies are introduced into the energy-demand equations of a top\u2013down dynamic econometric model of the UK economy with fifty industrial sectors, MDM-E3. This allowed estimation of the effects of the reduced energy use for the outputs from the sectors, i.e. the reductions in unit costs of the energy-intensive industries, on the demand for their outputs (both in the UK and in the export markets). The model is solved as a counterfactual 2000\u20132005 and as a projection 2005\u20132010 in a series of scenarios to allow estimation of the effects of the policies on inflation and growth, as well as on overall energy demand and CO2 emissions. The system-wide final energy reductions is estimated to be 4.2\u00a0mtoe, or 2.6%, of total final demand for energy by 2010, including a rebound effect of 19%, with negligible effects on inflation and a slight increase in economic growth through improved international competitiveness.", "author" : [ { "dropping-particle" : "", "family" : "Barker", "given" : "Terry", "non-dropping-particle" : "", "parse-names" : false, "suffix" : "" }, { "dropping-particle" : "", "family" : "Ekins", "given" : "Paul", "non-dropping-particle" : "", "parse-names" : false, "suffix" : "" }, { "dropping-particle" : "", "family" : "Foxon", "given" : "Tim", "non-dropping-particle" : "", "parse-names" : false, "suffix" : "" } ], "container-title" : "Energy Economics", "id" : "ITEM-1", "issue" : "4", "issued" : { "date-parts" : [ [ "2007" ] ] }, "page" : "760-778", "title" : "Macroeconomic effects of efficiency policies for energy-intensive industries: The case of the UK Climate Change Agreements, 2000\u20132010", "type" : "article-journal", "volume" : "29" }, "uris" : [ "http://www.mendeley.com/documents/?uuid=fabe8961-606e-4569-8c40-6b5cfb0b9719" ] } ], "mendeley" : { "formattedCitation" : "(Barker et al., 2007a)", "plainTextFormattedCitation" : "(Barker et al., 2007a)", "previouslyFormattedCitation" : "[10]" }, "properties" : {  }, "schema" : "https://github.com/citation-style-language/schema/raw/master/csl-citation.json" }</w:instrText>
            </w:r>
            <w:r>
              <w:rPr>
                <w:sz w:val="18"/>
                <w:szCs w:val="24"/>
              </w:rPr>
              <w:fldChar w:fldCharType="separate"/>
            </w:r>
            <w:r w:rsidR="007663EB" w:rsidRPr="007663EB">
              <w:rPr>
                <w:noProof/>
                <w:sz w:val="18"/>
                <w:szCs w:val="24"/>
              </w:rPr>
              <w:t>(Barker et al., 2007a)</w:t>
            </w:r>
            <w:r>
              <w:rPr>
                <w:sz w:val="18"/>
                <w:szCs w:val="24"/>
              </w:rPr>
              <w:fldChar w:fldCharType="end"/>
            </w:r>
          </w:p>
        </w:tc>
        <w:tc>
          <w:tcPr>
            <w:tcW w:w="1192" w:type="dxa"/>
          </w:tcPr>
          <w:p w:rsidR="00083454" w:rsidRPr="000B7DCC" w:rsidRDefault="00083454" w:rsidP="00DF4327">
            <w:pPr>
              <w:rPr>
                <w:sz w:val="18"/>
                <w:szCs w:val="24"/>
              </w:rPr>
            </w:pPr>
            <w:r>
              <w:rPr>
                <w:sz w:val="18"/>
                <w:szCs w:val="24"/>
              </w:rPr>
              <w:t>E</w:t>
            </w:r>
            <w:r w:rsidRPr="00732B1D">
              <w:rPr>
                <w:sz w:val="18"/>
                <w:szCs w:val="24"/>
              </w:rPr>
              <w:t xml:space="preserve">nergy efficiency policies and </w:t>
            </w:r>
            <w:r w:rsidRPr="00732B1D">
              <w:rPr>
                <w:sz w:val="18"/>
                <w:szCs w:val="24"/>
              </w:rPr>
              <w:lastRenderedPageBreak/>
              <w:t>programmes in the UK</w:t>
            </w:r>
          </w:p>
        </w:tc>
        <w:tc>
          <w:tcPr>
            <w:tcW w:w="875" w:type="dxa"/>
          </w:tcPr>
          <w:p w:rsidR="00083454" w:rsidRDefault="00083454" w:rsidP="00DF4327">
            <w:pPr>
              <w:rPr>
                <w:sz w:val="18"/>
                <w:szCs w:val="24"/>
              </w:rPr>
            </w:pPr>
            <w:r>
              <w:rPr>
                <w:sz w:val="18"/>
                <w:szCs w:val="24"/>
              </w:rPr>
              <w:lastRenderedPageBreak/>
              <w:t>Energy</w:t>
            </w:r>
          </w:p>
        </w:tc>
        <w:tc>
          <w:tcPr>
            <w:tcW w:w="892" w:type="dxa"/>
          </w:tcPr>
          <w:p w:rsidR="00083454" w:rsidRPr="000B7DCC" w:rsidRDefault="00083454" w:rsidP="00DF4327">
            <w:pPr>
              <w:rPr>
                <w:sz w:val="18"/>
                <w:szCs w:val="24"/>
              </w:rPr>
            </w:pPr>
            <w:r>
              <w:rPr>
                <w:sz w:val="18"/>
                <w:szCs w:val="24"/>
              </w:rPr>
              <w:t xml:space="preserve">11 to </w:t>
            </w:r>
            <w:r w:rsidRPr="006E2E1B">
              <w:rPr>
                <w:sz w:val="18"/>
                <w:szCs w:val="24"/>
              </w:rPr>
              <w:t>25%.</w:t>
            </w:r>
          </w:p>
        </w:tc>
        <w:tc>
          <w:tcPr>
            <w:tcW w:w="1291" w:type="dxa"/>
          </w:tcPr>
          <w:p w:rsidR="00083454" w:rsidRPr="000B7DCC" w:rsidRDefault="00083454" w:rsidP="00DF4327">
            <w:pPr>
              <w:rPr>
                <w:sz w:val="18"/>
                <w:szCs w:val="24"/>
              </w:rPr>
            </w:pPr>
            <w:r>
              <w:rPr>
                <w:sz w:val="18"/>
                <w:szCs w:val="24"/>
              </w:rPr>
              <w:t>R</w:t>
            </w:r>
            <w:r w:rsidRPr="007D308E">
              <w:rPr>
                <w:sz w:val="18"/>
                <w:szCs w:val="24"/>
              </w:rPr>
              <w:t xml:space="preserve">eductions in industrial costs and prices in </w:t>
            </w:r>
            <w:r w:rsidRPr="007D308E">
              <w:rPr>
                <w:sz w:val="18"/>
                <w:szCs w:val="24"/>
              </w:rPr>
              <w:lastRenderedPageBreak/>
              <w:t>ener</w:t>
            </w:r>
            <w:r>
              <w:rPr>
                <w:sz w:val="18"/>
                <w:szCs w:val="24"/>
              </w:rPr>
              <w:t xml:space="preserve">gy-intensive industrial sectors and </w:t>
            </w:r>
            <w:r w:rsidRPr="007D308E">
              <w:rPr>
                <w:sz w:val="18"/>
                <w:szCs w:val="24"/>
              </w:rPr>
              <w:t>extra energy output being consumed by energy-intensive industries.</w:t>
            </w:r>
          </w:p>
        </w:tc>
        <w:tc>
          <w:tcPr>
            <w:tcW w:w="1132" w:type="dxa"/>
          </w:tcPr>
          <w:p w:rsidR="00083454" w:rsidRPr="000B7DCC" w:rsidRDefault="00083454" w:rsidP="00DF4327">
            <w:pPr>
              <w:jc w:val="center"/>
              <w:rPr>
                <w:sz w:val="18"/>
                <w:szCs w:val="24"/>
              </w:rPr>
            </w:pPr>
            <w:r>
              <w:rPr>
                <w:sz w:val="18"/>
                <w:szCs w:val="24"/>
              </w:rPr>
              <w:lastRenderedPageBreak/>
              <w:t>X (Empirical evidence)</w:t>
            </w:r>
          </w:p>
        </w:tc>
        <w:tc>
          <w:tcPr>
            <w:tcW w:w="1193" w:type="dxa"/>
          </w:tcPr>
          <w:p w:rsidR="00083454" w:rsidRPr="000B7DCC" w:rsidRDefault="00083454" w:rsidP="00DF4327">
            <w:pPr>
              <w:jc w:val="center"/>
              <w:rPr>
                <w:sz w:val="18"/>
                <w:szCs w:val="24"/>
              </w:rPr>
            </w:pPr>
            <w:r>
              <w:rPr>
                <w:sz w:val="18"/>
                <w:szCs w:val="24"/>
              </w:rPr>
              <w:t>National</w:t>
            </w:r>
          </w:p>
        </w:tc>
        <w:tc>
          <w:tcPr>
            <w:tcW w:w="666" w:type="dxa"/>
          </w:tcPr>
          <w:p w:rsidR="00083454" w:rsidRPr="000B7DCC" w:rsidRDefault="00083454" w:rsidP="00DF4327">
            <w:pPr>
              <w:jc w:val="center"/>
              <w:rPr>
                <w:sz w:val="18"/>
                <w:szCs w:val="24"/>
              </w:rPr>
            </w:pPr>
            <w:r w:rsidRPr="000B7DCC">
              <w:rPr>
                <w:sz w:val="18"/>
                <w:szCs w:val="24"/>
              </w:rPr>
              <w:t>x</w:t>
            </w:r>
          </w:p>
        </w:tc>
        <w:tc>
          <w:tcPr>
            <w:tcW w:w="794" w:type="dxa"/>
          </w:tcPr>
          <w:p w:rsidR="00083454" w:rsidRPr="000B7DCC" w:rsidRDefault="00083454" w:rsidP="00DF4327">
            <w:pPr>
              <w:jc w:val="center"/>
              <w:rPr>
                <w:sz w:val="18"/>
                <w:szCs w:val="24"/>
              </w:rPr>
            </w:pPr>
            <w:r w:rsidRPr="000B7DCC">
              <w:rPr>
                <w:sz w:val="18"/>
                <w:szCs w:val="24"/>
              </w:rPr>
              <w:t>x</w:t>
            </w:r>
          </w:p>
        </w:tc>
        <w:tc>
          <w:tcPr>
            <w:tcW w:w="939" w:type="dxa"/>
          </w:tcPr>
          <w:p w:rsidR="00083454" w:rsidRPr="000B7DCC" w:rsidRDefault="00083454" w:rsidP="00DF4327">
            <w:pPr>
              <w:jc w:val="center"/>
              <w:rPr>
                <w:sz w:val="18"/>
                <w:szCs w:val="24"/>
              </w:rPr>
            </w:pPr>
            <w:r w:rsidRPr="000B7DCC">
              <w:rPr>
                <w:sz w:val="18"/>
                <w:szCs w:val="24"/>
              </w:rPr>
              <w:t>x</w:t>
            </w:r>
          </w:p>
        </w:tc>
        <w:tc>
          <w:tcPr>
            <w:tcW w:w="956" w:type="dxa"/>
          </w:tcPr>
          <w:p w:rsidR="00083454" w:rsidRPr="000B7DCC" w:rsidRDefault="00083454" w:rsidP="00DF4327">
            <w:pPr>
              <w:jc w:val="center"/>
              <w:rPr>
                <w:sz w:val="18"/>
                <w:szCs w:val="24"/>
              </w:rPr>
            </w:pPr>
          </w:p>
        </w:tc>
        <w:tc>
          <w:tcPr>
            <w:tcW w:w="737" w:type="dxa"/>
          </w:tcPr>
          <w:p w:rsidR="00083454" w:rsidRPr="000B7DCC" w:rsidRDefault="00083454" w:rsidP="00DF4327">
            <w:pPr>
              <w:jc w:val="center"/>
              <w:rPr>
                <w:sz w:val="18"/>
                <w:szCs w:val="24"/>
              </w:rPr>
            </w:pPr>
            <w:r w:rsidRPr="000B7DCC">
              <w:rPr>
                <w:sz w:val="18"/>
                <w:szCs w:val="24"/>
              </w:rPr>
              <w:t>x</w:t>
            </w:r>
          </w:p>
        </w:tc>
        <w:tc>
          <w:tcPr>
            <w:tcW w:w="661" w:type="dxa"/>
          </w:tcPr>
          <w:p w:rsidR="00083454" w:rsidRPr="000B7DCC" w:rsidRDefault="00083454" w:rsidP="00DF4327">
            <w:pPr>
              <w:jc w:val="center"/>
              <w:rPr>
                <w:sz w:val="18"/>
                <w:szCs w:val="24"/>
              </w:rPr>
            </w:pPr>
            <w:r w:rsidRPr="000B7DCC">
              <w:rPr>
                <w:sz w:val="18"/>
                <w:szCs w:val="24"/>
              </w:rPr>
              <w:t>x</w:t>
            </w:r>
          </w:p>
        </w:tc>
        <w:tc>
          <w:tcPr>
            <w:tcW w:w="1283" w:type="dxa"/>
          </w:tcPr>
          <w:p w:rsidR="00083454" w:rsidRPr="000B7DCC" w:rsidRDefault="00083454" w:rsidP="00DF4327">
            <w:pPr>
              <w:jc w:val="center"/>
              <w:rPr>
                <w:sz w:val="18"/>
                <w:szCs w:val="24"/>
              </w:rPr>
            </w:pPr>
          </w:p>
        </w:tc>
      </w:tr>
      <w:tr w:rsidR="00083454" w:rsidRPr="000B7DCC" w:rsidTr="00DF4327">
        <w:tc>
          <w:tcPr>
            <w:tcW w:w="1337" w:type="dxa"/>
          </w:tcPr>
          <w:p w:rsidR="00083454" w:rsidRPr="000B7DCC" w:rsidRDefault="00083454" w:rsidP="00DF4327">
            <w:pPr>
              <w:rPr>
                <w:sz w:val="18"/>
                <w:szCs w:val="24"/>
              </w:rPr>
            </w:pPr>
            <w:r>
              <w:rPr>
                <w:sz w:val="18"/>
                <w:szCs w:val="24"/>
              </w:rPr>
              <w:fldChar w:fldCharType="begin" w:fldLock="1"/>
            </w:r>
            <w:r w:rsidR="007663EB">
              <w:rPr>
                <w:sz w:val="18"/>
                <w:szCs w:val="24"/>
              </w:rPr>
              <w:instrText>ADDIN CSL_CITATION { "citationItems" : [ { "id" : "ITEM-1", "itemData" : { "DOI" : "http://dx.doi.org/10.1016/j.enpol.2007.04.009", "ISBN" : "0301-4215", "abstract" : "This paper examines the macroeconomic rebound effect for the UK economy arising from energy efficiency policies 2000\u20132010 using the macroeconomic model, MDM-E3. The literature distinguishes between three types of rebound effect: direct, indirect and economy-wide. The macroeconomic rebound effect considered here is the combination of the indirect and economy-wide effects. Policies for the domestic, business, commercial and public, and transport sectors of the economy are analysed for 2000\u20132010. Overall, the policies lead to a saving of about 8% of the energy, which would otherwise have been used and a reduction in CO2 emissions of 10% (or 14 mtC) by 2010. There are also favourable macroeconomic effects: lower inflation and higher growth. We find that the macroeconomic rebound effect arising from UK energy efficiency policies for the period 2000\u20132010 is around 11% by 2010, averaged across sectors of the economy. When this is added to the (assumed) direct rebound effect of around 15%, this gives a total rebound effect of around 26% arising from these policies. Thus, the findings of the study support the argument that energy efficiency improvements for both consumers and producers, stimulated by policy incentives, will lead to significant reductions in energy demand and hence in greenhouse gas emissions.", "author" : [ { "dropping-particle" : "", "family" : "Barker", "given" : "Terry", "non-dropping-particle" : "", "parse-names" : false, "suffix" : "" }, { "dropping-particle" : "", "family" : "Ekins", "given" : "Paul", "non-dropping-particle" : "", "parse-names" : false, "suffix" : "" }, { "dropping-particle" : "", "family" : "Foxon", "given" : "Tim", "non-dropping-particle" : "", "parse-names" : false, "suffix" : "" } ], "container-title" : "Energy Policy", "id" : "ITEM-1", "issue" : "10", "issued" : { "date-parts" : [ [ "2007" ] ] }, "page" : "4935-4946", "title" : "The macro-economic rebound effect and the UK economy", "type" : "article-journal", "volume" : "35" }, "uris" : [ "http://www.mendeley.com/documents/?uuid=306bb46d-dd47-4fc3-8ce2-bc992ffa4d96" ] } ], "mendeley" : { "formattedCitation" : "(Barker et al., 2007b)", "plainTextFormattedCitation" : "(Barker et al., 2007b)", "previouslyFormattedCitation" : "[11]" }, "properties" : {  }, "schema" : "https://github.com/citation-style-language/schema/raw/master/csl-citation.json" }</w:instrText>
            </w:r>
            <w:r>
              <w:rPr>
                <w:sz w:val="18"/>
                <w:szCs w:val="24"/>
              </w:rPr>
              <w:fldChar w:fldCharType="separate"/>
            </w:r>
            <w:r w:rsidR="007663EB" w:rsidRPr="007663EB">
              <w:rPr>
                <w:noProof/>
                <w:sz w:val="18"/>
                <w:szCs w:val="24"/>
              </w:rPr>
              <w:t>(Barker et al., 2007b)</w:t>
            </w:r>
            <w:r>
              <w:rPr>
                <w:sz w:val="18"/>
                <w:szCs w:val="24"/>
              </w:rPr>
              <w:fldChar w:fldCharType="end"/>
            </w:r>
          </w:p>
        </w:tc>
        <w:tc>
          <w:tcPr>
            <w:tcW w:w="1192" w:type="dxa"/>
          </w:tcPr>
          <w:p w:rsidR="00083454" w:rsidRPr="000B7DCC" w:rsidRDefault="00083454" w:rsidP="00DF4327">
            <w:pPr>
              <w:rPr>
                <w:sz w:val="18"/>
                <w:szCs w:val="24"/>
              </w:rPr>
            </w:pPr>
            <w:r>
              <w:rPr>
                <w:sz w:val="18"/>
                <w:szCs w:val="24"/>
              </w:rPr>
              <w:t>V</w:t>
            </w:r>
            <w:r w:rsidRPr="00732B1D">
              <w:rPr>
                <w:sz w:val="18"/>
                <w:szCs w:val="24"/>
              </w:rPr>
              <w:t>oluntary climate change agreements from energy-intensive industrial sectors in the UK</w:t>
            </w:r>
          </w:p>
        </w:tc>
        <w:tc>
          <w:tcPr>
            <w:tcW w:w="875" w:type="dxa"/>
          </w:tcPr>
          <w:p w:rsidR="00083454" w:rsidRPr="007D308E" w:rsidRDefault="00083454" w:rsidP="00DF4327">
            <w:pPr>
              <w:rPr>
                <w:sz w:val="18"/>
                <w:szCs w:val="24"/>
              </w:rPr>
            </w:pPr>
            <w:r>
              <w:rPr>
                <w:sz w:val="18"/>
                <w:szCs w:val="24"/>
              </w:rPr>
              <w:t>Energy</w:t>
            </w:r>
          </w:p>
        </w:tc>
        <w:tc>
          <w:tcPr>
            <w:tcW w:w="892" w:type="dxa"/>
          </w:tcPr>
          <w:p w:rsidR="00083454" w:rsidRPr="000B7DCC" w:rsidRDefault="00083454" w:rsidP="00DF4327">
            <w:pPr>
              <w:rPr>
                <w:sz w:val="18"/>
                <w:szCs w:val="24"/>
              </w:rPr>
            </w:pPr>
            <w:r w:rsidRPr="007D308E">
              <w:rPr>
                <w:sz w:val="18"/>
                <w:szCs w:val="24"/>
              </w:rPr>
              <w:t>16 to 26%</w:t>
            </w:r>
          </w:p>
        </w:tc>
        <w:tc>
          <w:tcPr>
            <w:tcW w:w="1291" w:type="dxa"/>
          </w:tcPr>
          <w:p w:rsidR="00083454" w:rsidRPr="000B7DCC" w:rsidRDefault="00083454" w:rsidP="00DF4327">
            <w:pPr>
              <w:rPr>
                <w:sz w:val="18"/>
                <w:szCs w:val="24"/>
              </w:rPr>
            </w:pPr>
            <w:r>
              <w:rPr>
                <w:sz w:val="18"/>
                <w:szCs w:val="24"/>
              </w:rPr>
              <w:t>R</w:t>
            </w:r>
            <w:r w:rsidRPr="00A6465A">
              <w:rPr>
                <w:sz w:val="18"/>
                <w:szCs w:val="24"/>
              </w:rPr>
              <w:t>eduction in energy costs for producers</w:t>
            </w:r>
          </w:p>
        </w:tc>
        <w:tc>
          <w:tcPr>
            <w:tcW w:w="1132" w:type="dxa"/>
          </w:tcPr>
          <w:p w:rsidR="00083454" w:rsidRPr="000B7DCC" w:rsidRDefault="00083454" w:rsidP="00DF4327">
            <w:pPr>
              <w:jc w:val="center"/>
              <w:rPr>
                <w:sz w:val="18"/>
                <w:szCs w:val="24"/>
              </w:rPr>
            </w:pPr>
            <w:r>
              <w:rPr>
                <w:sz w:val="18"/>
                <w:szCs w:val="24"/>
              </w:rPr>
              <w:t>X (Empirical evidence)</w:t>
            </w:r>
          </w:p>
        </w:tc>
        <w:tc>
          <w:tcPr>
            <w:tcW w:w="1193" w:type="dxa"/>
          </w:tcPr>
          <w:p w:rsidR="00083454" w:rsidRPr="000B7DCC" w:rsidRDefault="00083454" w:rsidP="00DF4327">
            <w:pPr>
              <w:jc w:val="center"/>
              <w:rPr>
                <w:sz w:val="18"/>
                <w:szCs w:val="24"/>
              </w:rPr>
            </w:pPr>
            <w:r>
              <w:rPr>
                <w:sz w:val="18"/>
                <w:szCs w:val="24"/>
              </w:rPr>
              <w:t>National</w:t>
            </w:r>
          </w:p>
        </w:tc>
        <w:tc>
          <w:tcPr>
            <w:tcW w:w="666" w:type="dxa"/>
          </w:tcPr>
          <w:p w:rsidR="00083454" w:rsidRPr="000B7DCC" w:rsidRDefault="00083454" w:rsidP="00DF4327">
            <w:pPr>
              <w:jc w:val="center"/>
              <w:rPr>
                <w:sz w:val="18"/>
                <w:szCs w:val="24"/>
              </w:rPr>
            </w:pPr>
            <w:r w:rsidRPr="000B7DCC">
              <w:rPr>
                <w:sz w:val="18"/>
                <w:szCs w:val="24"/>
              </w:rPr>
              <w:t>x</w:t>
            </w:r>
          </w:p>
        </w:tc>
        <w:tc>
          <w:tcPr>
            <w:tcW w:w="794" w:type="dxa"/>
          </w:tcPr>
          <w:p w:rsidR="00083454" w:rsidRPr="000B7DCC" w:rsidRDefault="00083454" w:rsidP="00DF4327">
            <w:pPr>
              <w:jc w:val="center"/>
              <w:rPr>
                <w:sz w:val="18"/>
                <w:szCs w:val="24"/>
              </w:rPr>
            </w:pPr>
            <w:r w:rsidRPr="000B7DCC">
              <w:rPr>
                <w:sz w:val="18"/>
                <w:szCs w:val="24"/>
              </w:rPr>
              <w:t>x</w:t>
            </w:r>
          </w:p>
        </w:tc>
        <w:tc>
          <w:tcPr>
            <w:tcW w:w="939" w:type="dxa"/>
          </w:tcPr>
          <w:p w:rsidR="00083454" w:rsidRPr="000B7DCC" w:rsidRDefault="00083454" w:rsidP="00DF4327">
            <w:pPr>
              <w:jc w:val="center"/>
              <w:rPr>
                <w:sz w:val="18"/>
                <w:szCs w:val="24"/>
              </w:rPr>
            </w:pPr>
            <w:r w:rsidRPr="000B7DCC">
              <w:rPr>
                <w:sz w:val="18"/>
                <w:szCs w:val="24"/>
              </w:rPr>
              <w:t>x</w:t>
            </w:r>
          </w:p>
        </w:tc>
        <w:tc>
          <w:tcPr>
            <w:tcW w:w="956" w:type="dxa"/>
          </w:tcPr>
          <w:p w:rsidR="00083454" w:rsidRPr="000B7DCC" w:rsidRDefault="00083454" w:rsidP="00DF4327">
            <w:pPr>
              <w:jc w:val="center"/>
              <w:rPr>
                <w:sz w:val="18"/>
                <w:szCs w:val="24"/>
              </w:rPr>
            </w:pPr>
          </w:p>
        </w:tc>
        <w:tc>
          <w:tcPr>
            <w:tcW w:w="737" w:type="dxa"/>
          </w:tcPr>
          <w:p w:rsidR="00083454" w:rsidRPr="000B7DCC" w:rsidRDefault="00083454" w:rsidP="00DF4327">
            <w:pPr>
              <w:jc w:val="center"/>
              <w:rPr>
                <w:sz w:val="18"/>
                <w:szCs w:val="24"/>
              </w:rPr>
            </w:pPr>
            <w:r w:rsidRPr="000B7DCC">
              <w:rPr>
                <w:sz w:val="18"/>
                <w:szCs w:val="24"/>
              </w:rPr>
              <w:t>x</w:t>
            </w:r>
          </w:p>
        </w:tc>
        <w:tc>
          <w:tcPr>
            <w:tcW w:w="661" w:type="dxa"/>
          </w:tcPr>
          <w:p w:rsidR="00083454" w:rsidRPr="000B7DCC" w:rsidRDefault="00083454" w:rsidP="00DF4327">
            <w:pPr>
              <w:jc w:val="center"/>
              <w:rPr>
                <w:sz w:val="18"/>
                <w:szCs w:val="24"/>
              </w:rPr>
            </w:pPr>
            <w:r w:rsidRPr="000B7DCC">
              <w:rPr>
                <w:sz w:val="18"/>
                <w:szCs w:val="24"/>
              </w:rPr>
              <w:t>x</w:t>
            </w:r>
          </w:p>
        </w:tc>
        <w:tc>
          <w:tcPr>
            <w:tcW w:w="1283" w:type="dxa"/>
          </w:tcPr>
          <w:p w:rsidR="00083454" w:rsidRPr="000B7DCC" w:rsidRDefault="00083454" w:rsidP="00DF4327">
            <w:pPr>
              <w:jc w:val="center"/>
              <w:rPr>
                <w:sz w:val="18"/>
                <w:szCs w:val="24"/>
              </w:rPr>
            </w:pPr>
          </w:p>
        </w:tc>
      </w:tr>
    </w:tbl>
    <w:p w:rsidR="007663EB" w:rsidRDefault="007663EB">
      <w:pPr>
        <w:sectPr w:rsidR="007663EB" w:rsidSect="00083454">
          <w:pgSz w:w="16838" w:h="11906" w:orient="landscape"/>
          <w:pgMar w:top="1440" w:right="1440" w:bottom="1440" w:left="1440" w:header="708" w:footer="708" w:gutter="0"/>
          <w:cols w:space="708"/>
          <w:docGrid w:linePitch="360"/>
        </w:sectPr>
      </w:pPr>
    </w:p>
    <w:p w:rsidR="00C9083C" w:rsidRDefault="007663EB" w:rsidP="007663EB">
      <w:pPr>
        <w:pStyle w:val="Heading1"/>
      </w:pPr>
      <w:r>
        <w:lastRenderedPageBreak/>
        <w:t>References</w:t>
      </w:r>
      <w:bookmarkStart w:id="0" w:name="_GoBack"/>
      <w:bookmarkEnd w:id="0"/>
    </w:p>
    <w:p w:rsidR="007663EB" w:rsidRDefault="007663EB"/>
    <w:p w:rsidR="007663EB" w:rsidRPr="007663EB" w:rsidRDefault="007663EB" w:rsidP="007663EB">
      <w:pPr>
        <w:widowControl w:val="0"/>
        <w:autoSpaceDE w:val="0"/>
        <w:autoSpaceDN w:val="0"/>
        <w:adjustRightInd w:val="0"/>
        <w:spacing w:line="240" w:lineRule="auto"/>
        <w:ind w:left="480" w:hanging="480"/>
        <w:rPr>
          <w:rFonts w:ascii="Calibri" w:hAnsi="Calibri" w:cs="Calibri"/>
          <w:noProof/>
          <w:szCs w:val="24"/>
        </w:rPr>
      </w:pPr>
      <w:r>
        <w:fldChar w:fldCharType="begin" w:fldLock="1"/>
      </w:r>
      <w:r>
        <w:instrText xml:space="preserve">ADDIN Mendeley Bibliography CSL_BIBLIOGRAPHY </w:instrText>
      </w:r>
      <w:r>
        <w:fldChar w:fldCharType="separate"/>
      </w:r>
      <w:r w:rsidRPr="007663EB">
        <w:rPr>
          <w:rFonts w:ascii="Calibri" w:hAnsi="Calibri" w:cs="Calibri"/>
          <w:noProof/>
          <w:szCs w:val="24"/>
        </w:rPr>
        <w:t xml:space="preserve">Barker, T., Ekins, P., and Foxon, T. (2007a). Macroeconomic effects of efficiency policies for energy-intensive industries: The case of the UK Climate Change Agreements, 2000–2010. </w:t>
      </w:r>
      <w:r w:rsidRPr="007663EB">
        <w:rPr>
          <w:rFonts w:ascii="Calibri" w:hAnsi="Calibri" w:cs="Calibri"/>
          <w:i/>
          <w:iCs/>
          <w:noProof/>
          <w:szCs w:val="24"/>
        </w:rPr>
        <w:t>Energy Econ.</w:t>
      </w:r>
      <w:r w:rsidRPr="007663EB">
        <w:rPr>
          <w:rFonts w:ascii="Calibri" w:hAnsi="Calibri" w:cs="Calibri"/>
          <w:noProof/>
          <w:szCs w:val="24"/>
        </w:rPr>
        <w:t xml:space="preserve"> 29, 760–778. doi:http://dx.doi.org/10.1016/j.eneco.2006.12.008.</w:t>
      </w:r>
    </w:p>
    <w:p w:rsidR="007663EB" w:rsidRPr="007663EB" w:rsidRDefault="007663EB" w:rsidP="007663EB">
      <w:pPr>
        <w:widowControl w:val="0"/>
        <w:autoSpaceDE w:val="0"/>
        <w:autoSpaceDN w:val="0"/>
        <w:adjustRightInd w:val="0"/>
        <w:spacing w:line="240" w:lineRule="auto"/>
        <w:ind w:left="480" w:hanging="480"/>
        <w:rPr>
          <w:rFonts w:ascii="Calibri" w:hAnsi="Calibri" w:cs="Calibri"/>
          <w:noProof/>
          <w:szCs w:val="24"/>
        </w:rPr>
      </w:pPr>
      <w:r w:rsidRPr="007663EB">
        <w:rPr>
          <w:rFonts w:ascii="Calibri" w:hAnsi="Calibri" w:cs="Calibri"/>
          <w:noProof/>
          <w:szCs w:val="24"/>
        </w:rPr>
        <w:t xml:space="preserve">Barker, T., Ekins, P., and Foxon, T. (2007b). The macro-economic rebound effect and the UK economy. </w:t>
      </w:r>
      <w:r w:rsidRPr="007663EB">
        <w:rPr>
          <w:rFonts w:ascii="Calibri" w:hAnsi="Calibri" w:cs="Calibri"/>
          <w:i/>
          <w:iCs/>
          <w:noProof/>
          <w:szCs w:val="24"/>
        </w:rPr>
        <w:t>Energy Policy</w:t>
      </w:r>
      <w:r w:rsidRPr="007663EB">
        <w:rPr>
          <w:rFonts w:ascii="Calibri" w:hAnsi="Calibri" w:cs="Calibri"/>
          <w:noProof/>
          <w:szCs w:val="24"/>
        </w:rPr>
        <w:t xml:space="preserve"> 35, 4935–4946. doi:http://dx.doi.org/10.1016/j.enpol.2007.04.009.</w:t>
      </w:r>
    </w:p>
    <w:p w:rsidR="007663EB" w:rsidRPr="007663EB" w:rsidRDefault="007663EB" w:rsidP="007663EB">
      <w:pPr>
        <w:widowControl w:val="0"/>
        <w:autoSpaceDE w:val="0"/>
        <w:autoSpaceDN w:val="0"/>
        <w:adjustRightInd w:val="0"/>
        <w:spacing w:line="240" w:lineRule="auto"/>
        <w:ind w:left="480" w:hanging="480"/>
        <w:rPr>
          <w:rFonts w:ascii="Calibri" w:hAnsi="Calibri" w:cs="Calibri"/>
          <w:noProof/>
          <w:szCs w:val="24"/>
        </w:rPr>
      </w:pPr>
      <w:r w:rsidRPr="007663EB">
        <w:rPr>
          <w:rFonts w:ascii="Calibri" w:hAnsi="Calibri" w:cs="Calibri"/>
          <w:noProof/>
          <w:szCs w:val="24"/>
        </w:rPr>
        <w:t xml:space="preserve">D’Haultfœuille, X., Givord, P., and Boutin, X. (2014). The Environmental Effect of Green Taxation: The Case of the French Bonus/Malus. </w:t>
      </w:r>
      <w:r w:rsidRPr="007663EB">
        <w:rPr>
          <w:rFonts w:ascii="Calibri" w:hAnsi="Calibri" w:cs="Calibri"/>
          <w:i/>
          <w:iCs/>
          <w:noProof/>
          <w:szCs w:val="24"/>
        </w:rPr>
        <w:t>Econ. J.</w:t>
      </w:r>
      <w:r w:rsidRPr="007663EB">
        <w:rPr>
          <w:rFonts w:ascii="Calibri" w:hAnsi="Calibri" w:cs="Calibri"/>
          <w:noProof/>
          <w:szCs w:val="24"/>
        </w:rPr>
        <w:t xml:space="preserve"> 124, F444–F480. doi:10.1111/ecoj.12089.</w:t>
      </w:r>
    </w:p>
    <w:p w:rsidR="007663EB" w:rsidRPr="007663EB" w:rsidRDefault="007663EB" w:rsidP="007663EB">
      <w:pPr>
        <w:widowControl w:val="0"/>
        <w:autoSpaceDE w:val="0"/>
        <w:autoSpaceDN w:val="0"/>
        <w:adjustRightInd w:val="0"/>
        <w:spacing w:line="240" w:lineRule="auto"/>
        <w:ind w:left="480" w:hanging="480"/>
        <w:rPr>
          <w:rFonts w:ascii="Calibri" w:hAnsi="Calibri" w:cs="Calibri"/>
          <w:noProof/>
          <w:szCs w:val="24"/>
        </w:rPr>
      </w:pPr>
      <w:r w:rsidRPr="007663EB">
        <w:rPr>
          <w:rFonts w:ascii="Calibri" w:hAnsi="Calibri" w:cs="Calibri"/>
          <w:noProof/>
          <w:szCs w:val="24"/>
        </w:rPr>
        <w:t xml:space="preserve">Dandres, T., Gaudreault, C., Tirado-Seco, P., and Samson, R. (2012). Macroanalysis of the economic and environmental impacts of a 2005-2025 European Union bioenergy policy using the GTAP model and life cycle assessment. </w:t>
      </w:r>
      <w:r w:rsidRPr="007663EB">
        <w:rPr>
          <w:rFonts w:ascii="Calibri" w:hAnsi="Calibri" w:cs="Calibri"/>
          <w:i/>
          <w:iCs/>
          <w:noProof/>
          <w:szCs w:val="24"/>
        </w:rPr>
        <w:t>Renew. Sustain. Energy Rev.</w:t>
      </w:r>
      <w:r w:rsidRPr="007663EB">
        <w:rPr>
          <w:rFonts w:ascii="Calibri" w:hAnsi="Calibri" w:cs="Calibri"/>
          <w:noProof/>
          <w:szCs w:val="24"/>
        </w:rPr>
        <w:t xml:space="preserve"> 16, 1180–1192. doi:10.1016/j.rser.2011.11.003.</w:t>
      </w:r>
    </w:p>
    <w:p w:rsidR="007663EB" w:rsidRPr="007663EB" w:rsidRDefault="007663EB" w:rsidP="007663EB">
      <w:pPr>
        <w:widowControl w:val="0"/>
        <w:autoSpaceDE w:val="0"/>
        <w:autoSpaceDN w:val="0"/>
        <w:adjustRightInd w:val="0"/>
        <w:spacing w:line="240" w:lineRule="auto"/>
        <w:ind w:left="480" w:hanging="480"/>
        <w:rPr>
          <w:rFonts w:ascii="Calibri" w:hAnsi="Calibri" w:cs="Calibri"/>
          <w:noProof/>
          <w:szCs w:val="24"/>
        </w:rPr>
      </w:pPr>
      <w:r w:rsidRPr="007663EB">
        <w:rPr>
          <w:rFonts w:ascii="Calibri" w:hAnsi="Calibri" w:cs="Calibri"/>
          <w:noProof/>
          <w:szCs w:val="24"/>
        </w:rPr>
        <w:t xml:space="preserve">Davis, L. W. (2008). Durable goods and residential demand for energy and water: evidence from a field trial. </w:t>
      </w:r>
      <w:r w:rsidRPr="007663EB">
        <w:rPr>
          <w:rFonts w:ascii="Calibri" w:hAnsi="Calibri" w:cs="Calibri"/>
          <w:i/>
          <w:iCs/>
          <w:noProof/>
          <w:szCs w:val="24"/>
        </w:rPr>
        <w:t>RAND J. Econ.</w:t>
      </w:r>
      <w:r w:rsidRPr="007663EB">
        <w:rPr>
          <w:rFonts w:ascii="Calibri" w:hAnsi="Calibri" w:cs="Calibri"/>
          <w:noProof/>
          <w:szCs w:val="24"/>
        </w:rPr>
        <w:t xml:space="preserve"> 39, 530–546. doi:10.1111/j.0741-6261.2008.00026.x.</w:t>
      </w:r>
    </w:p>
    <w:p w:rsidR="007663EB" w:rsidRPr="007663EB" w:rsidRDefault="007663EB" w:rsidP="007663EB">
      <w:pPr>
        <w:widowControl w:val="0"/>
        <w:autoSpaceDE w:val="0"/>
        <w:autoSpaceDN w:val="0"/>
        <w:adjustRightInd w:val="0"/>
        <w:spacing w:line="240" w:lineRule="auto"/>
        <w:ind w:left="480" w:hanging="480"/>
        <w:rPr>
          <w:rFonts w:ascii="Calibri" w:hAnsi="Calibri" w:cs="Calibri"/>
          <w:noProof/>
          <w:szCs w:val="24"/>
        </w:rPr>
      </w:pPr>
      <w:r w:rsidRPr="007663EB">
        <w:rPr>
          <w:rFonts w:ascii="Calibri" w:hAnsi="Calibri" w:cs="Calibri"/>
          <w:noProof/>
          <w:szCs w:val="24"/>
        </w:rPr>
        <w:t xml:space="preserve">Davis, L. W., Fuchs, A., and Gertler, P. (2014). Cash for Coolers: Evaluating a Large-Scale Appliance Replacement Program in Mexico. </w:t>
      </w:r>
      <w:r w:rsidRPr="007663EB">
        <w:rPr>
          <w:rFonts w:ascii="Calibri" w:hAnsi="Calibri" w:cs="Calibri"/>
          <w:i/>
          <w:iCs/>
          <w:noProof/>
          <w:szCs w:val="24"/>
        </w:rPr>
        <w:t>Am. Econ. J. Econ. Policy</w:t>
      </w:r>
      <w:r w:rsidRPr="007663EB">
        <w:rPr>
          <w:rFonts w:ascii="Calibri" w:hAnsi="Calibri" w:cs="Calibri"/>
          <w:noProof/>
          <w:szCs w:val="24"/>
        </w:rPr>
        <w:t xml:space="preserve"> 6, 207–238. doi:10.2307/43189409.</w:t>
      </w:r>
    </w:p>
    <w:p w:rsidR="007663EB" w:rsidRPr="007663EB" w:rsidRDefault="007663EB" w:rsidP="007663EB">
      <w:pPr>
        <w:widowControl w:val="0"/>
        <w:autoSpaceDE w:val="0"/>
        <w:autoSpaceDN w:val="0"/>
        <w:adjustRightInd w:val="0"/>
        <w:spacing w:line="240" w:lineRule="auto"/>
        <w:ind w:left="480" w:hanging="480"/>
        <w:rPr>
          <w:rFonts w:ascii="Calibri" w:hAnsi="Calibri" w:cs="Calibri"/>
          <w:noProof/>
          <w:szCs w:val="24"/>
        </w:rPr>
      </w:pPr>
      <w:r w:rsidRPr="007663EB">
        <w:rPr>
          <w:rFonts w:ascii="Calibri" w:hAnsi="Calibri" w:cs="Calibri"/>
          <w:noProof/>
          <w:szCs w:val="24"/>
        </w:rPr>
        <w:t xml:space="preserve">Font Vivanco, D., Kemp, R., and Van Der Voet, E. (2015). The relativity of eco-innovation: environmental rebound effects from past transport innovations in Europe. </w:t>
      </w:r>
      <w:r w:rsidRPr="007663EB">
        <w:rPr>
          <w:rFonts w:ascii="Calibri" w:hAnsi="Calibri" w:cs="Calibri"/>
          <w:i/>
          <w:iCs/>
          <w:noProof/>
          <w:szCs w:val="24"/>
        </w:rPr>
        <w:t>J. Clean. Prod.</w:t>
      </w:r>
      <w:r w:rsidRPr="007663EB">
        <w:rPr>
          <w:rFonts w:ascii="Calibri" w:hAnsi="Calibri" w:cs="Calibri"/>
          <w:noProof/>
          <w:szCs w:val="24"/>
        </w:rPr>
        <w:t xml:space="preserve"> 101. doi:10.1016/j.jclepro.2015.04.019.</w:t>
      </w:r>
    </w:p>
    <w:p w:rsidR="007663EB" w:rsidRPr="007663EB" w:rsidRDefault="007663EB" w:rsidP="007663EB">
      <w:pPr>
        <w:widowControl w:val="0"/>
        <w:autoSpaceDE w:val="0"/>
        <w:autoSpaceDN w:val="0"/>
        <w:adjustRightInd w:val="0"/>
        <w:spacing w:line="240" w:lineRule="auto"/>
        <w:ind w:left="480" w:hanging="480"/>
        <w:rPr>
          <w:rFonts w:ascii="Calibri" w:hAnsi="Calibri" w:cs="Calibri"/>
          <w:noProof/>
          <w:szCs w:val="24"/>
        </w:rPr>
      </w:pPr>
      <w:r w:rsidRPr="007663EB">
        <w:rPr>
          <w:rFonts w:ascii="Calibri" w:hAnsi="Calibri" w:cs="Calibri"/>
          <w:noProof/>
          <w:szCs w:val="24"/>
        </w:rPr>
        <w:t xml:space="preserve">Freire-González, J. (2011). Methods to empirically estimate direct and indirect rebound effect of energy-saving technological changes in households. </w:t>
      </w:r>
      <w:r w:rsidRPr="007663EB">
        <w:rPr>
          <w:rFonts w:ascii="Calibri" w:hAnsi="Calibri" w:cs="Calibri"/>
          <w:i/>
          <w:iCs/>
          <w:noProof/>
          <w:szCs w:val="24"/>
        </w:rPr>
        <w:t>Ecol. Model. We Break Addict. to Foss. Energy? Spec. Issue, 7th Bienn. Int. Work. Adv. Energy Stud. Barcelona, Spain, 19-21 Oct. 2010</w:t>
      </w:r>
      <w:r w:rsidRPr="007663EB">
        <w:rPr>
          <w:rFonts w:ascii="Calibri" w:hAnsi="Calibri" w:cs="Calibri"/>
          <w:noProof/>
          <w:szCs w:val="24"/>
        </w:rPr>
        <w:t xml:space="preserve"> 223, 32–40. Available at: http://www.sciencedirect.com/science/article/pii/S0304380011004595.</w:t>
      </w:r>
    </w:p>
    <w:p w:rsidR="007663EB" w:rsidRPr="007663EB" w:rsidRDefault="007663EB" w:rsidP="007663EB">
      <w:pPr>
        <w:widowControl w:val="0"/>
        <w:autoSpaceDE w:val="0"/>
        <w:autoSpaceDN w:val="0"/>
        <w:adjustRightInd w:val="0"/>
        <w:spacing w:line="240" w:lineRule="auto"/>
        <w:ind w:left="480" w:hanging="480"/>
        <w:rPr>
          <w:rFonts w:ascii="Calibri" w:hAnsi="Calibri" w:cs="Calibri"/>
          <w:noProof/>
          <w:szCs w:val="24"/>
        </w:rPr>
      </w:pPr>
      <w:r w:rsidRPr="007663EB">
        <w:rPr>
          <w:rFonts w:ascii="Calibri" w:hAnsi="Calibri" w:cs="Calibri"/>
          <w:noProof/>
          <w:szCs w:val="24"/>
        </w:rPr>
        <w:t xml:space="preserve">Hennessy, H., and Tol, R. S. J. (2011). The impact of tax reform on new car purchases in Ireland. </w:t>
      </w:r>
      <w:r w:rsidRPr="007663EB">
        <w:rPr>
          <w:rFonts w:ascii="Calibri" w:hAnsi="Calibri" w:cs="Calibri"/>
          <w:i/>
          <w:iCs/>
          <w:noProof/>
          <w:szCs w:val="24"/>
        </w:rPr>
        <w:t>Energy Policy</w:t>
      </w:r>
      <w:r w:rsidRPr="007663EB">
        <w:rPr>
          <w:rFonts w:ascii="Calibri" w:hAnsi="Calibri" w:cs="Calibri"/>
          <w:noProof/>
          <w:szCs w:val="24"/>
        </w:rPr>
        <w:t xml:space="preserve"> 39, 7059–7067. doi:10.1016/j.enpol.2011.08.011.</w:t>
      </w:r>
    </w:p>
    <w:p w:rsidR="007663EB" w:rsidRPr="007663EB" w:rsidRDefault="007663EB" w:rsidP="007663EB">
      <w:pPr>
        <w:widowControl w:val="0"/>
        <w:autoSpaceDE w:val="0"/>
        <w:autoSpaceDN w:val="0"/>
        <w:adjustRightInd w:val="0"/>
        <w:spacing w:line="240" w:lineRule="auto"/>
        <w:ind w:left="480" w:hanging="480"/>
        <w:rPr>
          <w:rFonts w:ascii="Calibri" w:hAnsi="Calibri" w:cs="Calibri"/>
          <w:noProof/>
          <w:szCs w:val="24"/>
        </w:rPr>
      </w:pPr>
      <w:r w:rsidRPr="007663EB">
        <w:rPr>
          <w:rFonts w:ascii="Calibri" w:hAnsi="Calibri" w:cs="Calibri"/>
          <w:noProof/>
          <w:szCs w:val="24"/>
        </w:rPr>
        <w:t xml:space="preserve">Mizobuchi, K. (2008). An empirical study on the rebound effect considering capital costs. </w:t>
      </w:r>
      <w:r w:rsidRPr="007663EB">
        <w:rPr>
          <w:rFonts w:ascii="Calibri" w:hAnsi="Calibri" w:cs="Calibri"/>
          <w:i/>
          <w:iCs/>
          <w:noProof/>
          <w:szCs w:val="24"/>
        </w:rPr>
        <w:t>Energy Econ.</w:t>
      </w:r>
      <w:r w:rsidRPr="007663EB">
        <w:rPr>
          <w:rFonts w:ascii="Calibri" w:hAnsi="Calibri" w:cs="Calibri"/>
          <w:noProof/>
          <w:szCs w:val="24"/>
        </w:rPr>
        <w:t xml:space="preserve"> 30, 2486–2516. doi:http://dx.doi.org/10.1016/j.eneco.2008.01.001.</w:t>
      </w:r>
    </w:p>
    <w:p w:rsidR="007663EB" w:rsidRPr="007663EB" w:rsidRDefault="007663EB" w:rsidP="007663EB">
      <w:pPr>
        <w:widowControl w:val="0"/>
        <w:autoSpaceDE w:val="0"/>
        <w:autoSpaceDN w:val="0"/>
        <w:adjustRightInd w:val="0"/>
        <w:spacing w:line="240" w:lineRule="auto"/>
        <w:ind w:left="480" w:hanging="480"/>
        <w:rPr>
          <w:rFonts w:ascii="Calibri" w:hAnsi="Calibri" w:cs="Calibri"/>
          <w:noProof/>
        </w:rPr>
      </w:pPr>
      <w:r w:rsidRPr="007663EB">
        <w:rPr>
          <w:rFonts w:ascii="Calibri" w:hAnsi="Calibri" w:cs="Calibri"/>
          <w:noProof/>
          <w:szCs w:val="24"/>
        </w:rPr>
        <w:t xml:space="preserve">Wood, R., Moran, D., Stadler, K., Ivanova, D., Steen-Olsen, K., Tisserant, A., et al. (2017). Prioritizing Consumption-Based Carbon Policy Based on the Evaluation of Mitigation Potential Using Input-Output Methods. </w:t>
      </w:r>
      <w:r w:rsidRPr="007663EB">
        <w:rPr>
          <w:rFonts w:ascii="Calibri" w:hAnsi="Calibri" w:cs="Calibri"/>
          <w:i/>
          <w:iCs/>
          <w:noProof/>
          <w:szCs w:val="24"/>
        </w:rPr>
        <w:t>J. Ind. Ecol.</w:t>
      </w:r>
      <w:r w:rsidRPr="007663EB">
        <w:rPr>
          <w:rFonts w:ascii="Calibri" w:hAnsi="Calibri" w:cs="Calibri"/>
          <w:noProof/>
          <w:szCs w:val="24"/>
        </w:rPr>
        <w:t xml:space="preserve"> doi:10.1111/jiec.12702.</w:t>
      </w:r>
    </w:p>
    <w:p w:rsidR="00C9083C" w:rsidRDefault="007663EB">
      <w:r>
        <w:fldChar w:fldCharType="end"/>
      </w:r>
    </w:p>
    <w:sectPr w:rsidR="00C9083C" w:rsidSect="007663E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0459" w:rsidRDefault="00030459" w:rsidP="00123ECB">
      <w:pPr>
        <w:spacing w:after="0" w:line="240" w:lineRule="auto"/>
      </w:pPr>
      <w:r>
        <w:separator/>
      </w:r>
    </w:p>
  </w:endnote>
  <w:endnote w:type="continuationSeparator" w:id="0">
    <w:p w:rsidR="00030459" w:rsidRDefault="00030459" w:rsidP="00123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7941167"/>
      <w:docPartObj>
        <w:docPartGallery w:val="Page Numbers (Bottom of Page)"/>
        <w:docPartUnique/>
      </w:docPartObj>
    </w:sdtPr>
    <w:sdtEndPr>
      <w:rPr>
        <w:noProof/>
      </w:rPr>
    </w:sdtEndPr>
    <w:sdtContent>
      <w:p w:rsidR="00123ECB" w:rsidRDefault="00123ECB">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123ECB" w:rsidRDefault="00123E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0459" w:rsidRDefault="00030459" w:rsidP="00123ECB">
      <w:pPr>
        <w:spacing w:after="0" w:line="240" w:lineRule="auto"/>
      </w:pPr>
      <w:r>
        <w:separator/>
      </w:r>
    </w:p>
  </w:footnote>
  <w:footnote w:type="continuationSeparator" w:id="0">
    <w:p w:rsidR="00030459" w:rsidRDefault="00030459" w:rsidP="00123E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454"/>
    <w:rsid w:val="00030459"/>
    <w:rsid w:val="00083454"/>
    <w:rsid w:val="00123ECB"/>
    <w:rsid w:val="00126A4D"/>
    <w:rsid w:val="00433161"/>
    <w:rsid w:val="00524023"/>
    <w:rsid w:val="007663EB"/>
    <w:rsid w:val="00914EAC"/>
    <w:rsid w:val="009F7ED3"/>
    <w:rsid w:val="00C9083C"/>
    <w:rsid w:val="00D219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80EB7"/>
  <w15:chartTrackingRefBased/>
  <w15:docId w15:val="{E0286A45-FABF-4286-AF4A-A1E1B685A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31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3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3161"/>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23E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3ECB"/>
  </w:style>
  <w:style w:type="paragraph" w:styleId="Footer">
    <w:name w:val="footer"/>
    <w:basedOn w:val="Normal"/>
    <w:link w:val="FooterChar"/>
    <w:uiPriority w:val="99"/>
    <w:unhideWhenUsed/>
    <w:rsid w:val="00123E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3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F639F-DC90-40BB-B6F7-0617D3F98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4506</Words>
  <Characters>25685</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 Vivanco, David</dc:creator>
  <cp:keywords/>
  <dc:description/>
  <cp:lastModifiedBy>Font Vivanco, David</cp:lastModifiedBy>
  <cp:revision>6</cp:revision>
  <dcterms:created xsi:type="dcterms:W3CDTF">2018-03-13T11:32:00Z</dcterms:created>
  <dcterms:modified xsi:type="dcterms:W3CDTF">2018-04-18T13:38:00Z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16th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http://www.zotero.org/styles/ecological-economics</vt:lpwstr>
  </property>
  <property fmtid="{D5CDD505-2E9C-101B-9397-08002B2CF9AE}" pid="11" name="Mendeley Recent Style Name 4_1">
    <vt:lpwstr>Ecological Economics</vt:lpwstr>
  </property>
  <property fmtid="{D5CDD505-2E9C-101B-9397-08002B2CF9AE}" pid="12" name="Mendeley Recent Style Id 5_1">
    <vt:lpwstr>http://www.zotero.org/styles/frontiers-in-energy-research</vt:lpwstr>
  </property>
  <property fmtid="{D5CDD505-2E9C-101B-9397-08002B2CF9AE}" pid="13" name="Mendeley Recent Style Name 5_1">
    <vt:lpwstr>Frontiers in Energy Research</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http://www.zotero.org/styles/sustainability</vt:lpwstr>
  </property>
  <property fmtid="{D5CDD505-2E9C-101B-9397-08002B2CF9AE}" pid="21" name="Mendeley Recent Style Name 9_1">
    <vt:lpwstr>Sustainability</vt:lpwstr>
  </property>
  <property fmtid="{D5CDD505-2E9C-101B-9397-08002B2CF9AE}" pid="22" name="Mendeley Document_1">
    <vt:lpwstr>True</vt:lpwstr>
  </property>
  <property fmtid="{D5CDD505-2E9C-101B-9397-08002B2CF9AE}" pid="23" name="Mendeley Unique User Id_1">
    <vt:lpwstr>3c3537bb-00d3-336e-841e-ce4029133f23</vt:lpwstr>
  </property>
  <property fmtid="{D5CDD505-2E9C-101B-9397-08002B2CF9AE}" pid="24" name="Mendeley Citation Style_1">
    <vt:lpwstr>http://www.zotero.org/styles/frontiers-in-energy-research</vt:lpwstr>
  </property>
</Properties>
</file>