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31B" w:rsidRPr="004E0CDB" w:rsidRDefault="00FC631B" w:rsidP="00FC631B">
      <w:pPr>
        <w:pStyle w:val="Legenda"/>
        <w:keepNext/>
        <w:rPr>
          <w:rFonts w:ascii="Calibri" w:hAnsi="Calibri" w:cs="Calibri"/>
          <w:szCs w:val="24"/>
          <w:lang w:val="en-GB"/>
        </w:rPr>
      </w:pPr>
      <w:r w:rsidRPr="004E0CDB">
        <w:rPr>
          <w:rFonts w:ascii="Calibri" w:hAnsi="Calibri" w:cs="Calibri"/>
          <w:b/>
          <w:lang w:val="en-GB"/>
        </w:rPr>
        <w:t>Supplementary Material Table S1 –</w:t>
      </w:r>
      <w:bookmarkStart w:id="0" w:name="_Toc23429908"/>
      <w:r w:rsidRPr="004E0CDB">
        <w:rPr>
          <w:rFonts w:ascii="Calibri" w:hAnsi="Calibri" w:cs="Calibri"/>
          <w:b/>
          <w:lang w:val="en-GB"/>
        </w:rPr>
        <w:t xml:space="preserve"> </w:t>
      </w:r>
      <w:bookmarkEnd w:id="0"/>
      <w:r w:rsidRPr="004E0CDB">
        <w:rPr>
          <w:rFonts w:ascii="Calibri" w:hAnsi="Calibri" w:cs="Calibri"/>
          <w:szCs w:val="24"/>
          <w:lang w:val="en-GB"/>
        </w:rPr>
        <w:t xml:space="preserve">Sample calculation </w:t>
      </w:r>
    </w:p>
    <w:p w:rsidR="00FC631B" w:rsidRPr="004E0CDB" w:rsidRDefault="00FC631B" w:rsidP="00FC631B">
      <w:pPr>
        <w:rPr>
          <w:lang w:val="en-GB"/>
        </w:rPr>
      </w:pPr>
    </w:p>
    <w:p w:rsidR="00FC631B" w:rsidRPr="004E0CDB" w:rsidRDefault="00FC631B" w:rsidP="00FC631B">
      <w:pPr>
        <w:pStyle w:val="Legenda"/>
        <w:keepNext/>
        <w:ind w:hanging="256"/>
        <w:rPr>
          <w:rFonts w:ascii="Calibri" w:hAnsi="Calibri" w:cs="Calibri"/>
          <w:sz w:val="18"/>
          <w:szCs w:val="18"/>
          <w:lang w:val="en-GB"/>
        </w:rPr>
      </w:pPr>
      <w:r w:rsidRPr="004E0CDB">
        <w:rPr>
          <w:rFonts w:ascii="Calibri" w:hAnsi="Calibri" w:cs="Calibri"/>
          <w:b/>
          <w:color w:val="000000"/>
          <w:sz w:val="18"/>
          <w:szCs w:val="18"/>
          <w:lang w:val="en-GB"/>
        </w:rPr>
        <w:t>Source:</w:t>
      </w:r>
      <w:r w:rsidRPr="004E0CDB">
        <w:rPr>
          <w:rFonts w:ascii="Calibri" w:hAnsi="Calibri" w:cs="Calibri"/>
          <w:color w:val="000000"/>
          <w:sz w:val="18"/>
          <w:szCs w:val="18"/>
          <w:lang w:val="en-GB"/>
        </w:rPr>
        <w:t xml:space="preserve"> The population data of the communities were provided by the Board of Relations with Vale Communities. 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Those</w:t>
      </w:r>
      <w:r w:rsidRPr="004E0CDB">
        <w:rPr>
          <w:rFonts w:ascii="Calibri" w:hAnsi="Calibri" w:cs="Calibri"/>
          <w:color w:val="000000"/>
          <w:sz w:val="18"/>
          <w:szCs w:val="18"/>
          <w:lang w:val="en-GB"/>
        </w:rPr>
        <w:t xml:space="preserve"> data were supplemented by estimates based on the analysis of images from Google Maps (2016 and 2017).</w:t>
      </w:r>
    </w:p>
    <w:tbl>
      <w:tblPr>
        <w:tblW w:w="72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152"/>
        <w:gridCol w:w="1614"/>
        <w:gridCol w:w="1626"/>
      </w:tblGrid>
      <w:tr w:rsidR="00FC631B" w:rsidRPr="004E0CDB" w:rsidTr="00001ED0">
        <w:trPr>
          <w:trHeight w:val="212"/>
          <w:tblHeader/>
          <w:jc w:val="center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FC631B" w:rsidRPr="004E0CDB" w:rsidRDefault="00FC631B" w:rsidP="00001ED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0C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Communities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FC631B" w:rsidRPr="004E0CDB" w:rsidRDefault="00FC631B" w:rsidP="00001ED0">
            <w:pPr>
              <w:ind w:firstLine="9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0C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Population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FC631B" w:rsidRPr="004E0CDB" w:rsidRDefault="00FC631B" w:rsidP="00001E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0C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Number of households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FC631B" w:rsidRPr="004E0CDB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0C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Sample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tcBorders>
              <w:top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Nova Esperança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noWrap/>
            <w:vAlign w:val="center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Fazenda Santo Antônio</w:t>
            </w:r>
          </w:p>
        </w:tc>
        <w:tc>
          <w:tcPr>
            <w:tcW w:w="1152" w:type="dxa"/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614" w:type="dxa"/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26" w:type="dxa"/>
            <w:noWrap/>
            <w:vAlign w:val="center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Igarapé Gelado</w:t>
            </w:r>
            <w:r w:rsidR="00D52C6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APA</w:t>
            </w:r>
            <w:bookmarkStart w:id="1" w:name="_GoBack"/>
            <w:bookmarkEnd w:id="1"/>
          </w:p>
        </w:tc>
        <w:tc>
          <w:tcPr>
            <w:tcW w:w="1152" w:type="dxa"/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614" w:type="dxa"/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626" w:type="dxa"/>
            <w:noWrap/>
            <w:vAlign w:val="center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39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Onalício Barros</w:t>
            </w:r>
          </w:p>
        </w:tc>
        <w:tc>
          <w:tcPr>
            <w:tcW w:w="1152" w:type="dxa"/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614" w:type="dxa"/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626" w:type="dxa"/>
            <w:noWrap/>
            <w:vAlign w:val="center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tcBorders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Palmares II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noWrap/>
            <w:vAlign w:val="center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104</w:t>
            </w:r>
          </w:p>
        </w:tc>
      </w:tr>
      <w:tr w:rsidR="00FC631B" w:rsidRPr="004E0CDB" w:rsidTr="00001ED0">
        <w:trPr>
          <w:trHeight w:val="212"/>
          <w:jc w:val="center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ind w:firstLine="15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9.330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2.333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FC631B" w:rsidRPr="00936DB9" w:rsidRDefault="00FC631B" w:rsidP="00001ED0">
            <w:pPr>
              <w:ind w:hanging="23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36DB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214</w:t>
            </w:r>
          </w:p>
        </w:tc>
      </w:tr>
    </w:tbl>
    <w:p w:rsidR="00FC631B" w:rsidRPr="004E0CDB" w:rsidRDefault="00FC631B" w:rsidP="00FC631B">
      <w:pPr>
        <w:tabs>
          <w:tab w:val="left" w:pos="3150"/>
        </w:tabs>
        <w:rPr>
          <w:rFonts w:ascii="Calibri" w:hAnsi="Calibri" w:cs="Calibri"/>
          <w:b/>
          <w:lang w:val="en-GB"/>
        </w:rPr>
      </w:pPr>
      <w:r w:rsidRPr="004E0CDB">
        <w:rPr>
          <w:rFonts w:ascii="Calibri" w:hAnsi="Calibri" w:cs="Calibri"/>
          <w:b/>
          <w:lang w:val="en-GB"/>
        </w:rPr>
        <w:tab/>
      </w:r>
    </w:p>
    <w:p w:rsidR="00335C75" w:rsidRDefault="00335C75"/>
    <w:sectPr w:rsidR="00335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1B"/>
    <w:rsid w:val="00335C75"/>
    <w:rsid w:val="00D52C61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674EC-4E54-4B44-A05E-A27619DD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link w:val="LegendaChar"/>
    <w:uiPriority w:val="35"/>
    <w:qFormat/>
    <w:rsid w:val="00FC631B"/>
    <w:pPr>
      <w:adjustRightInd w:val="0"/>
      <w:ind w:left="964" w:hanging="964"/>
    </w:pPr>
    <w:rPr>
      <w:szCs w:val="20"/>
    </w:rPr>
  </w:style>
  <w:style w:type="character" w:customStyle="1" w:styleId="LegendaChar">
    <w:name w:val="Legenda Char"/>
    <w:link w:val="Legenda"/>
    <w:uiPriority w:val="35"/>
    <w:rsid w:val="00FC631B"/>
    <w:rPr>
      <w:rFonts w:ascii="Times New Roman" w:eastAsia="Times New Roman" w:hAnsi="Times New Roman" w:cs="Times New Roman"/>
      <w:sz w:val="24"/>
      <w:szCs w:val="20"/>
      <w:lang w:val="cs-CZ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Giannini</dc:creator>
  <cp:keywords/>
  <dc:description/>
  <cp:lastModifiedBy>Rafa</cp:lastModifiedBy>
  <cp:revision>2</cp:revision>
  <dcterms:created xsi:type="dcterms:W3CDTF">2020-01-16T12:34:00Z</dcterms:created>
  <dcterms:modified xsi:type="dcterms:W3CDTF">2020-01-16T15:00:00Z</dcterms:modified>
</cp:coreProperties>
</file>