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22BC4" w14:textId="73B6D328" w:rsidR="000457B8" w:rsidRPr="00B77BDD" w:rsidRDefault="000457B8" w:rsidP="000457B8">
      <w:pPr>
        <w:pStyle w:val="Heading1"/>
        <w:spacing w:before="0"/>
        <w:rPr>
          <w:b/>
          <w:bCs/>
        </w:rPr>
      </w:pPr>
      <w:r>
        <w:rPr>
          <w:b/>
          <w:bCs/>
          <w:color w:val="000000"/>
          <w:sz w:val="24"/>
          <w:szCs w:val="24"/>
          <w:u w:val="single"/>
        </w:rPr>
        <w:t>Supplemental material 1</w:t>
      </w:r>
      <w:bookmarkStart w:id="0" w:name="_GoBack"/>
      <w:bookmarkEnd w:id="0"/>
      <w:r w:rsidRPr="00B77BDD">
        <w:rPr>
          <w:b/>
          <w:bCs/>
          <w:color w:val="000000"/>
          <w:sz w:val="24"/>
          <w:szCs w:val="24"/>
          <w:u w:val="single"/>
        </w:rPr>
        <w:t xml:space="preserve"> - Benchmark Articles</w:t>
      </w:r>
    </w:p>
    <w:p w14:paraId="04E5FB56" w14:textId="77777777" w:rsidR="000457B8" w:rsidRDefault="000457B8" w:rsidP="000457B8"/>
    <w:p w14:paraId="05E7D2C2" w14:textId="77777777" w:rsidR="000457B8" w:rsidRDefault="000457B8" w:rsidP="000457B8">
      <w:pPr>
        <w:pStyle w:val="NormalWeb"/>
        <w:spacing w:before="0" w:beforeAutospacing="0" w:after="0" w:afterAutospacing="0"/>
      </w:pPr>
      <w:r>
        <w:rPr>
          <w:color w:val="000000"/>
        </w:rPr>
        <w:t>The following is a comprehensive list of benchmark articles referenced when developing a search string. </w:t>
      </w:r>
    </w:p>
    <w:p w14:paraId="298D1F04" w14:textId="77777777" w:rsidR="000457B8" w:rsidRDefault="000457B8" w:rsidP="000457B8">
      <w:pPr>
        <w:spacing w:after="240"/>
      </w:pPr>
    </w:p>
    <w:p w14:paraId="25EB9B52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>Ballon, P., Van Hoed, M., &amp; Schuurman, D. (2018). The effectiveness of involving users in digital innovation: Measuring the impact of living labs. Telematics and Informatics, 35(5), 1201-1214.</w:t>
      </w:r>
    </w:p>
    <w:p w14:paraId="5AB25B79" w14:textId="77777777" w:rsidR="000457B8" w:rsidRDefault="000457B8" w:rsidP="000457B8"/>
    <w:p w14:paraId="076C2420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 xml:space="preserve">Edwards‐Schachter, M. E., Matti, C. E., &amp; Alcántara, E. (2012). Fostering quality of life through social innovation: A living lab methodology study case. </w:t>
      </w:r>
      <w:r>
        <w:rPr>
          <w:i/>
          <w:iCs/>
          <w:color w:val="000000"/>
        </w:rPr>
        <w:t>Review of Policy Research, 29</w:t>
      </w:r>
      <w:r>
        <w:rPr>
          <w:color w:val="000000"/>
        </w:rPr>
        <w:t>(6), 672-692.</w:t>
      </w:r>
    </w:p>
    <w:p w14:paraId="5AB29A11" w14:textId="77777777" w:rsidR="000457B8" w:rsidRDefault="000457B8" w:rsidP="000457B8"/>
    <w:p w14:paraId="10CD7218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>G20 MACS. (2019). Agroecosystem Living Laboratories: Executive Report. G20 Meeting of Agricultural Chief Scientists (MACS) International Agroecosystems Living Laboratories (ALL) Working Group.</w:t>
      </w:r>
    </w:p>
    <w:p w14:paraId="349EB61F" w14:textId="77777777" w:rsidR="000457B8" w:rsidRDefault="000457B8" w:rsidP="000457B8"/>
    <w:p w14:paraId="47BD8DF7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 xml:space="preserve">Hossain, M., Leminen, S., &amp; Westerlund, M. (2019). A systematic review of living lab literature. </w:t>
      </w:r>
      <w:r>
        <w:rPr>
          <w:i/>
          <w:iCs/>
          <w:color w:val="000000"/>
        </w:rPr>
        <w:t>Journal of Cleaner Production</w:t>
      </w:r>
      <w:r>
        <w:rPr>
          <w:color w:val="000000"/>
        </w:rPr>
        <w:t>, 213, 976-988.</w:t>
      </w:r>
    </w:p>
    <w:p w14:paraId="4DFC1A3E" w14:textId="77777777" w:rsidR="000457B8" w:rsidRDefault="000457B8" w:rsidP="000457B8"/>
    <w:p w14:paraId="5B878A5F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 xml:space="preserve">Ibarra, E. R. B. (2020). Revisión sistemática del concepto de laboratorios vivos. </w:t>
      </w:r>
      <w:r>
        <w:rPr>
          <w:i/>
          <w:iCs/>
          <w:color w:val="000000"/>
        </w:rPr>
        <w:t>Dimensión Empresarial, 18</w:t>
      </w:r>
      <w:r>
        <w:rPr>
          <w:color w:val="000000"/>
        </w:rPr>
        <w:t>(1).</w:t>
      </w:r>
    </w:p>
    <w:p w14:paraId="79D45425" w14:textId="77777777" w:rsidR="000457B8" w:rsidRDefault="000457B8" w:rsidP="000457B8"/>
    <w:p w14:paraId="61AD1663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 xml:space="preserve">Verloo, H., Lorette, A., Gomes da Rocha, C., Amoussou, J. R., Gillès de Pélichy, E., Matos Queiros, A., ... &amp; Von Gunten, A. (2020). A comprehensive scoping review protocol of using living labs to explore needs and solutions for older adults with dementia. </w:t>
      </w:r>
      <w:r>
        <w:rPr>
          <w:i/>
          <w:iCs/>
          <w:color w:val="000000"/>
        </w:rPr>
        <w:t>Smart Homecare Technology and TeleHealth</w:t>
      </w:r>
      <w:r>
        <w:rPr>
          <w:color w:val="000000"/>
        </w:rPr>
        <w:t>, 7, 19-27.</w:t>
      </w:r>
    </w:p>
    <w:p w14:paraId="4840B30C" w14:textId="77777777" w:rsidR="000457B8" w:rsidRDefault="000457B8" w:rsidP="000457B8"/>
    <w:p w14:paraId="7521C074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>Zen, I. S. (2017). Exploring the Living Learning Laboratory: An approach to strengthen campus sustainability initiatives by using sustainability science approach.</w:t>
      </w:r>
      <w:r>
        <w:rPr>
          <w:i/>
          <w:iCs/>
          <w:color w:val="000000"/>
        </w:rPr>
        <w:t xml:space="preserve"> International Journal of Sustainability in Higher Education, 18</w:t>
      </w:r>
      <w:r>
        <w:rPr>
          <w:color w:val="000000"/>
        </w:rPr>
        <w:t>(6), 939-955.</w:t>
      </w:r>
    </w:p>
    <w:p w14:paraId="2AE10DF7" w14:textId="77777777" w:rsidR="000457B8" w:rsidRDefault="000457B8" w:rsidP="000457B8"/>
    <w:p w14:paraId="16E17EE5" w14:textId="77777777" w:rsidR="000457B8" w:rsidRDefault="000457B8" w:rsidP="000457B8">
      <w:pPr>
        <w:pStyle w:val="NormalWeb"/>
        <w:spacing w:before="0" w:beforeAutospacing="0" w:after="0" w:afterAutospacing="0"/>
        <w:ind w:hanging="720"/>
      </w:pPr>
      <w:r>
        <w:rPr>
          <w:color w:val="000000"/>
        </w:rPr>
        <w:t>Zivkovic, S. (2018). Systemic Innovation Labs: A lab for wicked problems. Social Enterprise Journal.</w:t>
      </w:r>
    </w:p>
    <w:p w14:paraId="69F69397" w14:textId="77777777" w:rsidR="00E25EBC" w:rsidRDefault="00E25EBC"/>
    <w:sectPr w:rsidR="00E25E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yMTIxMDIzMzA1NbdQ0lEKTi0uzszPAykwrAUAKYsxoSwAAAA="/>
  </w:docVars>
  <w:rsids>
    <w:rsidRoot w:val="000457B8"/>
    <w:rsid w:val="000457B8"/>
    <w:rsid w:val="0017292B"/>
    <w:rsid w:val="00705CF6"/>
    <w:rsid w:val="007970C3"/>
    <w:rsid w:val="00910BF6"/>
    <w:rsid w:val="00B032A9"/>
    <w:rsid w:val="00B21B61"/>
    <w:rsid w:val="00DA2F6C"/>
    <w:rsid w:val="00E2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D2070"/>
  <w15:chartTrackingRefBased/>
  <w15:docId w15:val="{4BAA34F8-4F12-4900-A976-F42959E1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7B8"/>
  </w:style>
  <w:style w:type="paragraph" w:styleId="Heading1">
    <w:name w:val="heading 1"/>
    <w:basedOn w:val="Normal"/>
    <w:next w:val="Normal"/>
    <w:link w:val="Heading1Char"/>
    <w:uiPriority w:val="9"/>
    <w:qFormat/>
    <w:rsid w:val="00045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7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45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Devkota</dc:creator>
  <cp:keywords/>
  <dc:description/>
  <cp:lastModifiedBy>Rachana Devkota</cp:lastModifiedBy>
  <cp:revision>1</cp:revision>
  <dcterms:created xsi:type="dcterms:W3CDTF">2020-11-30T20:40:00Z</dcterms:created>
  <dcterms:modified xsi:type="dcterms:W3CDTF">2020-11-30T20:40:00Z</dcterms:modified>
</cp:coreProperties>
</file>