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0CD09DA" w14:textId="637C0E58" w:rsidR="007E7175" w:rsidRDefault="007E7175" w:rsidP="00BB0057">
      <w:pPr>
        <w:jc w:val="center"/>
      </w:pPr>
      <w:r w:rsidRPr="00BB0057">
        <w:rPr>
          <w:sz w:val="28"/>
          <w:szCs w:val="28"/>
        </w:rPr>
        <w:t xml:space="preserve">Summary of </w:t>
      </w:r>
      <w:r w:rsidR="005D340D">
        <w:rPr>
          <w:color w:val="000000"/>
          <w:sz w:val="28"/>
          <w:szCs w:val="28"/>
          <w:shd w:val="clear" w:color="auto" w:fill="FFFFFF"/>
          <w:lang w:val="en-US"/>
        </w:rPr>
        <w:t>Deloitte</w:t>
      </w:r>
      <w:r w:rsidR="007B6E62" w:rsidRPr="007B6E62">
        <w:rPr>
          <w:color w:val="000000"/>
          <w:sz w:val="28"/>
          <w:szCs w:val="28"/>
          <w:shd w:val="clear" w:color="auto" w:fill="FFFFFF"/>
          <w:lang w:val="en-US"/>
        </w:rPr>
        <w:t xml:space="preserve"> </w:t>
      </w:r>
      <w:r w:rsidRPr="00BB0057">
        <w:rPr>
          <w:sz w:val="28"/>
          <w:szCs w:val="28"/>
        </w:rPr>
        <w:t>(2020</w:t>
      </w:r>
      <w:r w:rsidR="00F860AE">
        <w:rPr>
          <w:sz w:val="28"/>
          <w:szCs w:val="28"/>
          <w:lang w:val="en-US"/>
        </w:rPr>
        <w:t>b</w:t>
      </w:r>
      <w:r w:rsidRPr="00BB0057">
        <w:rPr>
          <w:sz w:val="28"/>
          <w:szCs w:val="28"/>
        </w:rPr>
        <w:t>)</w:t>
      </w:r>
      <w:r w:rsidRPr="007E7175">
        <w:rPr>
          <w:sz w:val="28"/>
          <w:szCs w:val="28"/>
        </w:rPr>
        <w:br/>
      </w:r>
      <w:r w:rsidRPr="007E7175">
        <w:t>Author: Ema Gusheva</w:t>
      </w:r>
    </w:p>
    <w:p w14:paraId="41B8AE51" w14:textId="77777777" w:rsidR="00BB0057" w:rsidRPr="00BB0057" w:rsidRDefault="00BB0057" w:rsidP="00BB0057">
      <w:pPr>
        <w:jc w:val="center"/>
        <w:rPr>
          <w:sz w:val="28"/>
          <w:szCs w:val="28"/>
        </w:rPr>
      </w:pPr>
    </w:p>
    <w:p w14:paraId="32E00A2E" w14:textId="4B1AF517" w:rsidR="007E7175" w:rsidRDefault="007E7175" w:rsidP="00ED74B1">
      <w:pPr>
        <w:spacing w:line="276" w:lineRule="auto"/>
        <w:jc w:val="both"/>
        <w:rPr>
          <w:b/>
          <w:bCs/>
        </w:rPr>
      </w:pPr>
      <w:r w:rsidRPr="007E7175">
        <w:rPr>
          <w:b/>
          <w:bCs/>
        </w:rPr>
        <w:t>Summary</w:t>
      </w:r>
    </w:p>
    <w:p w14:paraId="64394853" w14:textId="7D6C58A9" w:rsidR="00F860AE" w:rsidRPr="00F860AE" w:rsidRDefault="001540AB" w:rsidP="00F860AE">
      <w:pPr>
        <w:spacing w:line="276" w:lineRule="auto"/>
        <w:jc w:val="both"/>
        <w:rPr>
          <w:lang w:val="en-US"/>
        </w:rPr>
      </w:pPr>
      <w:r>
        <w:rPr>
          <w:lang w:val="en-US"/>
        </w:rPr>
        <w:t xml:space="preserve">Speeding up infrastructure investments will speed up economic recovery by creating jobs. </w:t>
      </w:r>
      <w:r w:rsidR="00F860AE">
        <w:rPr>
          <w:lang w:val="en-US"/>
        </w:rPr>
        <w:t xml:space="preserve">Similar to Ernst &amp; Young (2020), Deloitte (2020b) recommends a mix of small maintenance projects that are usually in backlog and mega projects focused on sustainability. Further, technology should be seized wherever possible, enabling digital infrastructure delivery. </w:t>
      </w:r>
      <w:r w:rsidR="00155218">
        <w:rPr>
          <w:lang w:val="en-US"/>
        </w:rPr>
        <w:t xml:space="preserve">Finally, according to multiple sources, sustainable investments create a significant advantage compared to business as usual investments, which indicates that green recovery </w:t>
      </w:r>
      <w:r>
        <w:rPr>
          <w:lang w:val="en-US"/>
        </w:rPr>
        <w:t xml:space="preserve">would make post-COVID-19 Netherlands better than pre-COVID-19 Netherlands. </w:t>
      </w:r>
    </w:p>
    <w:p w14:paraId="33D7B802" w14:textId="77777777" w:rsidR="005D340D" w:rsidRPr="005D340D" w:rsidRDefault="005D340D" w:rsidP="007E7175">
      <w:pPr>
        <w:rPr>
          <w:b/>
          <w:bCs/>
          <w:lang w:val="en-US"/>
        </w:rPr>
      </w:pPr>
    </w:p>
    <w:p w14:paraId="75C10E1D" w14:textId="35C897F1" w:rsidR="005109D3" w:rsidRPr="005D340D" w:rsidRDefault="005109D3" w:rsidP="007E7175">
      <w:pPr>
        <w:spacing w:line="276" w:lineRule="auto"/>
        <w:jc w:val="both"/>
      </w:pPr>
      <w:r>
        <w:rPr>
          <w:b/>
          <w:bCs/>
          <w:lang w:val="en-US"/>
        </w:rPr>
        <w:t>Implications for infrastructure</w:t>
      </w:r>
      <w:r w:rsidR="007E7175" w:rsidRPr="007E7175">
        <w:rPr>
          <w:b/>
          <w:bCs/>
        </w:rPr>
        <w:t xml:space="preserve"> </w:t>
      </w:r>
      <w:r w:rsidR="007E7175" w:rsidRPr="007E7175">
        <w:rPr>
          <w:b/>
          <w:bCs/>
        </w:rPr>
        <w:tab/>
      </w:r>
      <w:r w:rsidR="007E7175">
        <w:br/>
      </w:r>
      <w:r w:rsidR="00F860AE">
        <w:rPr>
          <w:lang w:val="en-US"/>
        </w:rPr>
        <w:t>Infrastructure companies have a key role to play in addressing inequalities. Mega projects can boost regional growth through job creation, economically empowering the vulnerable who have suffered the dire</w:t>
      </w:r>
      <w:r w:rsidR="0054644C">
        <w:rPr>
          <w:lang w:val="en-US"/>
        </w:rPr>
        <w:t>st</w:t>
      </w:r>
      <w:r w:rsidR="00F860AE">
        <w:rPr>
          <w:lang w:val="en-US"/>
        </w:rPr>
        <w:t xml:space="preserve"> consequences from the pandemic. </w:t>
      </w:r>
      <w:r w:rsidR="001540AB">
        <w:rPr>
          <w:lang w:val="en-US"/>
        </w:rPr>
        <w:t>Similar to Ernst &amp; Young (2020), given the Netherlands</w:t>
      </w:r>
      <w:r w:rsidR="00A44B4B">
        <w:rPr>
          <w:lang w:val="en-US"/>
        </w:rPr>
        <w:t>’</w:t>
      </w:r>
      <w:r w:rsidR="001540AB">
        <w:rPr>
          <w:lang w:val="en-US"/>
        </w:rPr>
        <w:t xml:space="preserve"> nitrogen problem, special emphasis can be put on digital infrastructure</w:t>
      </w:r>
      <w:r w:rsidR="00A44B4B">
        <w:rPr>
          <w:lang w:val="en-US"/>
        </w:rPr>
        <w:t xml:space="preserve"> as opposed to physical infrastructure</w:t>
      </w:r>
      <w:r w:rsidR="001540AB">
        <w:rPr>
          <w:lang w:val="en-US"/>
        </w:rPr>
        <w:t>.</w:t>
      </w:r>
    </w:p>
    <w:p w14:paraId="02D96421" w14:textId="77777777" w:rsidR="005109D3" w:rsidRDefault="005109D3" w:rsidP="007E7175">
      <w:pPr>
        <w:spacing w:line="276" w:lineRule="auto"/>
        <w:jc w:val="both"/>
        <w:rPr>
          <w:lang w:val="en-US"/>
        </w:rPr>
      </w:pPr>
    </w:p>
    <w:p w14:paraId="1E24BFF3" w14:textId="4EC19586" w:rsidR="005109D3" w:rsidRDefault="005109D3" w:rsidP="005109D3">
      <w:pPr>
        <w:rPr>
          <w:b/>
          <w:bCs/>
          <w:lang w:val="en-US"/>
        </w:rPr>
      </w:pPr>
      <w:r>
        <w:rPr>
          <w:b/>
          <w:bCs/>
          <w:lang w:val="en-US"/>
        </w:rPr>
        <w:t>Stock-and-flow diagram</w:t>
      </w:r>
    </w:p>
    <w:p w14:paraId="3302AD73" w14:textId="77777777" w:rsidR="00A44B4B" w:rsidRDefault="00A44B4B" w:rsidP="00A44B4B">
      <w:pPr>
        <w:spacing w:line="276" w:lineRule="auto"/>
        <w:jc w:val="both"/>
        <w:rPr>
          <w:lang w:val="en-US"/>
        </w:rPr>
      </w:pPr>
      <w:r>
        <w:rPr>
          <w:lang w:val="en-US"/>
        </w:rPr>
        <w:t xml:space="preserve">Infrastructure projects are a great instrument for economic recovery. Despite the economic downturn, the rate of investment must not halt as it can lead to delayed consequences in the future. Quite contrary, investments hold the key to creating jobs and preventing future job loss, thus addressing the COVID-19 economic crisis (see Figure 1). </w:t>
      </w:r>
    </w:p>
    <w:p w14:paraId="046DA74F" w14:textId="77777777" w:rsidR="00A44B4B" w:rsidRDefault="00A44B4B" w:rsidP="00A44B4B">
      <w:pPr>
        <w:spacing w:line="276" w:lineRule="auto"/>
        <w:jc w:val="both"/>
        <w:rPr>
          <w:lang w:val="en-US"/>
        </w:rPr>
      </w:pPr>
    </w:p>
    <w:p w14:paraId="73922638" w14:textId="56FFA949" w:rsidR="00A44B4B" w:rsidRDefault="00A44B4B" w:rsidP="00A44B4B">
      <w:pPr>
        <w:spacing w:line="276" w:lineRule="auto"/>
        <w:jc w:val="both"/>
        <w:rPr>
          <w:lang w:val="en-US"/>
        </w:rPr>
      </w:pPr>
      <w:r>
        <w:rPr>
          <w:lang w:val="en-US"/>
        </w:rPr>
        <w:t>Increases in infrastructure assets will boost economic productivity and can have a positive effect on social mobility. In fact, infrastructure is a powerful enabler that can give the non-privileged an opportunity to catch up with those less adversely affected by the crisis. Not only does it have a key role in addressing growing inequalities, infrastructure is a key player in the sustainability transition as multiple findings indicate that sustainability driven investments will create significantly more jobs in the long run, strengthening the Dutch economy.</w:t>
      </w:r>
    </w:p>
    <w:p w14:paraId="756817AF" w14:textId="77777777" w:rsidR="00A44B4B" w:rsidRPr="00A44B4B" w:rsidRDefault="00A44B4B" w:rsidP="00A44B4B">
      <w:pPr>
        <w:spacing w:line="276" w:lineRule="auto"/>
        <w:jc w:val="both"/>
        <w:rPr>
          <w:lang w:val="en-US"/>
        </w:rPr>
      </w:pPr>
    </w:p>
    <w:p w14:paraId="58A20538" w14:textId="2ABC09A8" w:rsidR="005109D3" w:rsidRDefault="001540AB" w:rsidP="005109D3">
      <w:pPr>
        <w:spacing w:line="276" w:lineRule="auto"/>
        <w:jc w:val="center"/>
      </w:pPr>
      <w:r w:rsidRPr="001540AB">
        <w:drawing>
          <wp:inline distT="0" distB="0" distL="0" distR="0" wp14:anchorId="0ACB29A2" wp14:editId="6B086F46">
            <wp:extent cx="5275385" cy="2161036"/>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5306509" cy="2173786"/>
                    </a:xfrm>
                    <a:prstGeom prst="rect">
                      <a:avLst/>
                    </a:prstGeom>
                  </pic:spPr>
                </pic:pic>
              </a:graphicData>
            </a:graphic>
          </wp:inline>
        </w:drawing>
      </w:r>
    </w:p>
    <w:p w14:paraId="764D0F49" w14:textId="185CFA13" w:rsidR="00555F9D" w:rsidRDefault="005109D3" w:rsidP="000778AD">
      <w:pPr>
        <w:pStyle w:val="Caption"/>
        <w:jc w:val="center"/>
      </w:pPr>
      <w:r>
        <w:t xml:space="preserve">Figure </w:t>
      </w:r>
      <w:r>
        <w:fldChar w:fldCharType="begin"/>
      </w:r>
      <w:r>
        <w:instrText xml:space="preserve"> SEQ Figure \* ARABIC </w:instrText>
      </w:r>
      <w:r>
        <w:fldChar w:fldCharType="separate"/>
      </w:r>
      <w:r>
        <w:rPr>
          <w:noProof/>
        </w:rPr>
        <w:t>1</w:t>
      </w:r>
      <w:r>
        <w:fldChar w:fldCharType="end"/>
      </w:r>
      <w:r>
        <w:t xml:space="preserve">. Stock-and-flow diagram based on </w:t>
      </w:r>
      <w:r w:rsidR="005D340D">
        <w:t>Deloitte</w:t>
      </w:r>
      <w:r w:rsidR="00851F6F" w:rsidRPr="00AC625C">
        <w:t xml:space="preserve"> </w:t>
      </w:r>
      <w:r>
        <w:t>(2020</w:t>
      </w:r>
      <w:r w:rsidR="0054644C">
        <w:t>b</w:t>
      </w:r>
      <w:r>
        <w:t>)</w:t>
      </w:r>
      <w:r w:rsidR="0097172B">
        <w:t>. The dotted arrow</w:t>
      </w:r>
      <w:r w:rsidR="005D340D">
        <w:t xml:space="preserve"> is an</w:t>
      </w:r>
      <w:r w:rsidR="0097172B">
        <w:t xml:space="preserve"> assumptio</w:t>
      </w:r>
      <w:r w:rsidR="005D340D">
        <w:t>n</w:t>
      </w:r>
      <w:r w:rsidR="0097172B">
        <w:t xml:space="preserve"> induced from the document.</w:t>
      </w:r>
    </w:p>
    <w:p w14:paraId="1F451CDB" w14:textId="1D76822F" w:rsidR="00ED74B1" w:rsidRPr="001540AB" w:rsidRDefault="00ED74B1" w:rsidP="001540AB">
      <w:pPr>
        <w:rPr>
          <w:sz w:val="20"/>
          <w:szCs w:val="20"/>
        </w:rPr>
      </w:pPr>
    </w:p>
    <w:tbl>
      <w:tblPr>
        <w:tblStyle w:val="TableGrid"/>
        <w:tblW w:w="9067" w:type="dxa"/>
        <w:tblLook w:val="04A0" w:firstRow="1" w:lastRow="0" w:firstColumn="1" w:lastColumn="0" w:noHBand="0" w:noVBand="1"/>
      </w:tblPr>
      <w:tblGrid>
        <w:gridCol w:w="416"/>
        <w:gridCol w:w="627"/>
        <w:gridCol w:w="4339"/>
        <w:gridCol w:w="3685"/>
      </w:tblGrid>
      <w:tr w:rsidR="001540AB" w:rsidRPr="001540AB" w14:paraId="05798EE6" w14:textId="77777777" w:rsidTr="00AC625C">
        <w:tc>
          <w:tcPr>
            <w:tcW w:w="416" w:type="dxa"/>
          </w:tcPr>
          <w:p w14:paraId="0136E07B" w14:textId="7A8CE0A9" w:rsidR="005109D3" w:rsidRPr="001540AB" w:rsidRDefault="005109D3" w:rsidP="001540AB">
            <w:pPr>
              <w:jc w:val="center"/>
              <w:rPr>
                <w:b/>
                <w:bCs/>
                <w:sz w:val="20"/>
                <w:szCs w:val="20"/>
              </w:rPr>
            </w:pPr>
            <w:r w:rsidRPr="001540AB">
              <w:rPr>
                <w:b/>
                <w:bCs/>
                <w:sz w:val="20"/>
                <w:szCs w:val="20"/>
              </w:rPr>
              <w:t>N.</w:t>
            </w:r>
          </w:p>
        </w:tc>
        <w:tc>
          <w:tcPr>
            <w:tcW w:w="627" w:type="dxa"/>
          </w:tcPr>
          <w:p w14:paraId="314E78B8" w14:textId="16925E9A" w:rsidR="005109D3" w:rsidRPr="001540AB" w:rsidRDefault="005109D3" w:rsidP="001540AB">
            <w:pPr>
              <w:jc w:val="center"/>
              <w:rPr>
                <w:b/>
                <w:bCs/>
                <w:sz w:val="20"/>
                <w:szCs w:val="20"/>
              </w:rPr>
            </w:pPr>
            <w:r w:rsidRPr="001540AB">
              <w:rPr>
                <w:b/>
                <w:bCs/>
                <w:sz w:val="20"/>
                <w:szCs w:val="20"/>
              </w:rPr>
              <w:t>Page</w:t>
            </w:r>
          </w:p>
        </w:tc>
        <w:tc>
          <w:tcPr>
            <w:tcW w:w="4339" w:type="dxa"/>
          </w:tcPr>
          <w:p w14:paraId="2A7A00DD" w14:textId="77777777" w:rsidR="005109D3" w:rsidRPr="001540AB" w:rsidRDefault="005109D3" w:rsidP="001540AB">
            <w:pPr>
              <w:jc w:val="center"/>
              <w:rPr>
                <w:b/>
                <w:bCs/>
                <w:sz w:val="20"/>
                <w:szCs w:val="20"/>
              </w:rPr>
            </w:pPr>
            <w:r w:rsidRPr="001540AB">
              <w:rPr>
                <w:b/>
                <w:bCs/>
                <w:sz w:val="20"/>
                <w:szCs w:val="20"/>
              </w:rPr>
              <w:t>Quote</w:t>
            </w:r>
          </w:p>
        </w:tc>
        <w:tc>
          <w:tcPr>
            <w:tcW w:w="3685" w:type="dxa"/>
          </w:tcPr>
          <w:p w14:paraId="257FF158" w14:textId="77777777" w:rsidR="005109D3" w:rsidRPr="001540AB" w:rsidRDefault="005109D3" w:rsidP="001540AB">
            <w:pPr>
              <w:jc w:val="center"/>
              <w:rPr>
                <w:b/>
                <w:bCs/>
                <w:sz w:val="20"/>
                <w:szCs w:val="20"/>
              </w:rPr>
            </w:pPr>
            <w:r w:rsidRPr="001540AB">
              <w:rPr>
                <w:b/>
                <w:bCs/>
                <w:sz w:val="20"/>
                <w:szCs w:val="20"/>
              </w:rPr>
              <w:t>Causal link</w:t>
            </w:r>
          </w:p>
        </w:tc>
      </w:tr>
      <w:tr w:rsidR="001540AB" w:rsidRPr="001540AB" w14:paraId="49861D0A" w14:textId="77777777" w:rsidTr="00AC625C">
        <w:tc>
          <w:tcPr>
            <w:tcW w:w="416" w:type="dxa"/>
          </w:tcPr>
          <w:p w14:paraId="1F85FD86" w14:textId="08F73D43" w:rsidR="005109D3" w:rsidRPr="001540AB" w:rsidRDefault="001A0451" w:rsidP="001540AB">
            <w:pPr>
              <w:rPr>
                <w:sz w:val="20"/>
                <w:szCs w:val="20"/>
                <w:lang w:val="en-US"/>
              </w:rPr>
            </w:pPr>
            <w:r w:rsidRPr="001540AB">
              <w:rPr>
                <w:sz w:val="20"/>
                <w:szCs w:val="20"/>
                <w:lang w:val="en-US"/>
              </w:rPr>
              <w:t>1</w:t>
            </w:r>
          </w:p>
        </w:tc>
        <w:tc>
          <w:tcPr>
            <w:tcW w:w="627" w:type="dxa"/>
          </w:tcPr>
          <w:p w14:paraId="725BB832" w14:textId="50029FCA" w:rsidR="005109D3" w:rsidRPr="001540AB" w:rsidRDefault="00155218" w:rsidP="001540AB">
            <w:pPr>
              <w:rPr>
                <w:sz w:val="20"/>
                <w:szCs w:val="20"/>
                <w:lang w:val="en-US"/>
              </w:rPr>
            </w:pPr>
            <w:r w:rsidRPr="001540AB">
              <w:rPr>
                <w:sz w:val="20"/>
                <w:szCs w:val="20"/>
                <w:lang w:val="en-US"/>
              </w:rPr>
              <w:t>3</w:t>
            </w:r>
          </w:p>
        </w:tc>
        <w:tc>
          <w:tcPr>
            <w:tcW w:w="4339" w:type="dxa"/>
          </w:tcPr>
          <w:p w14:paraId="43B6510C" w14:textId="35D78CBF" w:rsidR="005109D3" w:rsidRPr="001540AB" w:rsidRDefault="00155218" w:rsidP="001540AB">
            <w:pPr>
              <w:pStyle w:val="NormalWeb"/>
              <w:rPr>
                <w:color w:val="auto"/>
                <w:sz w:val="20"/>
                <w:szCs w:val="20"/>
              </w:rPr>
            </w:pPr>
            <w:r w:rsidRPr="001540AB">
              <w:rPr>
                <w:color w:val="auto"/>
                <w:sz w:val="20"/>
                <w:szCs w:val="20"/>
              </w:rPr>
              <w:t>Unless explicitly stimulated through public policy of the central government, the economic downturn will cause less initiation of infrastructure, capital and construction projects, and projects in the pipeline are being postponed.</w:t>
            </w:r>
          </w:p>
        </w:tc>
        <w:tc>
          <w:tcPr>
            <w:tcW w:w="3685" w:type="dxa"/>
          </w:tcPr>
          <w:p w14:paraId="44500F01" w14:textId="7DF49CA8" w:rsidR="005109D3" w:rsidRPr="001540AB" w:rsidRDefault="00155218" w:rsidP="001540AB">
            <w:pPr>
              <w:pStyle w:val="NormalWeb"/>
              <w:spacing w:before="0" w:beforeAutospacing="0" w:after="0" w:afterAutospacing="0"/>
              <w:rPr>
                <w:color w:val="auto"/>
                <w:sz w:val="20"/>
                <w:szCs w:val="20"/>
                <w:lang w:val="en-US"/>
              </w:rPr>
            </w:pPr>
            <w:r w:rsidRPr="001540AB">
              <w:rPr>
                <w:color w:val="auto"/>
                <w:sz w:val="20"/>
                <w:szCs w:val="20"/>
                <w:lang w:val="en-US"/>
              </w:rPr>
              <w:t>Number of jobs -&gt; Rate of infrastructure investment -&gt; Infrastructure projects -&gt; Rate of infrastructure project construction</w:t>
            </w:r>
          </w:p>
        </w:tc>
      </w:tr>
      <w:tr w:rsidR="001540AB" w:rsidRPr="001540AB" w14:paraId="568F6E9A" w14:textId="77777777" w:rsidTr="00AC625C">
        <w:tc>
          <w:tcPr>
            <w:tcW w:w="416" w:type="dxa"/>
          </w:tcPr>
          <w:p w14:paraId="3914E83E" w14:textId="65406D24" w:rsidR="005109D3" w:rsidRPr="001540AB" w:rsidRDefault="001A0451" w:rsidP="001540AB">
            <w:pPr>
              <w:rPr>
                <w:sz w:val="20"/>
                <w:szCs w:val="20"/>
                <w:lang w:val="en-US"/>
              </w:rPr>
            </w:pPr>
            <w:r w:rsidRPr="001540AB">
              <w:rPr>
                <w:sz w:val="20"/>
                <w:szCs w:val="20"/>
                <w:lang w:val="en-US"/>
              </w:rPr>
              <w:t>2</w:t>
            </w:r>
          </w:p>
        </w:tc>
        <w:tc>
          <w:tcPr>
            <w:tcW w:w="627" w:type="dxa"/>
          </w:tcPr>
          <w:p w14:paraId="721E63AB" w14:textId="450A5C84" w:rsidR="005109D3" w:rsidRPr="001540AB" w:rsidRDefault="00155218" w:rsidP="001540AB">
            <w:pPr>
              <w:rPr>
                <w:sz w:val="20"/>
                <w:szCs w:val="20"/>
                <w:lang w:val="en-US"/>
              </w:rPr>
            </w:pPr>
            <w:r w:rsidRPr="001540AB">
              <w:rPr>
                <w:sz w:val="20"/>
                <w:szCs w:val="20"/>
                <w:lang w:val="en-US"/>
              </w:rPr>
              <w:t>3</w:t>
            </w:r>
          </w:p>
        </w:tc>
        <w:tc>
          <w:tcPr>
            <w:tcW w:w="4339" w:type="dxa"/>
          </w:tcPr>
          <w:p w14:paraId="12E28C76" w14:textId="004D4209" w:rsidR="005109D3" w:rsidRPr="001540AB" w:rsidRDefault="00155218" w:rsidP="001540AB">
            <w:pPr>
              <w:pStyle w:val="NormalWeb"/>
              <w:rPr>
                <w:color w:val="auto"/>
                <w:sz w:val="20"/>
                <w:szCs w:val="20"/>
                <w:lang w:val="en-US"/>
              </w:rPr>
            </w:pPr>
            <w:r w:rsidRPr="001540AB">
              <w:rPr>
                <w:color w:val="auto"/>
                <w:sz w:val="20"/>
                <w:szCs w:val="20"/>
              </w:rPr>
              <w:t>When current construction plans will be postponed or canceled, severe effects will be felt in the future</w:t>
            </w:r>
            <w:r w:rsidRPr="001540AB">
              <w:rPr>
                <w:color w:val="auto"/>
                <w:sz w:val="20"/>
                <w:szCs w:val="20"/>
                <w:lang w:val="en-US"/>
              </w:rPr>
              <w:t>.</w:t>
            </w:r>
          </w:p>
        </w:tc>
        <w:tc>
          <w:tcPr>
            <w:tcW w:w="3685" w:type="dxa"/>
          </w:tcPr>
          <w:p w14:paraId="18334FBB" w14:textId="1F0B1C52" w:rsidR="007B6E62" w:rsidRPr="001540AB" w:rsidRDefault="00155218" w:rsidP="001540AB">
            <w:pPr>
              <w:rPr>
                <w:sz w:val="20"/>
                <w:szCs w:val="20"/>
                <w:lang w:val="en-US"/>
              </w:rPr>
            </w:pPr>
            <w:r w:rsidRPr="001540AB">
              <w:rPr>
                <w:sz w:val="20"/>
                <w:szCs w:val="20"/>
                <w:lang w:val="en-US"/>
              </w:rPr>
              <w:t>Time to construct infrastructure projects -&gt; Rate of infrastructure project construction</w:t>
            </w:r>
            <w:r w:rsidR="007B6E62" w:rsidRPr="001540AB">
              <w:rPr>
                <w:sz w:val="20"/>
                <w:szCs w:val="20"/>
                <w:lang w:val="en-US"/>
              </w:rPr>
              <w:t xml:space="preserve"> </w:t>
            </w:r>
          </w:p>
        </w:tc>
      </w:tr>
      <w:tr w:rsidR="001540AB" w:rsidRPr="001540AB" w14:paraId="2E7917E1" w14:textId="77777777" w:rsidTr="00AC625C">
        <w:tc>
          <w:tcPr>
            <w:tcW w:w="416" w:type="dxa"/>
          </w:tcPr>
          <w:p w14:paraId="26D4E113" w14:textId="7A9D4C8F" w:rsidR="004B0639" w:rsidRPr="001540AB" w:rsidRDefault="004B0639" w:rsidP="001540AB">
            <w:pPr>
              <w:rPr>
                <w:sz w:val="20"/>
                <w:szCs w:val="20"/>
                <w:lang w:val="en-US"/>
              </w:rPr>
            </w:pPr>
            <w:r w:rsidRPr="001540AB">
              <w:rPr>
                <w:sz w:val="20"/>
                <w:szCs w:val="20"/>
                <w:lang w:val="en-US"/>
              </w:rPr>
              <w:t>3</w:t>
            </w:r>
          </w:p>
        </w:tc>
        <w:tc>
          <w:tcPr>
            <w:tcW w:w="627" w:type="dxa"/>
          </w:tcPr>
          <w:p w14:paraId="4FCB6ED7" w14:textId="1CA5DE47" w:rsidR="004B0639" w:rsidRPr="001540AB" w:rsidRDefault="00155218" w:rsidP="001540AB">
            <w:pPr>
              <w:rPr>
                <w:sz w:val="20"/>
                <w:szCs w:val="20"/>
                <w:lang w:val="en-US"/>
              </w:rPr>
            </w:pPr>
            <w:r w:rsidRPr="001540AB">
              <w:rPr>
                <w:sz w:val="20"/>
                <w:szCs w:val="20"/>
                <w:lang w:val="en-US"/>
              </w:rPr>
              <w:t>5</w:t>
            </w:r>
          </w:p>
        </w:tc>
        <w:tc>
          <w:tcPr>
            <w:tcW w:w="4339" w:type="dxa"/>
          </w:tcPr>
          <w:p w14:paraId="4A681F3F" w14:textId="57135B64" w:rsidR="004B0639" w:rsidRPr="001540AB" w:rsidRDefault="00155218" w:rsidP="001540AB">
            <w:pPr>
              <w:pStyle w:val="NormalWeb"/>
              <w:rPr>
                <w:color w:val="auto"/>
                <w:sz w:val="20"/>
                <w:szCs w:val="20"/>
              </w:rPr>
            </w:pPr>
            <w:r w:rsidRPr="001540AB">
              <w:rPr>
                <w:color w:val="auto"/>
                <w:sz w:val="20"/>
                <w:szCs w:val="20"/>
              </w:rPr>
              <w:t xml:space="preserve">Limited proactivity could lead to a prolonged financial downturn with large job losses as a direct result. </w:t>
            </w:r>
          </w:p>
        </w:tc>
        <w:tc>
          <w:tcPr>
            <w:tcW w:w="3685" w:type="dxa"/>
          </w:tcPr>
          <w:p w14:paraId="1783985E" w14:textId="198EA486" w:rsidR="004B0639" w:rsidRPr="001540AB" w:rsidRDefault="00155218" w:rsidP="001540AB">
            <w:pPr>
              <w:rPr>
                <w:sz w:val="20"/>
                <w:szCs w:val="20"/>
                <w:lang w:val="en-US"/>
              </w:rPr>
            </w:pPr>
            <w:r w:rsidRPr="001540AB">
              <w:rPr>
                <w:sz w:val="20"/>
                <w:szCs w:val="20"/>
                <w:lang w:val="en-US"/>
              </w:rPr>
              <w:t>Rate of infrastructure project construction -&gt; Job creation rate</w:t>
            </w:r>
          </w:p>
        </w:tc>
      </w:tr>
      <w:tr w:rsidR="001540AB" w:rsidRPr="001540AB" w14:paraId="070E57B4" w14:textId="77777777" w:rsidTr="00AC625C">
        <w:tc>
          <w:tcPr>
            <w:tcW w:w="416" w:type="dxa"/>
          </w:tcPr>
          <w:p w14:paraId="12CEE03B" w14:textId="1CC33121" w:rsidR="004B0639" w:rsidRPr="001540AB" w:rsidRDefault="004B0639" w:rsidP="001540AB">
            <w:pPr>
              <w:rPr>
                <w:sz w:val="20"/>
                <w:szCs w:val="20"/>
                <w:lang w:val="en-US"/>
              </w:rPr>
            </w:pPr>
            <w:r w:rsidRPr="001540AB">
              <w:rPr>
                <w:sz w:val="20"/>
                <w:szCs w:val="20"/>
                <w:lang w:val="en-US"/>
              </w:rPr>
              <w:t>4</w:t>
            </w:r>
          </w:p>
        </w:tc>
        <w:tc>
          <w:tcPr>
            <w:tcW w:w="627" w:type="dxa"/>
          </w:tcPr>
          <w:p w14:paraId="257CE418" w14:textId="0B06E74D" w:rsidR="004B0639" w:rsidRPr="001540AB" w:rsidRDefault="001540AB" w:rsidP="001540AB">
            <w:pPr>
              <w:rPr>
                <w:sz w:val="20"/>
                <w:szCs w:val="20"/>
                <w:lang w:val="en-US"/>
              </w:rPr>
            </w:pPr>
            <w:r w:rsidRPr="001540AB">
              <w:rPr>
                <w:sz w:val="20"/>
                <w:szCs w:val="20"/>
                <w:lang w:val="en-US"/>
              </w:rPr>
              <w:t>5</w:t>
            </w:r>
          </w:p>
        </w:tc>
        <w:tc>
          <w:tcPr>
            <w:tcW w:w="4339" w:type="dxa"/>
          </w:tcPr>
          <w:p w14:paraId="43472A16" w14:textId="2CBCDAF5" w:rsidR="004B0639" w:rsidRPr="001540AB" w:rsidRDefault="001540AB" w:rsidP="001540AB">
            <w:pPr>
              <w:pStyle w:val="NormalWeb"/>
              <w:rPr>
                <w:color w:val="auto"/>
                <w:sz w:val="20"/>
                <w:szCs w:val="20"/>
              </w:rPr>
            </w:pPr>
            <w:r w:rsidRPr="001540AB">
              <w:rPr>
                <w:color w:val="auto"/>
                <w:sz w:val="20"/>
                <w:szCs w:val="20"/>
              </w:rPr>
              <w:t xml:space="preserve">The megaprojects should all continue at the fastest pace possible in the current climate as it provides the base load for the sector and can shield the economy from further job loss. </w:t>
            </w:r>
          </w:p>
        </w:tc>
        <w:tc>
          <w:tcPr>
            <w:tcW w:w="3685" w:type="dxa"/>
          </w:tcPr>
          <w:p w14:paraId="1C265EC4" w14:textId="15D4BFCC" w:rsidR="004B0639" w:rsidRPr="001540AB" w:rsidRDefault="001540AB" w:rsidP="001540AB">
            <w:pPr>
              <w:rPr>
                <w:sz w:val="20"/>
                <w:szCs w:val="20"/>
                <w:lang w:val="en-US"/>
              </w:rPr>
            </w:pPr>
            <w:r w:rsidRPr="001540AB">
              <w:rPr>
                <w:sz w:val="20"/>
                <w:szCs w:val="20"/>
                <w:lang w:val="en-US"/>
              </w:rPr>
              <w:t xml:space="preserve">Rate of infrastructure project construction -&gt; Job </w:t>
            </w:r>
            <w:r w:rsidRPr="001540AB">
              <w:rPr>
                <w:sz w:val="20"/>
                <w:szCs w:val="20"/>
                <w:lang w:val="en-US"/>
              </w:rPr>
              <w:t>loss</w:t>
            </w:r>
            <w:r w:rsidRPr="001540AB">
              <w:rPr>
                <w:sz w:val="20"/>
                <w:szCs w:val="20"/>
                <w:lang w:val="en-US"/>
              </w:rPr>
              <w:t xml:space="preserve"> rate</w:t>
            </w:r>
          </w:p>
        </w:tc>
      </w:tr>
      <w:tr w:rsidR="001540AB" w:rsidRPr="001540AB" w14:paraId="24B9238E" w14:textId="77777777" w:rsidTr="00AC625C">
        <w:tc>
          <w:tcPr>
            <w:tcW w:w="416" w:type="dxa"/>
          </w:tcPr>
          <w:p w14:paraId="066CD1B2" w14:textId="7C1DCAF2" w:rsidR="005109D3" w:rsidRPr="001540AB" w:rsidRDefault="001A0451" w:rsidP="001540AB">
            <w:pPr>
              <w:rPr>
                <w:sz w:val="20"/>
                <w:szCs w:val="20"/>
                <w:lang w:val="en-US"/>
              </w:rPr>
            </w:pPr>
            <w:r w:rsidRPr="001540AB">
              <w:rPr>
                <w:sz w:val="20"/>
                <w:szCs w:val="20"/>
                <w:lang w:val="en-US"/>
              </w:rPr>
              <w:t>5</w:t>
            </w:r>
          </w:p>
        </w:tc>
        <w:tc>
          <w:tcPr>
            <w:tcW w:w="627" w:type="dxa"/>
          </w:tcPr>
          <w:p w14:paraId="17B56053" w14:textId="605A1409" w:rsidR="005109D3" w:rsidRPr="001540AB" w:rsidRDefault="001540AB" w:rsidP="001540AB">
            <w:pPr>
              <w:rPr>
                <w:sz w:val="20"/>
                <w:szCs w:val="20"/>
                <w:lang w:val="en-US"/>
              </w:rPr>
            </w:pPr>
            <w:r w:rsidRPr="001540AB">
              <w:rPr>
                <w:sz w:val="20"/>
                <w:szCs w:val="20"/>
                <w:lang w:val="en-US"/>
              </w:rPr>
              <w:t>5</w:t>
            </w:r>
          </w:p>
        </w:tc>
        <w:tc>
          <w:tcPr>
            <w:tcW w:w="4339" w:type="dxa"/>
          </w:tcPr>
          <w:p w14:paraId="243D0EA5" w14:textId="2F506E31" w:rsidR="005109D3" w:rsidRPr="001540AB" w:rsidRDefault="001540AB" w:rsidP="001540AB">
            <w:pPr>
              <w:pStyle w:val="NormalWeb"/>
              <w:rPr>
                <w:color w:val="auto"/>
                <w:sz w:val="20"/>
                <w:szCs w:val="20"/>
              </w:rPr>
            </w:pPr>
            <w:r w:rsidRPr="001540AB">
              <w:rPr>
                <w:color w:val="auto"/>
                <w:sz w:val="20"/>
                <w:szCs w:val="20"/>
              </w:rPr>
              <w:t xml:space="preserve">Infrastructure improves the productivity of the nation allowing goods and resources to move throughout the economy. </w:t>
            </w:r>
          </w:p>
        </w:tc>
        <w:tc>
          <w:tcPr>
            <w:tcW w:w="3685" w:type="dxa"/>
          </w:tcPr>
          <w:p w14:paraId="55679626" w14:textId="2B4835A2" w:rsidR="005109D3" w:rsidRPr="001540AB" w:rsidRDefault="001540AB" w:rsidP="001540AB">
            <w:pPr>
              <w:rPr>
                <w:sz w:val="20"/>
                <w:szCs w:val="20"/>
                <w:lang w:val="en-US"/>
              </w:rPr>
            </w:pPr>
            <w:r w:rsidRPr="001540AB">
              <w:rPr>
                <w:sz w:val="20"/>
                <w:szCs w:val="20"/>
                <w:lang w:val="en-US"/>
              </w:rPr>
              <w:t>Infrastructure assets -&gt; Productivity</w:t>
            </w:r>
            <w:r w:rsidR="00E716C7" w:rsidRPr="001540AB">
              <w:rPr>
                <w:sz w:val="20"/>
                <w:szCs w:val="20"/>
                <w:lang w:val="en-US"/>
              </w:rPr>
              <w:t xml:space="preserve">  </w:t>
            </w:r>
          </w:p>
        </w:tc>
      </w:tr>
    </w:tbl>
    <w:p w14:paraId="75375EA9" w14:textId="4FDD4685" w:rsidR="00551B3B" w:rsidRDefault="00ED74B1" w:rsidP="00851F6F">
      <w:pPr>
        <w:pStyle w:val="Caption"/>
      </w:pPr>
      <w:r w:rsidRPr="00AC625C">
        <w:t xml:space="preserve">Table </w:t>
      </w:r>
      <w:r w:rsidR="001540AB">
        <w:t>1</w:t>
      </w:r>
      <w:r w:rsidRPr="00AC625C">
        <w:t xml:space="preserve">. Causal links found within </w:t>
      </w:r>
      <w:r w:rsidR="004B0639">
        <w:t>Deloitte</w:t>
      </w:r>
      <w:r w:rsidR="00AC625C" w:rsidRPr="00AC625C">
        <w:t xml:space="preserve"> </w:t>
      </w:r>
      <w:r w:rsidRPr="00AC625C">
        <w:t>(2020</w:t>
      </w:r>
      <w:r w:rsidR="0054644C">
        <w:t>b</w:t>
      </w:r>
      <w:r w:rsidRPr="00AC625C">
        <w:t>)</w:t>
      </w:r>
    </w:p>
    <w:p w14:paraId="4B36C5A7" w14:textId="77777777" w:rsidR="00851F6F" w:rsidRPr="00851F6F" w:rsidRDefault="00851F6F" w:rsidP="00851F6F">
      <w:pPr>
        <w:rPr>
          <w:lang w:val="en-US"/>
        </w:rPr>
      </w:pPr>
    </w:p>
    <w:p w14:paraId="39675499" w14:textId="77777777" w:rsidR="0097172B" w:rsidRDefault="0097172B" w:rsidP="00551B3B">
      <w:pPr>
        <w:rPr>
          <w:b/>
          <w:bCs/>
        </w:rPr>
      </w:pPr>
    </w:p>
    <w:p w14:paraId="300A9951" w14:textId="63867C9C" w:rsidR="00551B3B" w:rsidRPr="00551B3B" w:rsidRDefault="00551B3B" w:rsidP="00551B3B">
      <w:pPr>
        <w:rPr>
          <w:b/>
          <w:bCs/>
        </w:rPr>
      </w:pPr>
      <w:r w:rsidRPr="00551B3B">
        <w:rPr>
          <w:b/>
          <w:bCs/>
        </w:rPr>
        <w:t>References</w:t>
      </w:r>
    </w:p>
    <w:p w14:paraId="5E5451FC" w14:textId="4D2A8F45" w:rsidR="0055099C" w:rsidRPr="0055099C" w:rsidRDefault="0055099C" w:rsidP="0055099C">
      <w:r w:rsidRPr="0055099C">
        <w:t>Deloitte</w:t>
      </w:r>
      <w:r w:rsidRPr="0055099C">
        <w:rPr>
          <w:color w:val="000000"/>
          <w:shd w:val="clear" w:color="auto" w:fill="FFFFFF"/>
        </w:rPr>
        <w:t xml:space="preserve"> </w:t>
      </w:r>
      <w:r w:rsidRPr="0055099C">
        <w:t>(2020</w:t>
      </w:r>
      <w:r w:rsidR="0054644C">
        <w:rPr>
          <w:lang w:val="en-US"/>
        </w:rPr>
        <w:t>b</w:t>
      </w:r>
      <w:r w:rsidRPr="0055099C">
        <w:t xml:space="preserve">) </w:t>
      </w:r>
      <w:r w:rsidR="0054644C">
        <w:rPr>
          <w:i/>
          <w:lang w:val="en-US"/>
        </w:rPr>
        <w:t>Infrastructure investments as economic stimulus in a post COVID-19 world</w:t>
      </w:r>
      <w:r w:rsidRPr="0055099C">
        <w:rPr>
          <w:i/>
        </w:rPr>
        <w:t>.</w:t>
      </w:r>
      <w:r w:rsidRPr="0055099C">
        <w:t xml:space="preserve"> </w:t>
      </w:r>
      <w:r w:rsidR="0054644C" w:rsidRPr="0054644C">
        <w:t>https://www2.deloitte.com/content/dam/Deloitte/nl/Documents/real-estate/deloitte-nl-infrastructure-investments-as-economic-stimulus.pdf</w:t>
      </w:r>
      <w:r w:rsidR="0054644C">
        <w:rPr>
          <w:lang w:val="en-US"/>
        </w:rPr>
        <w:t>,</w:t>
      </w:r>
      <w:r w:rsidR="0054644C" w:rsidRPr="0054644C">
        <w:t xml:space="preserve"> </w:t>
      </w:r>
      <w:r w:rsidRPr="0055099C">
        <w:t xml:space="preserve">accessed on </w:t>
      </w:r>
      <w:r w:rsidR="0054644C">
        <w:rPr>
          <w:lang w:val="en-US"/>
        </w:rPr>
        <w:t>26</w:t>
      </w:r>
      <w:r w:rsidRPr="0055099C">
        <w:t xml:space="preserve"> October 2020.</w:t>
      </w:r>
    </w:p>
    <w:p w14:paraId="69C648E9" w14:textId="77777777" w:rsidR="00ED74B1" w:rsidRDefault="00ED74B1" w:rsidP="00ED74B1">
      <w:pPr>
        <w:spacing w:line="360" w:lineRule="auto"/>
        <w:jc w:val="both"/>
      </w:pPr>
    </w:p>
    <w:sectPr w:rsidR="00ED74B1" w:rsidSect="00D22190">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6B19D7"/>
    <w:multiLevelType w:val="multilevel"/>
    <w:tmpl w:val="142299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11035F5B"/>
    <w:multiLevelType w:val="hybridMultilevel"/>
    <w:tmpl w:val="D69A4C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335D8A"/>
    <w:multiLevelType w:val="multilevel"/>
    <w:tmpl w:val="9522E2B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352B66E0"/>
    <w:multiLevelType w:val="multilevel"/>
    <w:tmpl w:val="E75064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3C24600A"/>
    <w:multiLevelType w:val="multilevel"/>
    <w:tmpl w:val="678027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63EC3360"/>
    <w:multiLevelType w:val="multilevel"/>
    <w:tmpl w:val="5ECC2B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5"/>
  </w:num>
  <w:num w:numId="2">
    <w:abstractNumId w:val="4"/>
  </w:num>
  <w:num w:numId="3">
    <w:abstractNumId w:val="2"/>
  </w:num>
  <w:num w:numId="4">
    <w:abstractNumId w:val="1"/>
  </w:num>
  <w:num w:numId="5">
    <w:abstractNumId w:val="3"/>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8"/>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74B1"/>
    <w:rsid w:val="000778AD"/>
    <w:rsid w:val="00094EBF"/>
    <w:rsid w:val="001540AB"/>
    <w:rsid w:val="00155218"/>
    <w:rsid w:val="001A0451"/>
    <w:rsid w:val="001C2693"/>
    <w:rsid w:val="001E635A"/>
    <w:rsid w:val="00313434"/>
    <w:rsid w:val="0039501B"/>
    <w:rsid w:val="00407800"/>
    <w:rsid w:val="00451284"/>
    <w:rsid w:val="004845CC"/>
    <w:rsid w:val="004A19B3"/>
    <w:rsid w:val="004A7DAC"/>
    <w:rsid w:val="004B0639"/>
    <w:rsid w:val="004B4301"/>
    <w:rsid w:val="004F28DE"/>
    <w:rsid w:val="005109D3"/>
    <w:rsid w:val="0054644C"/>
    <w:rsid w:val="0055099C"/>
    <w:rsid w:val="00551B3B"/>
    <w:rsid w:val="00555F9D"/>
    <w:rsid w:val="005D340D"/>
    <w:rsid w:val="0060512C"/>
    <w:rsid w:val="006213F0"/>
    <w:rsid w:val="00626184"/>
    <w:rsid w:val="006344D0"/>
    <w:rsid w:val="006E444C"/>
    <w:rsid w:val="00741D9D"/>
    <w:rsid w:val="007A742E"/>
    <w:rsid w:val="007B6E62"/>
    <w:rsid w:val="007E7175"/>
    <w:rsid w:val="00851F6F"/>
    <w:rsid w:val="008A1A62"/>
    <w:rsid w:val="0097172B"/>
    <w:rsid w:val="00A44B4B"/>
    <w:rsid w:val="00AC43CE"/>
    <w:rsid w:val="00AC625C"/>
    <w:rsid w:val="00BB0057"/>
    <w:rsid w:val="00BD41CE"/>
    <w:rsid w:val="00BD7C26"/>
    <w:rsid w:val="00BF12D6"/>
    <w:rsid w:val="00C558C6"/>
    <w:rsid w:val="00D22190"/>
    <w:rsid w:val="00D71721"/>
    <w:rsid w:val="00D722C3"/>
    <w:rsid w:val="00E02FE8"/>
    <w:rsid w:val="00E716C7"/>
    <w:rsid w:val="00EA3DBE"/>
    <w:rsid w:val="00ED74B1"/>
    <w:rsid w:val="00EE6037"/>
    <w:rsid w:val="00F860AE"/>
  </w:rsids>
  <m:mathPr>
    <m:mathFont m:val="Cambria Math"/>
    <m:brkBin m:val="before"/>
    <m:brkBinSub m:val="--"/>
    <m:smallFrac m:val="0"/>
    <m:dispDef/>
    <m:lMargin m:val="0"/>
    <m:rMargin m:val="0"/>
    <m:defJc m:val="centerGroup"/>
    <m:wrapIndent m:val="1440"/>
    <m:intLim m:val="subSup"/>
    <m:naryLim m:val="undOvr"/>
  </m:mathPr>
  <w:themeFontLang w:val="en-M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ED4104"/>
  <w15:chartTrackingRefBased/>
  <w15:docId w15:val="{0835A1D0-4D85-0D4A-B883-6F36C6392B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MK"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02FE8"/>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ED74B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ED74B1"/>
    <w:pPr>
      <w:shd w:val="clear" w:color="auto" w:fill="FFFFFF"/>
      <w:spacing w:before="100" w:beforeAutospacing="1" w:after="100" w:afterAutospacing="1"/>
    </w:pPr>
    <w:rPr>
      <w:color w:val="000000" w:themeColor="text1"/>
    </w:rPr>
  </w:style>
  <w:style w:type="paragraph" w:styleId="Caption">
    <w:name w:val="caption"/>
    <w:basedOn w:val="Normal"/>
    <w:next w:val="Normal"/>
    <w:uiPriority w:val="35"/>
    <w:unhideWhenUsed/>
    <w:qFormat/>
    <w:rsid w:val="00ED74B1"/>
    <w:pPr>
      <w:spacing w:after="200"/>
    </w:pPr>
    <w:rPr>
      <w:rFonts w:eastAsiaTheme="minorHAnsi"/>
      <w:i/>
      <w:iCs/>
      <w:color w:val="44546A" w:themeColor="text2"/>
      <w:sz w:val="18"/>
      <w:szCs w:val="18"/>
      <w:lang w:val="en-US"/>
    </w:rPr>
  </w:style>
  <w:style w:type="character" w:styleId="Hyperlink">
    <w:name w:val="Hyperlink"/>
    <w:basedOn w:val="DefaultParagraphFont"/>
    <w:uiPriority w:val="99"/>
    <w:unhideWhenUsed/>
    <w:rsid w:val="00551B3B"/>
    <w:rPr>
      <w:color w:val="0563C1" w:themeColor="hyperlink"/>
      <w:u w:val="single"/>
    </w:rPr>
  </w:style>
  <w:style w:type="paragraph" w:styleId="ListParagraph">
    <w:name w:val="List Paragraph"/>
    <w:basedOn w:val="Normal"/>
    <w:uiPriority w:val="34"/>
    <w:qFormat/>
    <w:rsid w:val="0055099C"/>
    <w:pPr>
      <w:spacing w:line="276" w:lineRule="auto"/>
      <w:ind w:left="720"/>
      <w:contextualSpacing/>
      <w:jc w:val="both"/>
    </w:pPr>
    <w:rPr>
      <w:rFonts w:eastAsiaTheme="minorHAnsi"/>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1073939">
      <w:bodyDiv w:val="1"/>
      <w:marLeft w:val="0"/>
      <w:marRight w:val="0"/>
      <w:marTop w:val="0"/>
      <w:marBottom w:val="0"/>
      <w:divBdr>
        <w:top w:val="none" w:sz="0" w:space="0" w:color="auto"/>
        <w:left w:val="none" w:sz="0" w:space="0" w:color="auto"/>
        <w:bottom w:val="none" w:sz="0" w:space="0" w:color="auto"/>
        <w:right w:val="none" w:sz="0" w:space="0" w:color="auto"/>
      </w:divBdr>
      <w:divsChild>
        <w:div w:id="2079089114">
          <w:marLeft w:val="0"/>
          <w:marRight w:val="0"/>
          <w:marTop w:val="0"/>
          <w:marBottom w:val="0"/>
          <w:divBdr>
            <w:top w:val="none" w:sz="0" w:space="0" w:color="auto"/>
            <w:left w:val="none" w:sz="0" w:space="0" w:color="auto"/>
            <w:bottom w:val="none" w:sz="0" w:space="0" w:color="auto"/>
            <w:right w:val="none" w:sz="0" w:space="0" w:color="auto"/>
          </w:divBdr>
          <w:divsChild>
            <w:div w:id="432169640">
              <w:marLeft w:val="0"/>
              <w:marRight w:val="0"/>
              <w:marTop w:val="0"/>
              <w:marBottom w:val="0"/>
              <w:divBdr>
                <w:top w:val="none" w:sz="0" w:space="0" w:color="auto"/>
                <w:left w:val="none" w:sz="0" w:space="0" w:color="auto"/>
                <w:bottom w:val="none" w:sz="0" w:space="0" w:color="auto"/>
                <w:right w:val="none" w:sz="0" w:space="0" w:color="auto"/>
              </w:divBdr>
              <w:divsChild>
                <w:div w:id="98525919">
                  <w:marLeft w:val="0"/>
                  <w:marRight w:val="0"/>
                  <w:marTop w:val="0"/>
                  <w:marBottom w:val="0"/>
                  <w:divBdr>
                    <w:top w:val="none" w:sz="0" w:space="0" w:color="auto"/>
                    <w:left w:val="none" w:sz="0" w:space="0" w:color="auto"/>
                    <w:bottom w:val="none" w:sz="0" w:space="0" w:color="auto"/>
                    <w:right w:val="none" w:sz="0" w:space="0" w:color="auto"/>
                  </w:divBdr>
                  <w:divsChild>
                    <w:div w:id="2045594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90015072">
      <w:bodyDiv w:val="1"/>
      <w:marLeft w:val="0"/>
      <w:marRight w:val="0"/>
      <w:marTop w:val="0"/>
      <w:marBottom w:val="0"/>
      <w:divBdr>
        <w:top w:val="none" w:sz="0" w:space="0" w:color="auto"/>
        <w:left w:val="none" w:sz="0" w:space="0" w:color="auto"/>
        <w:bottom w:val="none" w:sz="0" w:space="0" w:color="auto"/>
        <w:right w:val="none" w:sz="0" w:space="0" w:color="auto"/>
      </w:divBdr>
      <w:divsChild>
        <w:div w:id="106510580">
          <w:marLeft w:val="0"/>
          <w:marRight w:val="0"/>
          <w:marTop w:val="0"/>
          <w:marBottom w:val="0"/>
          <w:divBdr>
            <w:top w:val="none" w:sz="0" w:space="0" w:color="auto"/>
            <w:left w:val="none" w:sz="0" w:space="0" w:color="auto"/>
            <w:bottom w:val="none" w:sz="0" w:space="0" w:color="auto"/>
            <w:right w:val="none" w:sz="0" w:space="0" w:color="auto"/>
          </w:divBdr>
          <w:divsChild>
            <w:div w:id="1565481343">
              <w:marLeft w:val="0"/>
              <w:marRight w:val="0"/>
              <w:marTop w:val="0"/>
              <w:marBottom w:val="0"/>
              <w:divBdr>
                <w:top w:val="none" w:sz="0" w:space="0" w:color="auto"/>
                <w:left w:val="none" w:sz="0" w:space="0" w:color="auto"/>
                <w:bottom w:val="none" w:sz="0" w:space="0" w:color="auto"/>
                <w:right w:val="none" w:sz="0" w:space="0" w:color="auto"/>
              </w:divBdr>
              <w:divsChild>
                <w:div w:id="552808617">
                  <w:marLeft w:val="0"/>
                  <w:marRight w:val="0"/>
                  <w:marTop w:val="0"/>
                  <w:marBottom w:val="0"/>
                  <w:divBdr>
                    <w:top w:val="none" w:sz="0" w:space="0" w:color="auto"/>
                    <w:left w:val="none" w:sz="0" w:space="0" w:color="auto"/>
                    <w:bottom w:val="none" w:sz="0" w:space="0" w:color="auto"/>
                    <w:right w:val="none" w:sz="0" w:space="0" w:color="auto"/>
                  </w:divBdr>
                  <w:divsChild>
                    <w:div w:id="58596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02491800">
      <w:bodyDiv w:val="1"/>
      <w:marLeft w:val="0"/>
      <w:marRight w:val="0"/>
      <w:marTop w:val="0"/>
      <w:marBottom w:val="0"/>
      <w:divBdr>
        <w:top w:val="none" w:sz="0" w:space="0" w:color="auto"/>
        <w:left w:val="none" w:sz="0" w:space="0" w:color="auto"/>
        <w:bottom w:val="none" w:sz="0" w:space="0" w:color="auto"/>
        <w:right w:val="none" w:sz="0" w:space="0" w:color="auto"/>
      </w:divBdr>
    </w:div>
    <w:div w:id="879974513">
      <w:bodyDiv w:val="1"/>
      <w:marLeft w:val="0"/>
      <w:marRight w:val="0"/>
      <w:marTop w:val="0"/>
      <w:marBottom w:val="0"/>
      <w:divBdr>
        <w:top w:val="none" w:sz="0" w:space="0" w:color="auto"/>
        <w:left w:val="none" w:sz="0" w:space="0" w:color="auto"/>
        <w:bottom w:val="none" w:sz="0" w:space="0" w:color="auto"/>
        <w:right w:val="none" w:sz="0" w:space="0" w:color="auto"/>
      </w:divBdr>
      <w:divsChild>
        <w:div w:id="256519005">
          <w:marLeft w:val="0"/>
          <w:marRight w:val="0"/>
          <w:marTop w:val="0"/>
          <w:marBottom w:val="0"/>
          <w:divBdr>
            <w:top w:val="none" w:sz="0" w:space="0" w:color="auto"/>
            <w:left w:val="none" w:sz="0" w:space="0" w:color="auto"/>
            <w:bottom w:val="none" w:sz="0" w:space="0" w:color="auto"/>
            <w:right w:val="none" w:sz="0" w:space="0" w:color="auto"/>
          </w:divBdr>
          <w:divsChild>
            <w:div w:id="1015233300">
              <w:marLeft w:val="0"/>
              <w:marRight w:val="0"/>
              <w:marTop w:val="0"/>
              <w:marBottom w:val="0"/>
              <w:divBdr>
                <w:top w:val="none" w:sz="0" w:space="0" w:color="auto"/>
                <w:left w:val="none" w:sz="0" w:space="0" w:color="auto"/>
                <w:bottom w:val="none" w:sz="0" w:space="0" w:color="auto"/>
                <w:right w:val="none" w:sz="0" w:space="0" w:color="auto"/>
              </w:divBdr>
              <w:divsChild>
                <w:div w:id="1315836764">
                  <w:marLeft w:val="0"/>
                  <w:marRight w:val="0"/>
                  <w:marTop w:val="0"/>
                  <w:marBottom w:val="0"/>
                  <w:divBdr>
                    <w:top w:val="none" w:sz="0" w:space="0" w:color="auto"/>
                    <w:left w:val="none" w:sz="0" w:space="0" w:color="auto"/>
                    <w:bottom w:val="none" w:sz="0" w:space="0" w:color="auto"/>
                    <w:right w:val="none" w:sz="0" w:space="0" w:color="auto"/>
                  </w:divBdr>
                  <w:divsChild>
                    <w:div w:id="1580598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1083243">
      <w:bodyDiv w:val="1"/>
      <w:marLeft w:val="0"/>
      <w:marRight w:val="0"/>
      <w:marTop w:val="0"/>
      <w:marBottom w:val="0"/>
      <w:divBdr>
        <w:top w:val="none" w:sz="0" w:space="0" w:color="auto"/>
        <w:left w:val="none" w:sz="0" w:space="0" w:color="auto"/>
        <w:bottom w:val="none" w:sz="0" w:space="0" w:color="auto"/>
        <w:right w:val="none" w:sz="0" w:space="0" w:color="auto"/>
      </w:divBdr>
    </w:div>
    <w:div w:id="1041322720">
      <w:bodyDiv w:val="1"/>
      <w:marLeft w:val="0"/>
      <w:marRight w:val="0"/>
      <w:marTop w:val="0"/>
      <w:marBottom w:val="0"/>
      <w:divBdr>
        <w:top w:val="none" w:sz="0" w:space="0" w:color="auto"/>
        <w:left w:val="none" w:sz="0" w:space="0" w:color="auto"/>
        <w:bottom w:val="none" w:sz="0" w:space="0" w:color="auto"/>
        <w:right w:val="none" w:sz="0" w:space="0" w:color="auto"/>
      </w:divBdr>
      <w:divsChild>
        <w:div w:id="265385233">
          <w:marLeft w:val="0"/>
          <w:marRight w:val="0"/>
          <w:marTop w:val="0"/>
          <w:marBottom w:val="0"/>
          <w:divBdr>
            <w:top w:val="none" w:sz="0" w:space="0" w:color="auto"/>
            <w:left w:val="none" w:sz="0" w:space="0" w:color="auto"/>
            <w:bottom w:val="none" w:sz="0" w:space="0" w:color="auto"/>
            <w:right w:val="none" w:sz="0" w:space="0" w:color="auto"/>
          </w:divBdr>
          <w:divsChild>
            <w:div w:id="949582293">
              <w:marLeft w:val="0"/>
              <w:marRight w:val="0"/>
              <w:marTop w:val="0"/>
              <w:marBottom w:val="0"/>
              <w:divBdr>
                <w:top w:val="none" w:sz="0" w:space="0" w:color="auto"/>
                <w:left w:val="none" w:sz="0" w:space="0" w:color="auto"/>
                <w:bottom w:val="none" w:sz="0" w:space="0" w:color="auto"/>
                <w:right w:val="none" w:sz="0" w:space="0" w:color="auto"/>
              </w:divBdr>
              <w:divsChild>
                <w:div w:id="473255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3483438">
      <w:bodyDiv w:val="1"/>
      <w:marLeft w:val="0"/>
      <w:marRight w:val="0"/>
      <w:marTop w:val="0"/>
      <w:marBottom w:val="0"/>
      <w:divBdr>
        <w:top w:val="none" w:sz="0" w:space="0" w:color="auto"/>
        <w:left w:val="none" w:sz="0" w:space="0" w:color="auto"/>
        <w:bottom w:val="none" w:sz="0" w:space="0" w:color="auto"/>
        <w:right w:val="none" w:sz="0" w:space="0" w:color="auto"/>
      </w:divBdr>
      <w:divsChild>
        <w:div w:id="1448743475">
          <w:marLeft w:val="0"/>
          <w:marRight w:val="0"/>
          <w:marTop w:val="0"/>
          <w:marBottom w:val="0"/>
          <w:divBdr>
            <w:top w:val="none" w:sz="0" w:space="0" w:color="auto"/>
            <w:left w:val="none" w:sz="0" w:space="0" w:color="auto"/>
            <w:bottom w:val="none" w:sz="0" w:space="0" w:color="auto"/>
            <w:right w:val="none" w:sz="0" w:space="0" w:color="auto"/>
          </w:divBdr>
          <w:divsChild>
            <w:div w:id="232786350">
              <w:marLeft w:val="0"/>
              <w:marRight w:val="0"/>
              <w:marTop w:val="0"/>
              <w:marBottom w:val="0"/>
              <w:divBdr>
                <w:top w:val="none" w:sz="0" w:space="0" w:color="auto"/>
                <w:left w:val="none" w:sz="0" w:space="0" w:color="auto"/>
                <w:bottom w:val="none" w:sz="0" w:space="0" w:color="auto"/>
                <w:right w:val="none" w:sz="0" w:space="0" w:color="auto"/>
              </w:divBdr>
              <w:divsChild>
                <w:div w:id="1992248652">
                  <w:marLeft w:val="0"/>
                  <w:marRight w:val="0"/>
                  <w:marTop w:val="0"/>
                  <w:marBottom w:val="0"/>
                  <w:divBdr>
                    <w:top w:val="none" w:sz="0" w:space="0" w:color="auto"/>
                    <w:left w:val="none" w:sz="0" w:space="0" w:color="auto"/>
                    <w:bottom w:val="none" w:sz="0" w:space="0" w:color="auto"/>
                    <w:right w:val="none" w:sz="0" w:space="0" w:color="auto"/>
                  </w:divBdr>
                  <w:divsChild>
                    <w:div w:id="723795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95246289">
      <w:bodyDiv w:val="1"/>
      <w:marLeft w:val="0"/>
      <w:marRight w:val="0"/>
      <w:marTop w:val="0"/>
      <w:marBottom w:val="0"/>
      <w:divBdr>
        <w:top w:val="none" w:sz="0" w:space="0" w:color="auto"/>
        <w:left w:val="none" w:sz="0" w:space="0" w:color="auto"/>
        <w:bottom w:val="none" w:sz="0" w:space="0" w:color="auto"/>
        <w:right w:val="none" w:sz="0" w:space="0" w:color="auto"/>
      </w:divBdr>
      <w:divsChild>
        <w:div w:id="1186485496">
          <w:marLeft w:val="0"/>
          <w:marRight w:val="0"/>
          <w:marTop w:val="0"/>
          <w:marBottom w:val="0"/>
          <w:divBdr>
            <w:top w:val="none" w:sz="0" w:space="0" w:color="auto"/>
            <w:left w:val="none" w:sz="0" w:space="0" w:color="auto"/>
            <w:bottom w:val="none" w:sz="0" w:space="0" w:color="auto"/>
            <w:right w:val="none" w:sz="0" w:space="0" w:color="auto"/>
          </w:divBdr>
          <w:divsChild>
            <w:div w:id="1255166820">
              <w:marLeft w:val="0"/>
              <w:marRight w:val="0"/>
              <w:marTop w:val="0"/>
              <w:marBottom w:val="0"/>
              <w:divBdr>
                <w:top w:val="none" w:sz="0" w:space="0" w:color="auto"/>
                <w:left w:val="none" w:sz="0" w:space="0" w:color="auto"/>
                <w:bottom w:val="none" w:sz="0" w:space="0" w:color="auto"/>
                <w:right w:val="none" w:sz="0" w:space="0" w:color="auto"/>
              </w:divBdr>
              <w:divsChild>
                <w:div w:id="2069183968">
                  <w:marLeft w:val="0"/>
                  <w:marRight w:val="0"/>
                  <w:marTop w:val="0"/>
                  <w:marBottom w:val="0"/>
                  <w:divBdr>
                    <w:top w:val="none" w:sz="0" w:space="0" w:color="auto"/>
                    <w:left w:val="none" w:sz="0" w:space="0" w:color="auto"/>
                    <w:bottom w:val="none" w:sz="0" w:space="0" w:color="auto"/>
                    <w:right w:val="none" w:sz="0" w:space="0" w:color="auto"/>
                  </w:divBdr>
                  <w:divsChild>
                    <w:div w:id="435563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00238424">
      <w:bodyDiv w:val="1"/>
      <w:marLeft w:val="0"/>
      <w:marRight w:val="0"/>
      <w:marTop w:val="0"/>
      <w:marBottom w:val="0"/>
      <w:divBdr>
        <w:top w:val="none" w:sz="0" w:space="0" w:color="auto"/>
        <w:left w:val="none" w:sz="0" w:space="0" w:color="auto"/>
        <w:bottom w:val="none" w:sz="0" w:space="0" w:color="auto"/>
        <w:right w:val="none" w:sz="0" w:space="0" w:color="auto"/>
      </w:divBdr>
      <w:divsChild>
        <w:div w:id="1433163664">
          <w:marLeft w:val="0"/>
          <w:marRight w:val="0"/>
          <w:marTop w:val="0"/>
          <w:marBottom w:val="0"/>
          <w:divBdr>
            <w:top w:val="none" w:sz="0" w:space="0" w:color="auto"/>
            <w:left w:val="none" w:sz="0" w:space="0" w:color="auto"/>
            <w:bottom w:val="none" w:sz="0" w:space="0" w:color="auto"/>
            <w:right w:val="none" w:sz="0" w:space="0" w:color="auto"/>
          </w:divBdr>
          <w:divsChild>
            <w:div w:id="2118064752">
              <w:marLeft w:val="0"/>
              <w:marRight w:val="0"/>
              <w:marTop w:val="0"/>
              <w:marBottom w:val="0"/>
              <w:divBdr>
                <w:top w:val="none" w:sz="0" w:space="0" w:color="auto"/>
                <w:left w:val="none" w:sz="0" w:space="0" w:color="auto"/>
                <w:bottom w:val="none" w:sz="0" w:space="0" w:color="auto"/>
                <w:right w:val="none" w:sz="0" w:space="0" w:color="auto"/>
              </w:divBdr>
              <w:divsChild>
                <w:div w:id="1402173585">
                  <w:marLeft w:val="0"/>
                  <w:marRight w:val="0"/>
                  <w:marTop w:val="0"/>
                  <w:marBottom w:val="0"/>
                  <w:divBdr>
                    <w:top w:val="none" w:sz="0" w:space="0" w:color="auto"/>
                    <w:left w:val="none" w:sz="0" w:space="0" w:color="auto"/>
                    <w:bottom w:val="none" w:sz="0" w:space="0" w:color="auto"/>
                    <w:right w:val="none" w:sz="0" w:space="0" w:color="auto"/>
                  </w:divBdr>
                  <w:divsChild>
                    <w:div w:id="726950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95948265">
      <w:bodyDiv w:val="1"/>
      <w:marLeft w:val="0"/>
      <w:marRight w:val="0"/>
      <w:marTop w:val="0"/>
      <w:marBottom w:val="0"/>
      <w:divBdr>
        <w:top w:val="none" w:sz="0" w:space="0" w:color="auto"/>
        <w:left w:val="none" w:sz="0" w:space="0" w:color="auto"/>
        <w:bottom w:val="none" w:sz="0" w:space="0" w:color="auto"/>
        <w:right w:val="none" w:sz="0" w:space="0" w:color="auto"/>
      </w:divBdr>
    </w:div>
    <w:div w:id="1651472095">
      <w:bodyDiv w:val="1"/>
      <w:marLeft w:val="0"/>
      <w:marRight w:val="0"/>
      <w:marTop w:val="0"/>
      <w:marBottom w:val="0"/>
      <w:divBdr>
        <w:top w:val="none" w:sz="0" w:space="0" w:color="auto"/>
        <w:left w:val="none" w:sz="0" w:space="0" w:color="auto"/>
        <w:bottom w:val="none" w:sz="0" w:space="0" w:color="auto"/>
        <w:right w:val="none" w:sz="0" w:space="0" w:color="auto"/>
      </w:divBdr>
      <w:divsChild>
        <w:div w:id="842891028">
          <w:marLeft w:val="0"/>
          <w:marRight w:val="0"/>
          <w:marTop w:val="0"/>
          <w:marBottom w:val="0"/>
          <w:divBdr>
            <w:top w:val="none" w:sz="0" w:space="0" w:color="auto"/>
            <w:left w:val="none" w:sz="0" w:space="0" w:color="auto"/>
            <w:bottom w:val="none" w:sz="0" w:space="0" w:color="auto"/>
            <w:right w:val="none" w:sz="0" w:space="0" w:color="auto"/>
          </w:divBdr>
          <w:divsChild>
            <w:div w:id="1022783007">
              <w:marLeft w:val="0"/>
              <w:marRight w:val="0"/>
              <w:marTop w:val="0"/>
              <w:marBottom w:val="0"/>
              <w:divBdr>
                <w:top w:val="none" w:sz="0" w:space="0" w:color="auto"/>
                <w:left w:val="none" w:sz="0" w:space="0" w:color="auto"/>
                <w:bottom w:val="none" w:sz="0" w:space="0" w:color="auto"/>
                <w:right w:val="none" w:sz="0" w:space="0" w:color="auto"/>
              </w:divBdr>
              <w:divsChild>
                <w:div w:id="565603497">
                  <w:marLeft w:val="0"/>
                  <w:marRight w:val="0"/>
                  <w:marTop w:val="0"/>
                  <w:marBottom w:val="0"/>
                  <w:divBdr>
                    <w:top w:val="none" w:sz="0" w:space="0" w:color="auto"/>
                    <w:left w:val="none" w:sz="0" w:space="0" w:color="auto"/>
                    <w:bottom w:val="none" w:sz="0" w:space="0" w:color="auto"/>
                    <w:right w:val="none" w:sz="0" w:space="0" w:color="auto"/>
                  </w:divBdr>
                  <w:divsChild>
                    <w:div w:id="1622027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63640817">
      <w:bodyDiv w:val="1"/>
      <w:marLeft w:val="0"/>
      <w:marRight w:val="0"/>
      <w:marTop w:val="0"/>
      <w:marBottom w:val="0"/>
      <w:divBdr>
        <w:top w:val="none" w:sz="0" w:space="0" w:color="auto"/>
        <w:left w:val="none" w:sz="0" w:space="0" w:color="auto"/>
        <w:bottom w:val="none" w:sz="0" w:space="0" w:color="auto"/>
        <w:right w:val="none" w:sz="0" w:space="0" w:color="auto"/>
      </w:divBdr>
      <w:divsChild>
        <w:div w:id="554700253">
          <w:marLeft w:val="0"/>
          <w:marRight w:val="0"/>
          <w:marTop w:val="0"/>
          <w:marBottom w:val="0"/>
          <w:divBdr>
            <w:top w:val="none" w:sz="0" w:space="0" w:color="auto"/>
            <w:left w:val="none" w:sz="0" w:space="0" w:color="auto"/>
            <w:bottom w:val="none" w:sz="0" w:space="0" w:color="auto"/>
            <w:right w:val="none" w:sz="0" w:space="0" w:color="auto"/>
          </w:divBdr>
          <w:divsChild>
            <w:div w:id="1345012241">
              <w:marLeft w:val="0"/>
              <w:marRight w:val="0"/>
              <w:marTop w:val="0"/>
              <w:marBottom w:val="0"/>
              <w:divBdr>
                <w:top w:val="none" w:sz="0" w:space="0" w:color="auto"/>
                <w:left w:val="none" w:sz="0" w:space="0" w:color="auto"/>
                <w:bottom w:val="none" w:sz="0" w:space="0" w:color="auto"/>
                <w:right w:val="none" w:sz="0" w:space="0" w:color="auto"/>
              </w:divBdr>
              <w:divsChild>
                <w:div w:id="1495606680">
                  <w:marLeft w:val="0"/>
                  <w:marRight w:val="0"/>
                  <w:marTop w:val="0"/>
                  <w:marBottom w:val="0"/>
                  <w:divBdr>
                    <w:top w:val="none" w:sz="0" w:space="0" w:color="auto"/>
                    <w:left w:val="none" w:sz="0" w:space="0" w:color="auto"/>
                    <w:bottom w:val="none" w:sz="0" w:space="0" w:color="auto"/>
                    <w:right w:val="none" w:sz="0" w:space="0" w:color="auto"/>
                  </w:divBdr>
                  <w:divsChild>
                    <w:div w:id="717584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3548477">
      <w:bodyDiv w:val="1"/>
      <w:marLeft w:val="0"/>
      <w:marRight w:val="0"/>
      <w:marTop w:val="0"/>
      <w:marBottom w:val="0"/>
      <w:divBdr>
        <w:top w:val="none" w:sz="0" w:space="0" w:color="auto"/>
        <w:left w:val="none" w:sz="0" w:space="0" w:color="auto"/>
        <w:bottom w:val="none" w:sz="0" w:space="0" w:color="auto"/>
        <w:right w:val="none" w:sz="0" w:space="0" w:color="auto"/>
      </w:divBdr>
      <w:divsChild>
        <w:div w:id="1994748909">
          <w:marLeft w:val="0"/>
          <w:marRight w:val="0"/>
          <w:marTop w:val="0"/>
          <w:marBottom w:val="0"/>
          <w:divBdr>
            <w:top w:val="none" w:sz="0" w:space="0" w:color="auto"/>
            <w:left w:val="none" w:sz="0" w:space="0" w:color="auto"/>
            <w:bottom w:val="none" w:sz="0" w:space="0" w:color="auto"/>
            <w:right w:val="none" w:sz="0" w:space="0" w:color="auto"/>
          </w:divBdr>
          <w:divsChild>
            <w:div w:id="2086412960">
              <w:marLeft w:val="0"/>
              <w:marRight w:val="0"/>
              <w:marTop w:val="0"/>
              <w:marBottom w:val="0"/>
              <w:divBdr>
                <w:top w:val="none" w:sz="0" w:space="0" w:color="auto"/>
                <w:left w:val="none" w:sz="0" w:space="0" w:color="auto"/>
                <w:bottom w:val="none" w:sz="0" w:space="0" w:color="auto"/>
                <w:right w:val="none" w:sz="0" w:space="0" w:color="auto"/>
              </w:divBdr>
              <w:divsChild>
                <w:div w:id="637535943">
                  <w:marLeft w:val="0"/>
                  <w:marRight w:val="0"/>
                  <w:marTop w:val="0"/>
                  <w:marBottom w:val="0"/>
                  <w:divBdr>
                    <w:top w:val="none" w:sz="0" w:space="0" w:color="auto"/>
                    <w:left w:val="none" w:sz="0" w:space="0" w:color="auto"/>
                    <w:bottom w:val="none" w:sz="0" w:space="0" w:color="auto"/>
                    <w:right w:val="none" w:sz="0" w:space="0" w:color="auto"/>
                  </w:divBdr>
                  <w:divsChild>
                    <w:div w:id="20710734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8555929">
      <w:bodyDiv w:val="1"/>
      <w:marLeft w:val="0"/>
      <w:marRight w:val="0"/>
      <w:marTop w:val="0"/>
      <w:marBottom w:val="0"/>
      <w:divBdr>
        <w:top w:val="none" w:sz="0" w:space="0" w:color="auto"/>
        <w:left w:val="none" w:sz="0" w:space="0" w:color="auto"/>
        <w:bottom w:val="none" w:sz="0" w:space="0" w:color="auto"/>
        <w:right w:val="none" w:sz="0" w:space="0" w:color="auto"/>
      </w:divBdr>
      <w:divsChild>
        <w:div w:id="1472599298">
          <w:marLeft w:val="0"/>
          <w:marRight w:val="0"/>
          <w:marTop w:val="0"/>
          <w:marBottom w:val="0"/>
          <w:divBdr>
            <w:top w:val="none" w:sz="0" w:space="0" w:color="auto"/>
            <w:left w:val="none" w:sz="0" w:space="0" w:color="auto"/>
            <w:bottom w:val="none" w:sz="0" w:space="0" w:color="auto"/>
            <w:right w:val="none" w:sz="0" w:space="0" w:color="auto"/>
          </w:divBdr>
          <w:divsChild>
            <w:div w:id="2115250998">
              <w:marLeft w:val="0"/>
              <w:marRight w:val="0"/>
              <w:marTop w:val="0"/>
              <w:marBottom w:val="0"/>
              <w:divBdr>
                <w:top w:val="none" w:sz="0" w:space="0" w:color="auto"/>
                <w:left w:val="none" w:sz="0" w:space="0" w:color="auto"/>
                <w:bottom w:val="none" w:sz="0" w:space="0" w:color="auto"/>
                <w:right w:val="none" w:sz="0" w:space="0" w:color="auto"/>
              </w:divBdr>
              <w:divsChild>
                <w:div w:id="1916431881">
                  <w:marLeft w:val="0"/>
                  <w:marRight w:val="0"/>
                  <w:marTop w:val="0"/>
                  <w:marBottom w:val="0"/>
                  <w:divBdr>
                    <w:top w:val="none" w:sz="0" w:space="0" w:color="auto"/>
                    <w:left w:val="none" w:sz="0" w:space="0" w:color="auto"/>
                    <w:bottom w:val="none" w:sz="0" w:space="0" w:color="auto"/>
                    <w:right w:val="none" w:sz="0" w:space="0" w:color="auto"/>
                  </w:divBdr>
                  <w:divsChild>
                    <w:div w:id="846402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83991703">
      <w:bodyDiv w:val="1"/>
      <w:marLeft w:val="0"/>
      <w:marRight w:val="0"/>
      <w:marTop w:val="0"/>
      <w:marBottom w:val="0"/>
      <w:divBdr>
        <w:top w:val="none" w:sz="0" w:space="0" w:color="auto"/>
        <w:left w:val="none" w:sz="0" w:space="0" w:color="auto"/>
        <w:bottom w:val="none" w:sz="0" w:space="0" w:color="auto"/>
        <w:right w:val="none" w:sz="0" w:space="0" w:color="auto"/>
      </w:divBdr>
      <w:divsChild>
        <w:div w:id="1850026867">
          <w:marLeft w:val="0"/>
          <w:marRight w:val="0"/>
          <w:marTop w:val="0"/>
          <w:marBottom w:val="0"/>
          <w:divBdr>
            <w:top w:val="none" w:sz="0" w:space="0" w:color="auto"/>
            <w:left w:val="none" w:sz="0" w:space="0" w:color="auto"/>
            <w:bottom w:val="none" w:sz="0" w:space="0" w:color="auto"/>
            <w:right w:val="none" w:sz="0" w:space="0" w:color="auto"/>
          </w:divBdr>
          <w:divsChild>
            <w:div w:id="574435638">
              <w:marLeft w:val="0"/>
              <w:marRight w:val="0"/>
              <w:marTop w:val="0"/>
              <w:marBottom w:val="0"/>
              <w:divBdr>
                <w:top w:val="none" w:sz="0" w:space="0" w:color="auto"/>
                <w:left w:val="none" w:sz="0" w:space="0" w:color="auto"/>
                <w:bottom w:val="none" w:sz="0" w:space="0" w:color="auto"/>
                <w:right w:val="none" w:sz="0" w:space="0" w:color="auto"/>
              </w:divBdr>
              <w:divsChild>
                <w:div w:id="280384882">
                  <w:marLeft w:val="0"/>
                  <w:marRight w:val="0"/>
                  <w:marTop w:val="0"/>
                  <w:marBottom w:val="0"/>
                  <w:divBdr>
                    <w:top w:val="none" w:sz="0" w:space="0" w:color="auto"/>
                    <w:left w:val="none" w:sz="0" w:space="0" w:color="auto"/>
                    <w:bottom w:val="none" w:sz="0" w:space="0" w:color="auto"/>
                    <w:right w:val="none" w:sz="0" w:space="0" w:color="auto"/>
                  </w:divBdr>
                  <w:divsChild>
                    <w:div w:id="5637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emf"/><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TotalTime>
  <Pages>2</Pages>
  <Words>550</Words>
  <Characters>3140</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Ema Guseva</dc:creator>
  <cp:keywords/>
  <dc:description/>
  <cp:lastModifiedBy>Ema Guseva</cp:lastModifiedBy>
  <cp:revision>3</cp:revision>
  <dcterms:created xsi:type="dcterms:W3CDTF">2020-10-26T16:47:00Z</dcterms:created>
  <dcterms:modified xsi:type="dcterms:W3CDTF">2020-10-26T17:13:00Z</dcterms:modified>
</cp:coreProperties>
</file>