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60DAB759" w:rsidR="007E7175" w:rsidRDefault="007E7175" w:rsidP="00BB0057">
      <w:pPr>
        <w:jc w:val="center"/>
      </w:pPr>
      <w:r w:rsidRPr="00BB0057">
        <w:rPr>
          <w:sz w:val="28"/>
          <w:szCs w:val="28"/>
        </w:rPr>
        <w:t xml:space="preserve">Summary of </w:t>
      </w:r>
      <w:r w:rsidR="00BB0057" w:rsidRPr="00BB0057">
        <w:rPr>
          <w:color w:val="000000"/>
          <w:sz w:val="28"/>
          <w:szCs w:val="28"/>
          <w:shd w:val="clear" w:color="auto" w:fill="FFFFFF"/>
        </w:rPr>
        <w:t>Raad voor de leefomgeving en inrastructuur</w:t>
      </w:r>
      <w:r w:rsidR="00BB0057">
        <w:rPr>
          <w:sz w:val="28"/>
          <w:szCs w:val="28"/>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061E8154" w14:textId="38BF78FE" w:rsidR="001C2693" w:rsidRDefault="006213F0" w:rsidP="00ED74B1">
      <w:pPr>
        <w:spacing w:line="276" w:lineRule="auto"/>
        <w:jc w:val="both"/>
      </w:pPr>
      <w:r>
        <w:rPr>
          <w:lang w:val="en-US"/>
        </w:rPr>
        <w:t xml:space="preserve">This open letter attempts to answer the question about which government measures will be most aligned with a green recovery, supporting both economic recovery and the sustainability transition. The main argument is that there is no tension between these two goals as they both reinforce one another. The letter first sets the background by naming the current infrastructure problems in the Netherlands and listing the changes that have come about as a result of COVID-19. Then, it explores three options for policy makers: status quo, pause sustainability transition projects and intensify sustainability transition. </w:t>
      </w:r>
      <w:r w:rsidR="001A0451">
        <w:rPr>
          <w:lang w:val="en-US"/>
        </w:rPr>
        <w:t>Finally, it</w:t>
      </w:r>
      <w:r>
        <w:rPr>
          <w:lang w:val="en-US"/>
        </w:rPr>
        <w:t xml:space="preserve"> advocates to pause sustainability transition projects in </w:t>
      </w:r>
      <w:r w:rsidR="006E444C">
        <w:rPr>
          <w:lang w:val="en-US"/>
        </w:rPr>
        <w:t>mobility and tourism, while engag</w:t>
      </w:r>
      <w:r w:rsidR="001A0451">
        <w:rPr>
          <w:lang w:val="en-US"/>
        </w:rPr>
        <w:t>ing</w:t>
      </w:r>
      <w:r w:rsidR="006E444C">
        <w:rPr>
          <w:lang w:val="en-US"/>
        </w:rPr>
        <w:t xml:space="preserve"> </w:t>
      </w:r>
      <w:r w:rsidR="001A0451">
        <w:rPr>
          <w:lang w:val="en-US"/>
        </w:rPr>
        <w:t xml:space="preserve">other sectors </w:t>
      </w:r>
      <w:r w:rsidR="006E444C">
        <w:rPr>
          <w:lang w:val="en-US"/>
        </w:rPr>
        <w:t xml:space="preserve">in intensifying the sustainability transition. A list of specific measures is overviewed in each sector. </w:t>
      </w:r>
    </w:p>
    <w:p w14:paraId="6B2CE21F" w14:textId="33EBBD11" w:rsidR="007E7175" w:rsidRDefault="007E7175" w:rsidP="007E7175">
      <w:pPr>
        <w:rPr>
          <w:b/>
          <w:bCs/>
        </w:rPr>
      </w:pPr>
    </w:p>
    <w:p w14:paraId="75C10E1D" w14:textId="3A22B1E9" w:rsidR="005109D3" w:rsidRDefault="005109D3" w:rsidP="007E7175">
      <w:pPr>
        <w:spacing w:line="276" w:lineRule="auto"/>
        <w:jc w:val="both"/>
        <w:rPr>
          <w:lang w:val="en-US"/>
        </w:rPr>
      </w:pPr>
      <w:r>
        <w:rPr>
          <w:b/>
          <w:bCs/>
          <w:lang w:val="en-US"/>
        </w:rPr>
        <w:t>Implications for infrastructure</w:t>
      </w:r>
      <w:r w:rsidR="007E7175" w:rsidRPr="007E7175">
        <w:rPr>
          <w:b/>
          <w:bCs/>
        </w:rPr>
        <w:t xml:space="preserve"> </w:t>
      </w:r>
      <w:r w:rsidR="007E7175" w:rsidRPr="007E7175">
        <w:rPr>
          <w:b/>
          <w:bCs/>
        </w:rPr>
        <w:tab/>
      </w:r>
      <w:r w:rsidR="007E7175">
        <w:br/>
      </w:r>
      <w:r w:rsidR="006E444C">
        <w:rPr>
          <w:lang w:val="en-US"/>
        </w:rPr>
        <w:t>There are very specific policy recommendations for housing, energy, mobility, aviation, maritime transport and infrastructure restoration. In addition, the investment in sustainable earning models is stressed, which strengthen the economy in the long-term</w:t>
      </w:r>
      <w:r w:rsidR="001A0451">
        <w:rPr>
          <w:lang w:val="en-US"/>
        </w:rPr>
        <w:t xml:space="preserve"> as well as an equal distribution of measures in all regions.</w:t>
      </w:r>
    </w:p>
    <w:p w14:paraId="02D96421" w14:textId="77777777" w:rsidR="005109D3" w:rsidRDefault="005109D3" w:rsidP="007E7175">
      <w:pPr>
        <w:spacing w:line="276" w:lineRule="auto"/>
        <w:jc w:val="both"/>
        <w:rPr>
          <w:lang w:val="en-US"/>
        </w:rPr>
      </w:pPr>
    </w:p>
    <w:p w14:paraId="1E24BFF3" w14:textId="77777777" w:rsidR="005109D3" w:rsidRPr="005109D3" w:rsidRDefault="005109D3" w:rsidP="005109D3">
      <w:pPr>
        <w:rPr>
          <w:b/>
          <w:bCs/>
          <w:lang w:val="en-US"/>
        </w:rPr>
      </w:pPr>
      <w:r>
        <w:rPr>
          <w:b/>
          <w:bCs/>
          <w:lang w:val="en-US"/>
        </w:rPr>
        <w:t>Stock-and-flow diagram</w:t>
      </w:r>
    </w:p>
    <w:p w14:paraId="7D5FDE01" w14:textId="77777777" w:rsidR="004845CC" w:rsidRDefault="006E444C" w:rsidP="005109D3">
      <w:pPr>
        <w:spacing w:line="276" w:lineRule="auto"/>
        <w:jc w:val="both"/>
        <w:rPr>
          <w:lang w:val="en-US"/>
        </w:rPr>
      </w:pPr>
      <w:r>
        <w:rPr>
          <w:lang w:val="en-US"/>
        </w:rPr>
        <w:t xml:space="preserve">The model narrates the story of the interrelationships between sustainability transition projects (which can also be thought of as ‘green policies’) and economic growth, mediated by public funds and natural resource quality. Since the letter argues for policy approaches which may impact sustainability projects at a different time in their progress, a distinguishment is made between proposed, running and completed projects. </w:t>
      </w:r>
    </w:p>
    <w:p w14:paraId="3A824D52" w14:textId="77777777" w:rsidR="004845CC" w:rsidRDefault="004845CC" w:rsidP="005109D3">
      <w:pPr>
        <w:spacing w:line="276" w:lineRule="auto"/>
        <w:jc w:val="both"/>
        <w:rPr>
          <w:lang w:val="en-US"/>
        </w:rPr>
      </w:pPr>
    </w:p>
    <w:p w14:paraId="40E8A8F8" w14:textId="601DD3A8" w:rsidR="004845CC" w:rsidRDefault="008A1A62" w:rsidP="005109D3">
      <w:pPr>
        <w:spacing w:line="276" w:lineRule="auto"/>
        <w:jc w:val="both"/>
        <w:rPr>
          <w:lang w:val="en-US"/>
        </w:rPr>
      </w:pPr>
      <w:r>
        <w:rPr>
          <w:lang w:val="en-US"/>
        </w:rPr>
        <w:t xml:space="preserve">Completed projects positive affect Dutch natural resource quality, i.e. they reflect well on the natural environment (climate, biodiversity, soil etc.) Further, as argued by the paper, the state of Dutch natural resource quality </w:t>
      </w:r>
      <w:r w:rsidR="004845CC">
        <w:rPr>
          <w:lang w:val="en-US"/>
        </w:rPr>
        <w:t xml:space="preserve">has a delayed effect on the </w:t>
      </w:r>
      <w:r>
        <w:rPr>
          <w:lang w:val="en-US"/>
        </w:rPr>
        <w:t>Dutch GDP growth rate</w:t>
      </w:r>
      <w:r w:rsidR="004845CC">
        <w:rPr>
          <w:lang w:val="en-US"/>
        </w:rPr>
        <w:t>. In turn, the state of the economy, or Dutch GDP growth rate drives Public income through taxation and Government willingness to invest in green recovery policies. Public income increases Public funds and subsequently Public expenditures</w:t>
      </w:r>
      <w:r w:rsidR="004A19B3">
        <w:rPr>
          <w:lang w:val="en-US"/>
        </w:rPr>
        <w:t>.</w:t>
      </w:r>
    </w:p>
    <w:p w14:paraId="78E3DFA0" w14:textId="77777777" w:rsidR="004845CC" w:rsidRDefault="004845CC" w:rsidP="005109D3">
      <w:pPr>
        <w:spacing w:line="276" w:lineRule="auto"/>
        <w:jc w:val="both"/>
        <w:rPr>
          <w:lang w:val="en-US"/>
        </w:rPr>
      </w:pPr>
    </w:p>
    <w:p w14:paraId="51038972" w14:textId="40023C8A" w:rsidR="005109D3" w:rsidRPr="00BD41CE" w:rsidRDefault="004845CC" w:rsidP="00BD41CE">
      <w:pPr>
        <w:spacing w:line="276" w:lineRule="auto"/>
        <w:jc w:val="both"/>
        <w:rPr>
          <w:lang w:val="en-US"/>
        </w:rPr>
      </w:pPr>
      <w:r>
        <w:rPr>
          <w:lang w:val="en-US"/>
        </w:rPr>
        <w:t xml:space="preserve">Similarly, Public funds and Change in natural resource quality also affect </w:t>
      </w:r>
      <w:r>
        <w:rPr>
          <w:lang w:val="en-US"/>
        </w:rPr>
        <w:t>Government willingness to invest in green recovery policies</w:t>
      </w:r>
      <w:r>
        <w:rPr>
          <w:lang w:val="en-US"/>
        </w:rPr>
        <w:t xml:space="preserve">, which can be emphasized as the central variable in the model. As such, it is an arrayed variable as it aims to capture the government’s overall attitude to sustainability projects along their progress timeline, including the willingness to: (1) accept new projects, (2) intensify completion of running projects and (3) pause completion of running projects. Notably, the </w:t>
      </w:r>
      <w:r>
        <w:rPr>
          <w:lang w:val="en-US"/>
        </w:rPr>
        <w:t>Government willingness to invest in green recovery policies</w:t>
      </w:r>
      <w:r>
        <w:rPr>
          <w:lang w:val="en-US"/>
        </w:rPr>
        <w:t xml:space="preserve"> is </w:t>
      </w:r>
      <w:r w:rsidR="00BD41CE">
        <w:rPr>
          <w:lang w:val="en-US"/>
        </w:rPr>
        <w:t>influenced by three different sources of information:</w:t>
      </w:r>
      <w:r>
        <w:rPr>
          <w:lang w:val="en-US"/>
        </w:rPr>
        <w:t xml:space="preserve"> </w:t>
      </w:r>
      <w:r>
        <w:rPr>
          <w:lang w:val="en-US"/>
        </w:rPr>
        <w:t>Change in natural resource quality</w:t>
      </w:r>
      <w:r>
        <w:rPr>
          <w:lang w:val="en-US"/>
        </w:rPr>
        <w:t xml:space="preserve">, Anticipated change </w:t>
      </w:r>
      <w:r w:rsidR="00BD41CE">
        <w:rPr>
          <w:lang w:val="en-US"/>
        </w:rPr>
        <w:t>in GDP growth rate and Public funds. It then goes on to affect project acceptance and completion</w:t>
      </w:r>
      <w:r w:rsidR="004A19B3">
        <w:rPr>
          <w:lang w:val="en-US"/>
        </w:rPr>
        <w:t xml:space="preserve">, ultimately </w:t>
      </w:r>
      <w:r w:rsidR="004A19B3">
        <w:rPr>
          <w:lang w:val="en-US"/>
        </w:rPr>
        <w:t>affect</w:t>
      </w:r>
      <w:r w:rsidR="004A19B3">
        <w:rPr>
          <w:lang w:val="en-US"/>
        </w:rPr>
        <w:t>ing</w:t>
      </w:r>
      <w:r w:rsidR="004A19B3">
        <w:rPr>
          <w:lang w:val="en-US"/>
        </w:rPr>
        <w:t xml:space="preserve"> the Change in GDP growth rate</w:t>
      </w:r>
      <w:r w:rsidR="004A19B3">
        <w:rPr>
          <w:lang w:val="en-US"/>
        </w:rPr>
        <w:t>.</w:t>
      </w:r>
      <w:r w:rsidR="005109D3">
        <w:br w:type="page"/>
      </w:r>
    </w:p>
    <w:p w14:paraId="58A20538" w14:textId="77144883" w:rsidR="005109D3" w:rsidRDefault="004A19B3" w:rsidP="005109D3">
      <w:pPr>
        <w:spacing w:line="276" w:lineRule="auto"/>
        <w:jc w:val="center"/>
      </w:pPr>
      <w:r w:rsidRPr="004A19B3">
        <w:lastRenderedPageBreak/>
        <w:drawing>
          <wp:inline distT="0" distB="0" distL="0" distR="0" wp14:anchorId="602EB14A" wp14:editId="557E82D2">
            <wp:extent cx="8574951" cy="4732384"/>
            <wp:effectExtent l="0" t="0" r="158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rot="16200000">
                      <a:off x="0" y="0"/>
                      <a:ext cx="8599770" cy="4746081"/>
                    </a:xfrm>
                    <a:prstGeom prst="rect">
                      <a:avLst/>
                    </a:prstGeom>
                  </pic:spPr>
                </pic:pic>
              </a:graphicData>
            </a:graphic>
          </wp:inline>
        </w:drawing>
      </w:r>
    </w:p>
    <w:p w14:paraId="764D0F49" w14:textId="742BC179"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w:t>
      </w:r>
      <w:r>
        <w:t xml:space="preserve">based on </w:t>
      </w:r>
      <w:proofErr w:type="spellStart"/>
      <w:r w:rsidRPr="005109D3">
        <w:rPr>
          <w:shd w:val="clear" w:color="auto" w:fill="FFFFFF"/>
        </w:rPr>
        <w:t>Raad</w:t>
      </w:r>
      <w:proofErr w:type="spellEnd"/>
      <w:r w:rsidRPr="005109D3">
        <w:rPr>
          <w:shd w:val="clear" w:color="auto" w:fill="FFFFFF"/>
        </w:rPr>
        <w:t xml:space="preserve"> </w:t>
      </w:r>
      <w:proofErr w:type="spellStart"/>
      <w:r w:rsidRPr="005109D3">
        <w:rPr>
          <w:shd w:val="clear" w:color="auto" w:fill="FFFFFF"/>
        </w:rPr>
        <w:t>voor</w:t>
      </w:r>
      <w:proofErr w:type="spellEnd"/>
      <w:r w:rsidRPr="005109D3">
        <w:rPr>
          <w:shd w:val="clear" w:color="auto" w:fill="FFFFFF"/>
        </w:rPr>
        <w:t xml:space="preserve"> de </w:t>
      </w:r>
      <w:proofErr w:type="spellStart"/>
      <w:r w:rsidRPr="005109D3">
        <w:rPr>
          <w:shd w:val="clear" w:color="auto" w:fill="FFFFFF"/>
        </w:rPr>
        <w:t>leefomgeving</w:t>
      </w:r>
      <w:proofErr w:type="spellEnd"/>
      <w:r w:rsidRPr="005109D3">
        <w:rPr>
          <w:shd w:val="clear" w:color="auto" w:fill="FFFFFF"/>
        </w:rPr>
        <w:t xml:space="preserve"> </w:t>
      </w:r>
      <w:proofErr w:type="spellStart"/>
      <w:r w:rsidRPr="005109D3">
        <w:rPr>
          <w:shd w:val="clear" w:color="auto" w:fill="FFFFFF"/>
        </w:rPr>
        <w:t>en</w:t>
      </w:r>
      <w:proofErr w:type="spellEnd"/>
      <w:r w:rsidRPr="005109D3">
        <w:rPr>
          <w:shd w:val="clear" w:color="auto" w:fill="FFFFFF"/>
        </w:rPr>
        <w:t xml:space="preserve"> </w:t>
      </w:r>
      <w:proofErr w:type="spellStart"/>
      <w:r w:rsidRPr="005109D3">
        <w:rPr>
          <w:shd w:val="clear" w:color="auto" w:fill="FFFFFF"/>
        </w:rPr>
        <w:t>inrastructuur</w:t>
      </w:r>
      <w:proofErr w:type="spellEnd"/>
      <w:r>
        <w:t xml:space="preserve"> (2020)</w:t>
      </w:r>
    </w:p>
    <w:p w14:paraId="4DAA27D2" w14:textId="0F1487A4" w:rsidR="00D71721" w:rsidRDefault="001E635A" w:rsidP="001E635A">
      <w:pPr>
        <w:jc w:val="both"/>
        <w:rPr>
          <w:lang w:val="en-US"/>
        </w:rPr>
      </w:pPr>
      <w:r>
        <w:rPr>
          <w:lang w:val="en-US"/>
        </w:rPr>
        <w:lastRenderedPageBreak/>
        <w:t>Apart from the stocks and the central variable (see Table 1)</w:t>
      </w:r>
      <w:r w:rsidR="00D71721">
        <w:rPr>
          <w:lang w:val="en-US"/>
        </w:rPr>
        <w:t>, the most interesting variables in the model are those with “Effect” in their name as they are nonlinear variables attempting to describe the exact nature of the causal relationships (</w:t>
      </w:r>
      <w:r>
        <w:rPr>
          <w:lang w:val="en-US"/>
        </w:rPr>
        <w:t xml:space="preserve">see Table 2).  Notwithstanding the following variables form a parking lot, i.e. they are yet to be included in the model despite being implied in the letter: Public adaptability, Government policy appraisal, (Changing) social norms and behavior. They are representative of public behavior, which is currently out of the scope of this model. </w:t>
      </w:r>
    </w:p>
    <w:p w14:paraId="699DA5B0" w14:textId="77777777" w:rsidR="001E635A" w:rsidRPr="00D71721" w:rsidRDefault="001E635A" w:rsidP="001E635A">
      <w:pPr>
        <w:jc w:val="both"/>
        <w:rPr>
          <w:lang w:val="en-US"/>
        </w:rPr>
      </w:pPr>
    </w:p>
    <w:tbl>
      <w:tblPr>
        <w:tblStyle w:val="TableGrid"/>
        <w:tblW w:w="0" w:type="auto"/>
        <w:tblLook w:val="04A0" w:firstRow="1" w:lastRow="0" w:firstColumn="1" w:lastColumn="0" w:noHBand="0" w:noVBand="1"/>
      </w:tblPr>
      <w:tblGrid>
        <w:gridCol w:w="1838"/>
        <w:gridCol w:w="2920"/>
        <w:gridCol w:w="3601"/>
        <w:gridCol w:w="651"/>
      </w:tblGrid>
      <w:tr w:rsidR="000778AD" w:rsidRPr="000778AD" w14:paraId="09FE6DCA" w14:textId="77777777" w:rsidTr="000778AD">
        <w:tc>
          <w:tcPr>
            <w:tcW w:w="1838" w:type="dxa"/>
          </w:tcPr>
          <w:p w14:paraId="5327A819" w14:textId="47025884"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Variable name</w:t>
            </w:r>
          </w:p>
        </w:tc>
        <w:tc>
          <w:tcPr>
            <w:tcW w:w="2920" w:type="dxa"/>
          </w:tcPr>
          <w:p w14:paraId="3368A80A" w14:textId="6623BBD2"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Description</w:t>
            </w:r>
          </w:p>
        </w:tc>
        <w:tc>
          <w:tcPr>
            <w:tcW w:w="3601" w:type="dxa"/>
          </w:tcPr>
          <w:p w14:paraId="4290E0E8" w14:textId="6453AFBB"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Quote</w:t>
            </w:r>
          </w:p>
        </w:tc>
        <w:tc>
          <w:tcPr>
            <w:tcW w:w="651" w:type="dxa"/>
          </w:tcPr>
          <w:p w14:paraId="5103631F" w14:textId="151E32D5" w:rsidR="00555F9D" w:rsidRPr="000778AD" w:rsidRDefault="00555F9D" w:rsidP="000778AD">
            <w:pPr>
              <w:spacing w:line="276" w:lineRule="auto"/>
              <w:rPr>
                <w:b/>
                <w:bCs/>
                <w:color w:val="000000" w:themeColor="text1"/>
                <w:sz w:val="20"/>
                <w:szCs w:val="20"/>
                <w:lang w:val="en-US"/>
              </w:rPr>
            </w:pPr>
            <w:r w:rsidRPr="000778AD">
              <w:rPr>
                <w:b/>
                <w:bCs/>
                <w:color w:val="000000" w:themeColor="text1"/>
                <w:sz w:val="20"/>
                <w:szCs w:val="20"/>
                <w:lang w:val="en-US"/>
              </w:rPr>
              <w:t>Page</w:t>
            </w:r>
          </w:p>
        </w:tc>
      </w:tr>
      <w:tr w:rsidR="000778AD" w:rsidRPr="000778AD" w14:paraId="0B19D96F" w14:textId="77777777" w:rsidTr="000778AD">
        <w:tc>
          <w:tcPr>
            <w:tcW w:w="1838" w:type="dxa"/>
          </w:tcPr>
          <w:p w14:paraId="00C6837A" w14:textId="4E77CAF5" w:rsidR="00555F9D" w:rsidRPr="000778AD" w:rsidRDefault="00555F9D" w:rsidP="000778AD">
            <w:pPr>
              <w:spacing w:line="276" w:lineRule="auto"/>
              <w:rPr>
                <w:color w:val="000000" w:themeColor="text1"/>
                <w:sz w:val="20"/>
                <w:szCs w:val="20"/>
                <w:lang w:val="en-US"/>
              </w:rPr>
            </w:pPr>
            <w:r w:rsidRPr="000778AD">
              <w:rPr>
                <w:color w:val="000000" w:themeColor="text1"/>
                <w:sz w:val="20"/>
                <w:szCs w:val="20"/>
                <w:lang w:val="en-US"/>
              </w:rPr>
              <w:t>Dutch natural resource quality</w:t>
            </w:r>
          </w:p>
        </w:tc>
        <w:tc>
          <w:tcPr>
            <w:tcW w:w="2920" w:type="dxa"/>
          </w:tcPr>
          <w:p w14:paraId="5AAE8F6C" w14:textId="79270B30" w:rsidR="00555F9D" w:rsidRPr="000778AD" w:rsidRDefault="00555F9D" w:rsidP="000778AD">
            <w:pPr>
              <w:spacing w:line="276" w:lineRule="auto"/>
              <w:rPr>
                <w:color w:val="000000" w:themeColor="text1"/>
                <w:sz w:val="20"/>
                <w:szCs w:val="20"/>
                <w:lang w:val="en-US"/>
              </w:rPr>
            </w:pPr>
            <w:r w:rsidRPr="000778AD">
              <w:rPr>
                <w:color w:val="000000" w:themeColor="text1"/>
                <w:sz w:val="20"/>
                <w:szCs w:val="20"/>
                <w:lang w:val="en-US"/>
              </w:rPr>
              <w:t>An aggregate variable portraying the state of the natural environment</w:t>
            </w:r>
          </w:p>
        </w:tc>
        <w:tc>
          <w:tcPr>
            <w:tcW w:w="3601" w:type="dxa"/>
          </w:tcPr>
          <w:p w14:paraId="667BB6B9" w14:textId="2D658B1F" w:rsidR="00555F9D" w:rsidRPr="000778AD" w:rsidRDefault="00555F9D" w:rsidP="000778AD">
            <w:pPr>
              <w:spacing w:line="276" w:lineRule="auto"/>
              <w:rPr>
                <w:color w:val="000000" w:themeColor="text1"/>
                <w:sz w:val="20"/>
                <w:szCs w:val="20"/>
                <w:lang w:val="en-US"/>
              </w:rPr>
            </w:pPr>
            <w:r w:rsidRPr="000778AD">
              <w:rPr>
                <w:color w:val="000000" w:themeColor="text1"/>
                <w:sz w:val="20"/>
                <w:szCs w:val="20"/>
                <w:lang w:val="en-US"/>
              </w:rPr>
              <w:t xml:space="preserve">We are currently at the limits of what our planet can handle. As a result, the climate is changing, biodiversity is </w:t>
            </w:r>
            <w:r w:rsidR="00EE6037" w:rsidRPr="000778AD">
              <w:rPr>
                <w:color w:val="000000" w:themeColor="text1"/>
                <w:sz w:val="20"/>
                <w:szCs w:val="20"/>
                <w:lang w:val="en-US"/>
              </w:rPr>
              <w:t>declining,</w:t>
            </w:r>
            <w:r w:rsidRPr="000778AD">
              <w:rPr>
                <w:color w:val="000000" w:themeColor="text1"/>
                <w:sz w:val="20"/>
                <w:szCs w:val="20"/>
                <w:lang w:val="en-US"/>
              </w:rPr>
              <w:t xml:space="preserve"> and our raw materials are depleted.</w:t>
            </w:r>
          </w:p>
        </w:tc>
        <w:tc>
          <w:tcPr>
            <w:tcW w:w="651" w:type="dxa"/>
          </w:tcPr>
          <w:p w14:paraId="75C11399" w14:textId="69E519A2" w:rsidR="00555F9D" w:rsidRPr="000778AD" w:rsidRDefault="00555F9D" w:rsidP="000778AD">
            <w:pPr>
              <w:spacing w:line="276" w:lineRule="auto"/>
              <w:rPr>
                <w:color w:val="000000" w:themeColor="text1"/>
                <w:sz w:val="20"/>
                <w:szCs w:val="20"/>
                <w:lang w:val="en-US"/>
              </w:rPr>
            </w:pPr>
            <w:r w:rsidRPr="000778AD">
              <w:rPr>
                <w:color w:val="000000" w:themeColor="text1"/>
                <w:sz w:val="20"/>
                <w:szCs w:val="20"/>
                <w:lang w:val="en-US"/>
              </w:rPr>
              <w:t>3</w:t>
            </w:r>
          </w:p>
        </w:tc>
      </w:tr>
      <w:tr w:rsidR="000778AD" w:rsidRPr="000778AD" w14:paraId="08E85EE2" w14:textId="77777777" w:rsidTr="000778AD">
        <w:tc>
          <w:tcPr>
            <w:tcW w:w="1838" w:type="dxa"/>
          </w:tcPr>
          <w:p w14:paraId="79B72CBF" w14:textId="5049D787" w:rsidR="00555F9D" w:rsidRPr="000778AD" w:rsidRDefault="001A0451" w:rsidP="000778AD">
            <w:pPr>
              <w:spacing w:line="276" w:lineRule="auto"/>
              <w:rPr>
                <w:color w:val="000000" w:themeColor="text1"/>
                <w:sz w:val="20"/>
                <w:szCs w:val="20"/>
                <w:lang w:val="en-US"/>
              </w:rPr>
            </w:pPr>
            <w:r w:rsidRPr="000778AD">
              <w:rPr>
                <w:color w:val="000000" w:themeColor="text1"/>
                <w:sz w:val="20"/>
                <w:szCs w:val="20"/>
                <w:lang w:val="en-US"/>
              </w:rPr>
              <w:t>Government willingness to invest in green recovery</w:t>
            </w:r>
          </w:p>
        </w:tc>
        <w:tc>
          <w:tcPr>
            <w:tcW w:w="2920" w:type="dxa"/>
          </w:tcPr>
          <w:p w14:paraId="033C88C9" w14:textId="0BCB8719" w:rsidR="00555F9D" w:rsidRPr="000778AD" w:rsidRDefault="001A0451" w:rsidP="000778AD">
            <w:pPr>
              <w:spacing w:line="276" w:lineRule="auto"/>
              <w:rPr>
                <w:color w:val="000000" w:themeColor="text1"/>
                <w:sz w:val="20"/>
                <w:szCs w:val="20"/>
                <w:lang w:val="en-US"/>
              </w:rPr>
            </w:pPr>
            <w:r w:rsidRPr="000778AD">
              <w:rPr>
                <w:color w:val="000000" w:themeColor="text1"/>
                <w:sz w:val="20"/>
                <w:szCs w:val="20"/>
                <w:lang w:val="en-US"/>
              </w:rPr>
              <w:t>An arrayed variable depicting the government’s attitude and action in regard to sustainability transition projects</w:t>
            </w:r>
          </w:p>
        </w:tc>
        <w:tc>
          <w:tcPr>
            <w:tcW w:w="3601" w:type="dxa"/>
          </w:tcPr>
          <w:p w14:paraId="19E673F1" w14:textId="799A769C" w:rsidR="00555F9D" w:rsidRPr="000778AD" w:rsidRDefault="001A0451" w:rsidP="000778AD">
            <w:pPr>
              <w:rPr>
                <w:color w:val="000000" w:themeColor="text1"/>
                <w:sz w:val="20"/>
                <w:szCs w:val="20"/>
                <w:lang w:val="en-US"/>
              </w:rPr>
            </w:pPr>
            <w:r w:rsidRPr="000778AD">
              <w:rPr>
                <w:color w:val="000000" w:themeColor="text1"/>
                <w:sz w:val="20"/>
                <w:szCs w:val="20"/>
                <w:lang w:val="en-US"/>
              </w:rPr>
              <w:t>The council sees three action perspectives that the national government can consider with a view to economic recovery and sustainable development.</w:t>
            </w:r>
          </w:p>
        </w:tc>
        <w:tc>
          <w:tcPr>
            <w:tcW w:w="651" w:type="dxa"/>
          </w:tcPr>
          <w:p w14:paraId="445841FD" w14:textId="1A0A8DD2" w:rsidR="00555F9D" w:rsidRPr="000778AD" w:rsidRDefault="001A0451" w:rsidP="000778AD">
            <w:pPr>
              <w:spacing w:line="276" w:lineRule="auto"/>
              <w:rPr>
                <w:color w:val="000000" w:themeColor="text1"/>
                <w:sz w:val="20"/>
                <w:szCs w:val="20"/>
                <w:lang w:val="en-US"/>
              </w:rPr>
            </w:pPr>
            <w:r w:rsidRPr="000778AD">
              <w:rPr>
                <w:color w:val="000000" w:themeColor="text1"/>
                <w:sz w:val="20"/>
                <w:szCs w:val="20"/>
                <w:lang w:val="en-US"/>
              </w:rPr>
              <w:t>7</w:t>
            </w:r>
          </w:p>
        </w:tc>
      </w:tr>
      <w:tr w:rsidR="000778AD" w:rsidRPr="000778AD" w14:paraId="2BC7B179" w14:textId="77777777" w:rsidTr="000778AD">
        <w:tc>
          <w:tcPr>
            <w:tcW w:w="1838" w:type="dxa"/>
          </w:tcPr>
          <w:p w14:paraId="558CB1A8" w14:textId="1960F4FC" w:rsidR="00555F9D" w:rsidRPr="000778AD" w:rsidRDefault="004A19B3" w:rsidP="000778AD">
            <w:pPr>
              <w:spacing w:line="276" w:lineRule="auto"/>
              <w:rPr>
                <w:color w:val="000000" w:themeColor="text1"/>
                <w:sz w:val="20"/>
                <w:szCs w:val="20"/>
                <w:lang w:val="en-US"/>
              </w:rPr>
            </w:pPr>
            <w:r w:rsidRPr="000778AD">
              <w:rPr>
                <w:color w:val="000000" w:themeColor="text1"/>
                <w:sz w:val="20"/>
                <w:szCs w:val="20"/>
                <w:lang w:val="en-US"/>
              </w:rPr>
              <w:t>Public funds</w:t>
            </w:r>
          </w:p>
        </w:tc>
        <w:tc>
          <w:tcPr>
            <w:tcW w:w="2920" w:type="dxa"/>
          </w:tcPr>
          <w:p w14:paraId="118864A8" w14:textId="2059801E" w:rsidR="00555F9D" w:rsidRPr="000778AD" w:rsidRDefault="004A19B3" w:rsidP="000778AD">
            <w:pPr>
              <w:spacing w:line="276" w:lineRule="auto"/>
              <w:rPr>
                <w:color w:val="000000" w:themeColor="text1"/>
                <w:sz w:val="20"/>
                <w:szCs w:val="20"/>
                <w:lang w:val="en-US"/>
              </w:rPr>
            </w:pPr>
            <w:r w:rsidRPr="000778AD">
              <w:rPr>
                <w:color w:val="000000" w:themeColor="text1"/>
                <w:sz w:val="20"/>
                <w:szCs w:val="20"/>
                <w:lang w:val="en-US"/>
              </w:rPr>
              <w:t>Funds to be used for investment in projects</w:t>
            </w:r>
          </w:p>
        </w:tc>
        <w:tc>
          <w:tcPr>
            <w:tcW w:w="3601" w:type="dxa"/>
          </w:tcPr>
          <w:p w14:paraId="01F48738" w14:textId="58835AA9" w:rsidR="00555F9D" w:rsidRPr="000778AD" w:rsidRDefault="004A19B3" w:rsidP="000778AD">
            <w:pPr>
              <w:spacing w:line="276" w:lineRule="auto"/>
              <w:rPr>
                <w:color w:val="000000" w:themeColor="text1"/>
                <w:sz w:val="20"/>
                <w:szCs w:val="20"/>
                <w:lang w:val="en-US"/>
              </w:rPr>
            </w:pPr>
            <w:r w:rsidRPr="000778AD">
              <w:rPr>
                <w:color w:val="000000" w:themeColor="text1"/>
                <w:sz w:val="20"/>
                <w:szCs w:val="20"/>
                <w:lang w:val="en-US"/>
              </w:rPr>
              <w:t>A</w:t>
            </w:r>
            <w:r w:rsidRPr="000778AD">
              <w:rPr>
                <w:color w:val="000000" w:themeColor="text1"/>
                <w:sz w:val="20"/>
                <w:szCs w:val="20"/>
                <w:lang w:val="en-US"/>
              </w:rPr>
              <w:t xml:space="preserve"> successful green recovery policy requires a mix of investments</w:t>
            </w:r>
          </w:p>
        </w:tc>
        <w:tc>
          <w:tcPr>
            <w:tcW w:w="651" w:type="dxa"/>
          </w:tcPr>
          <w:p w14:paraId="388A46B7" w14:textId="3BCDF757" w:rsidR="00555F9D" w:rsidRPr="000778AD" w:rsidRDefault="000778AD" w:rsidP="000778AD">
            <w:pPr>
              <w:spacing w:line="276" w:lineRule="auto"/>
              <w:rPr>
                <w:color w:val="000000" w:themeColor="text1"/>
                <w:sz w:val="20"/>
                <w:szCs w:val="20"/>
                <w:lang w:val="en-US"/>
              </w:rPr>
            </w:pPr>
            <w:r w:rsidRPr="000778AD">
              <w:rPr>
                <w:color w:val="000000" w:themeColor="text1"/>
                <w:sz w:val="20"/>
                <w:szCs w:val="20"/>
                <w:lang w:val="en-US"/>
              </w:rPr>
              <w:t>6</w:t>
            </w:r>
          </w:p>
        </w:tc>
      </w:tr>
      <w:tr w:rsidR="000778AD" w:rsidRPr="000778AD" w14:paraId="126E71EC" w14:textId="77777777" w:rsidTr="000778AD">
        <w:tc>
          <w:tcPr>
            <w:tcW w:w="1838" w:type="dxa"/>
          </w:tcPr>
          <w:p w14:paraId="22FAAE66" w14:textId="1579C4DE" w:rsidR="000778AD" w:rsidRPr="000778AD" w:rsidRDefault="000778AD" w:rsidP="000778AD">
            <w:pPr>
              <w:spacing w:line="276" w:lineRule="auto"/>
              <w:rPr>
                <w:color w:val="000000" w:themeColor="text1"/>
                <w:sz w:val="20"/>
                <w:szCs w:val="20"/>
                <w:lang w:val="en-US"/>
              </w:rPr>
            </w:pPr>
            <w:r w:rsidRPr="000778AD">
              <w:rPr>
                <w:color w:val="000000" w:themeColor="text1"/>
                <w:sz w:val="20"/>
                <w:szCs w:val="20"/>
                <w:lang w:val="en-US"/>
              </w:rPr>
              <w:t>Dutch GDP growth rate</w:t>
            </w:r>
          </w:p>
        </w:tc>
        <w:tc>
          <w:tcPr>
            <w:tcW w:w="2920" w:type="dxa"/>
          </w:tcPr>
          <w:p w14:paraId="060147D0" w14:textId="02BCAC59" w:rsidR="000778AD" w:rsidRPr="000778AD" w:rsidRDefault="000778AD" w:rsidP="000778AD">
            <w:pPr>
              <w:spacing w:line="276" w:lineRule="auto"/>
              <w:rPr>
                <w:color w:val="000000" w:themeColor="text1"/>
                <w:sz w:val="20"/>
                <w:szCs w:val="20"/>
                <w:lang w:val="en-US"/>
              </w:rPr>
            </w:pPr>
            <w:r w:rsidRPr="000778AD">
              <w:rPr>
                <w:color w:val="000000" w:themeColor="text1"/>
                <w:sz w:val="20"/>
                <w:szCs w:val="20"/>
                <w:lang w:val="en-US"/>
              </w:rPr>
              <w:t>The GDP growth rate is an indicator of the Dutch economy</w:t>
            </w:r>
          </w:p>
        </w:tc>
        <w:tc>
          <w:tcPr>
            <w:tcW w:w="3601" w:type="dxa"/>
          </w:tcPr>
          <w:p w14:paraId="7A2CB859" w14:textId="43E2E2F2" w:rsidR="000778AD" w:rsidRPr="000778AD" w:rsidRDefault="000778AD" w:rsidP="000778AD">
            <w:pPr>
              <w:spacing w:line="276" w:lineRule="auto"/>
              <w:rPr>
                <w:color w:val="000000" w:themeColor="text1"/>
                <w:sz w:val="20"/>
                <w:szCs w:val="20"/>
                <w:lang w:val="en-US"/>
              </w:rPr>
            </w:pPr>
            <w:r w:rsidRPr="000778AD">
              <w:rPr>
                <w:color w:val="000000" w:themeColor="text1"/>
                <w:sz w:val="20"/>
                <w:szCs w:val="20"/>
                <w:lang w:val="en-US"/>
              </w:rPr>
              <w:t>The Council realizes that the economic setback that the current crisis is causing in the first place requires effective policy impulses aimed at employment and economic recovery.</w:t>
            </w:r>
          </w:p>
        </w:tc>
        <w:tc>
          <w:tcPr>
            <w:tcW w:w="651" w:type="dxa"/>
          </w:tcPr>
          <w:p w14:paraId="20A91A9B" w14:textId="79E3EA0E" w:rsidR="000778AD" w:rsidRPr="000778AD" w:rsidRDefault="000778AD" w:rsidP="000778AD">
            <w:pPr>
              <w:spacing w:line="276" w:lineRule="auto"/>
              <w:rPr>
                <w:color w:val="000000" w:themeColor="text1"/>
                <w:sz w:val="20"/>
                <w:szCs w:val="20"/>
                <w:lang w:val="en-US"/>
              </w:rPr>
            </w:pPr>
            <w:r w:rsidRPr="000778AD">
              <w:rPr>
                <w:color w:val="000000" w:themeColor="text1"/>
                <w:sz w:val="20"/>
                <w:szCs w:val="20"/>
                <w:lang w:val="en-US"/>
              </w:rPr>
              <w:t>26</w:t>
            </w:r>
          </w:p>
        </w:tc>
      </w:tr>
      <w:tr w:rsidR="000778AD" w:rsidRPr="000778AD" w14:paraId="62D942C1" w14:textId="77777777" w:rsidTr="000778AD">
        <w:tc>
          <w:tcPr>
            <w:tcW w:w="1838" w:type="dxa"/>
          </w:tcPr>
          <w:p w14:paraId="10313D31" w14:textId="38B87561" w:rsidR="000778AD" w:rsidRPr="000778AD" w:rsidRDefault="000778AD" w:rsidP="000778AD">
            <w:pPr>
              <w:spacing w:line="276" w:lineRule="auto"/>
              <w:rPr>
                <w:color w:val="000000" w:themeColor="text1"/>
                <w:sz w:val="20"/>
                <w:szCs w:val="20"/>
                <w:lang w:val="en-US"/>
              </w:rPr>
            </w:pPr>
            <w:r w:rsidRPr="000778AD">
              <w:rPr>
                <w:color w:val="000000" w:themeColor="text1"/>
                <w:sz w:val="20"/>
                <w:szCs w:val="20"/>
                <w:lang w:val="en-US"/>
              </w:rPr>
              <w:t>Number of sustainability projects running in the Netherlands</w:t>
            </w:r>
          </w:p>
        </w:tc>
        <w:tc>
          <w:tcPr>
            <w:tcW w:w="2920" w:type="dxa"/>
          </w:tcPr>
          <w:p w14:paraId="4C052C09" w14:textId="3F710FFB" w:rsidR="000778AD" w:rsidRPr="000778AD" w:rsidRDefault="000778AD" w:rsidP="000778AD">
            <w:pPr>
              <w:spacing w:line="276" w:lineRule="auto"/>
              <w:rPr>
                <w:color w:val="000000" w:themeColor="text1"/>
                <w:sz w:val="20"/>
                <w:szCs w:val="20"/>
                <w:lang w:val="en-US"/>
              </w:rPr>
            </w:pPr>
            <w:r w:rsidRPr="000778AD">
              <w:rPr>
                <w:color w:val="000000" w:themeColor="text1"/>
                <w:sz w:val="20"/>
                <w:szCs w:val="20"/>
                <w:lang w:val="en-US"/>
              </w:rPr>
              <w:t>The number of projects and initiatives already underway for the purpose of fulfilling the SDGs</w:t>
            </w:r>
          </w:p>
        </w:tc>
        <w:tc>
          <w:tcPr>
            <w:tcW w:w="3601" w:type="dxa"/>
          </w:tcPr>
          <w:p w14:paraId="7D7727B0" w14:textId="7BA70FE8" w:rsidR="000778AD" w:rsidRPr="000778AD" w:rsidRDefault="000778AD" w:rsidP="000778AD">
            <w:pPr>
              <w:spacing w:line="276" w:lineRule="auto"/>
              <w:rPr>
                <w:color w:val="000000" w:themeColor="text1"/>
                <w:sz w:val="20"/>
                <w:szCs w:val="20"/>
                <w:lang w:val="en-US"/>
              </w:rPr>
            </w:pPr>
            <w:r w:rsidRPr="000778AD">
              <w:rPr>
                <w:color w:val="000000" w:themeColor="text1"/>
                <w:sz w:val="20"/>
                <w:szCs w:val="20"/>
                <w:lang w:val="en-US"/>
              </w:rPr>
              <w:t>The council therefore calls for the agenda to emerge green from the crisis to be an agenda for the whole of the Netherlands and thus to tie in with the many initiatives already underway by citizens, companies and social institutions.</w:t>
            </w:r>
          </w:p>
        </w:tc>
        <w:tc>
          <w:tcPr>
            <w:tcW w:w="651" w:type="dxa"/>
          </w:tcPr>
          <w:p w14:paraId="5F3A83A5" w14:textId="578E0472" w:rsidR="000778AD" w:rsidRPr="000778AD" w:rsidRDefault="000778AD" w:rsidP="000778AD">
            <w:pPr>
              <w:keepNext/>
              <w:spacing w:line="276" w:lineRule="auto"/>
              <w:rPr>
                <w:color w:val="000000" w:themeColor="text1"/>
                <w:sz w:val="20"/>
                <w:szCs w:val="20"/>
                <w:lang w:val="en-US"/>
              </w:rPr>
            </w:pPr>
            <w:r w:rsidRPr="000778AD">
              <w:rPr>
                <w:color w:val="000000" w:themeColor="text1"/>
                <w:sz w:val="20"/>
                <w:szCs w:val="20"/>
                <w:lang w:val="en-US"/>
              </w:rPr>
              <w:t>27</w:t>
            </w:r>
          </w:p>
        </w:tc>
      </w:tr>
    </w:tbl>
    <w:p w14:paraId="296D28DA" w14:textId="44A24E27" w:rsidR="007E7175" w:rsidRPr="000778AD" w:rsidRDefault="000778AD" w:rsidP="000778AD">
      <w:pPr>
        <w:pStyle w:val="Caption"/>
        <w:rPr>
          <w:color w:val="000000" w:themeColor="text1"/>
          <w:sz w:val="20"/>
          <w:szCs w:val="20"/>
        </w:rPr>
      </w:pPr>
      <w:r>
        <w:t xml:space="preserve">Table </w:t>
      </w:r>
      <w:r>
        <w:fldChar w:fldCharType="begin"/>
      </w:r>
      <w:r>
        <w:instrText xml:space="preserve"> SEQ Table \* ARABIC </w:instrText>
      </w:r>
      <w:r>
        <w:fldChar w:fldCharType="separate"/>
      </w:r>
      <w:r>
        <w:rPr>
          <w:noProof/>
        </w:rPr>
        <w:t>1</w:t>
      </w:r>
      <w:r>
        <w:fldChar w:fldCharType="end"/>
      </w:r>
      <w:r>
        <w:t>. A description of the most important variables in the model.</w:t>
      </w:r>
    </w:p>
    <w:p w14:paraId="432543A2" w14:textId="77777777" w:rsidR="007E7175" w:rsidRPr="000778AD" w:rsidRDefault="007E7175" w:rsidP="007E7175">
      <w:pPr>
        <w:rPr>
          <w:color w:val="000000" w:themeColor="text1"/>
          <w:sz w:val="20"/>
          <w:szCs w:val="20"/>
        </w:rPr>
      </w:pPr>
    </w:p>
    <w:p w14:paraId="1F451CDB" w14:textId="1D76822F" w:rsidR="00ED74B1" w:rsidRPr="000778AD" w:rsidRDefault="00ED74B1" w:rsidP="00ED74B1">
      <w:pPr>
        <w:rPr>
          <w:color w:val="000000" w:themeColor="text1"/>
          <w:sz w:val="20"/>
          <w:szCs w:val="20"/>
        </w:rPr>
      </w:pPr>
    </w:p>
    <w:tbl>
      <w:tblPr>
        <w:tblStyle w:val="TableGrid"/>
        <w:tblW w:w="9067" w:type="dxa"/>
        <w:tblLook w:val="04A0" w:firstRow="1" w:lastRow="0" w:firstColumn="1" w:lastColumn="0" w:noHBand="0" w:noVBand="1"/>
      </w:tblPr>
      <w:tblGrid>
        <w:gridCol w:w="416"/>
        <w:gridCol w:w="997"/>
        <w:gridCol w:w="3118"/>
        <w:gridCol w:w="4536"/>
      </w:tblGrid>
      <w:tr w:rsidR="000778AD" w:rsidRPr="000778AD" w14:paraId="05798EE6" w14:textId="77777777" w:rsidTr="000778AD">
        <w:tc>
          <w:tcPr>
            <w:tcW w:w="416" w:type="dxa"/>
          </w:tcPr>
          <w:p w14:paraId="0136E07B" w14:textId="7A8CE0A9" w:rsidR="005109D3" w:rsidRPr="000778AD" w:rsidRDefault="005109D3" w:rsidP="000778AD">
            <w:pPr>
              <w:jc w:val="center"/>
              <w:rPr>
                <w:b/>
                <w:bCs/>
                <w:color w:val="000000" w:themeColor="text1"/>
                <w:sz w:val="20"/>
                <w:szCs w:val="20"/>
              </w:rPr>
            </w:pPr>
            <w:r w:rsidRPr="000778AD">
              <w:rPr>
                <w:b/>
                <w:bCs/>
                <w:color w:val="000000" w:themeColor="text1"/>
                <w:sz w:val="20"/>
                <w:szCs w:val="20"/>
              </w:rPr>
              <w:t>N.</w:t>
            </w:r>
          </w:p>
        </w:tc>
        <w:tc>
          <w:tcPr>
            <w:tcW w:w="997" w:type="dxa"/>
          </w:tcPr>
          <w:p w14:paraId="314E78B8" w14:textId="16925E9A" w:rsidR="005109D3" w:rsidRPr="000778AD" w:rsidRDefault="005109D3" w:rsidP="000778AD">
            <w:pPr>
              <w:jc w:val="center"/>
              <w:rPr>
                <w:b/>
                <w:bCs/>
                <w:color w:val="000000" w:themeColor="text1"/>
                <w:sz w:val="20"/>
                <w:szCs w:val="20"/>
              </w:rPr>
            </w:pPr>
            <w:r w:rsidRPr="000778AD">
              <w:rPr>
                <w:b/>
                <w:bCs/>
                <w:color w:val="000000" w:themeColor="text1"/>
                <w:sz w:val="20"/>
                <w:szCs w:val="20"/>
              </w:rPr>
              <w:t>Page</w:t>
            </w:r>
          </w:p>
        </w:tc>
        <w:tc>
          <w:tcPr>
            <w:tcW w:w="3118" w:type="dxa"/>
          </w:tcPr>
          <w:p w14:paraId="2A7A00DD"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Quote</w:t>
            </w:r>
          </w:p>
        </w:tc>
        <w:tc>
          <w:tcPr>
            <w:tcW w:w="4536" w:type="dxa"/>
          </w:tcPr>
          <w:p w14:paraId="257FF158"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Causal link</w:t>
            </w:r>
          </w:p>
        </w:tc>
      </w:tr>
      <w:tr w:rsidR="000778AD" w:rsidRPr="000778AD" w14:paraId="49861D0A" w14:textId="77777777" w:rsidTr="000778AD">
        <w:tc>
          <w:tcPr>
            <w:tcW w:w="416" w:type="dxa"/>
          </w:tcPr>
          <w:p w14:paraId="1F85FD86" w14:textId="08F73D43" w:rsidR="005109D3" w:rsidRPr="000778AD" w:rsidRDefault="001A0451" w:rsidP="00ED74B1">
            <w:pPr>
              <w:rPr>
                <w:color w:val="000000" w:themeColor="text1"/>
                <w:sz w:val="20"/>
                <w:szCs w:val="20"/>
                <w:lang w:val="en-US"/>
              </w:rPr>
            </w:pPr>
            <w:r w:rsidRPr="000778AD">
              <w:rPr>
                <w:color w:val="000000" w:themeColor="text1"/>
                <w:sz w:val="20"/>
                <w:szCs w:val="20"/>
                <w:lang w:val="en-US"/>
              </w:rPr>
              <w:t>1</w:t>
            </w:r>
          </w:p>
        </w:tc>
        <w:tc>
          <w:tcPr>
            <w:tcW w:w="997" w:type="dxa"/>
          </w:tcPr>
          <w:p w14:paraId="725BB832" w14:textId="0A0367B7" w:rsidR="005109D3" w:rsidRPr="000778AD" w:rsidRDefault="005109D3" w:rsidP="00ED74B1">
            <w:pPr>
              <w:rPr>
                <w:color w:val="000000" w:themeColor="text1"/>
                <w:sz w:val="20"/>
                <w:szCs w:val="20"/>
              </w:rPr>
            </w:pPr>
            <w:r w:rsidRPr="000778AD">
              <w:rPr>
                <w:color w:val="000000" w:themeColor="text1"/>
                <w:sz w:val="20"/>
                <w:szCs w:val="20"/>
              </w:rPr>
              <w:t>2</w:t>
            </w:r>
          </w:p>
        </w:tc>
        <w:tc>
          <w:tcPr>
            <w:tcW w:w="3118" w:type="dxa"/>
          </w:tcPr>
          <w:p w14:paraId="43B6510C" w14:textId="1A579562" w:rsidR="005109D3" w:rsidRPr="000778AD" w:rsidRDefault="005109D3" w:rsidP="00ED74B1">
            <w:pPr>
              <w:rPr>
                <w:color w:val="000000" w:themeColor="text1"/>
                <w:sz w:val="20"/>
                <w:szCs w:val="20"/>
              </w:rPr>
            </w:pPr>
            <w:r w:rsidRPr="000778AD">
              <w:rPr>
                <w:color w:val="000000" w:themeColor="text1"/>
                <w:sz w:val="20"/>
                <w:szCs w:val="20"/>
                <w:lang w:val="en-US"/>
              </w:rPr>
              <w:t>However, the council does not intend to prioritize sustainability agendas over economic recovery policies. According to the council, both orientations can actually reinforce each other.</w:t>
            </w:r>
          </w:p>
        </w:tc>
        <w:tc>
          <w:tcPr>
            <w:tcW w:w="4536" w:type="dxa"/>
          </w:tcPr>
          <w:p w14:paraId="44500F01" w14:textId="3C2BB467" w:rsidR="005109D3" w:rsidRPr="000778AD" w:rsidRDefault="001A0451" w:rsidP="00E02FE8">
            <w:pPr>
              <w:pStyle w:val="NormalWeb"/>
              <w:spacing w:before="0" w:beforeAutospacing="0" w:after="0" w:afterAutospacing="0"/>
              <w:rPr>
                <w:sz w:val="20"/>
                <w:szCs w:val="20"/>
                <w:lang w:val="en-US"/>
              </w:rPr>
            </w:pPr>
            <w:r w:rsidRPr="000778AD">
              <w:rPr>
                <w:sz w:val="20"/>
                <w:szCs w:val="20"/>
                <w:lang w:val="en-US"/>
              </w:rPr>
              <w:t>Project completion rate</w:t>
            </w:r>
            <w:r w:rsidR="005109D3" w:rsidRPr="000778AD">
              <w:rPr>
                <w:sz w:val="20"/>
                <w:szCs w:val="20"/>
                <w:lang w:val="en-US"/>
              </w:rPr>
              <w:t xml:space="preserve"> -&gt; </w:t>
            </w:r>
            <w:r w:rsidR="005109D3" w:rsidRPr="000778AD">
              <w:rPr>
                <w:sz w:val="20"/>
                <w:szCs w:val="20"/>
              </w:rPr>
              <w:t xml:space="preserve">Number of </w:t>
            </w:r>
            <w:r w:rsidRPr="000778AD">
              <w:rPr>
                <w:sz w:val="20"/>
                <w:szCs w:val="20"/>
                <w:lang w:val="en-US"/>
              </w:rPr>
              <w:t xml:space="preserve">completed </w:t>
            </w:r>
            <w:r w:rsidR="005109D3" w:rsidRPr="000778AD">
              <w:rPr>
                <w:sz w:val="20"/>
                <w:szCs w:val="20"/>
              </w:rPr>
              <w:t>sustainability</w:t>
            </w:r>
            <w:r w:rsidR="005109D3" w:rsidRPr="000778AD">
              <w:rPr>
                <w:sz w:val="20"/>
                <w:szCs w:val="20"/>
                <w:lang w:val="en-US"/>
              </w:rPr>
              <w:t xml:space="preserve"> </w:t>
            </w:r>
            <w:r w:rsidR="005109D3" w:rsidRPr="000778AD">
              <w:rPr>
                <w:sz w:val="20"/>
                <w:szCs w:val="20"/>
              </w:rPr>
              <w:t>projects in the Netherlands</w:t>
            </w:r>
            <w:r w:rsidR="005109D3" w:rsidRPr="000778AD">
              <w:rPr>
                <w:sz w:val="20"/>
                <w:szCs w:val="20"/>
                <w:lang w:val="en-US"/>
              </w:rPr>
              <w:t xml:space="preserve"> -&gt; </w:t>
            </w:r>
            <w:r w:rsidRPr="000778AD">
              <w:rPr>
                <w:sz w:val="20"/>
                <w:szCs w:val="20"/>
                <w:lang w:val="en-US"/>
              </w:rPr>
              <w:t>Change in Dutch natural resource quality -&gt; Dutch natural resource quality -&gt;</w:t>
            </w:r>
            <w:r w:rsidR="005109D3" w:rsidRPr="000778AD">
              <w:rPr>
                <w:sz w:val="20"/>
                <w:szCs w:val="20"/>
                <w:lang w:val="en-US"/>
              </w:rPr>
              <w:t>Change in GDP growth rate</w:t>
            </w:r>
            <w:r w:rsidRPr="000778AD">
              <w:rPr>
                <w:sz w:val="20"/>
                <w:szCs w:val="20"/>
                <w:lang w:val="en-US"/>
              </w:rPr>
              <w:t xml:space="preserve"> -&gt; Dutch GDP growth rate</w:t>
            </w:r>
          </w:p>
        </w:tc>
      </w:tr>
      <w:tr w:rsidR="000778AD" w:rsidRPr="000778AD" w14:paraId="568F6E9A" w14:textId="77777777" w:rsidTr="000778AD">
        <w:tc>
          <w:tcPr>
            <w:tcW w:w="416" w:type="dxa"/>
          </w:tcPr>
          <w:p w14:paraId="3914E83E" w14:textId="65406D24" w:rsidR="005109D3" w:rsidRPr="000778AD" w:rsidRDefault="001A0451" w:rsidP="00ED74B1">
            <w:pPr>
              <w:rPr>
                <w:color w:val="000000" w:themeColor="text1"/>
                <w:sz w:val="20"/>
                <w:szCs w:val="20"/>
                <w:lang w:val="en-US"/>
              </w:rPr>
            </w:pPr>
            <w:r w:rsidRPr="000778AD">
              <w:rPr>
                <w:color w:val="000000" w:themeColor="text1"/>
                <w:sz w:val="20"/>
                <w:szCs w:val="20"/>
                <w:lang w:val="en-US"/>
              </w:rPr>
              <w:t>2</w:t>
            </w:r>
          </w:p>
        </w:tc>
        <w:tc>
          <w:tcPr>
            <w:tcW w:w="997" w:type="dxa"/>
          </w:tcPr>
          <w:p w14:paraId="721E63AB" w14:textId="7C75FEFF" w:rsidR="005109D3" w:rsidRPr="000778AD" w:rsidRDefault="001A0451" w:rsidP="00ED74B1">
            <w:pPr>
              <w:rPr>
                <w:color w:val="000000" w:themeColor="text1"/>
                <w:sz w:val="20"/>
                <w:szCs w:val="20"/>
                <w:lang w:val="en-US"/>
              </w:rPr>
            </w:pPr>
            <w:r w:rsidRPr="000778AD">
              <w:rPr>
                <w:color w:val="000000" w:themeColor="text1"/>
                <w:sz w:val="20"/>
                <w:szCs w:val="20"/>
                <w:lang w:val="en-US"/>
              </w:rPr>
              <w:t>2</w:t>
            </w:r>
          </w:p>
        </w:tc>
        <w:tc>
          <w:tcPr>
            <w:tcW w:w="3118" w:type="dxa"/>
          </w:tcPr>
          <w:p w14:paraId="12E28C76" w14:textId="7A0F934F" w:rsidR="005109D3" w:rsidRPr="000778AD" w:rsidRDefault="005109D3" w:rsidP="00ED74B1">
            <w:pPr>
              <w:rPr>
                <w:color w:val="000000" w:themeColor="text1"/>
                <w:sz w:val="20"/>
                <w:szCs w:val="20"/>
              </w:rPr>
            </w:pPr>
            <w:r w:rsidRPr="000778AD">
              <w:rPr>
                <w:color w:val="000000" w:themeColor="text1"/>
                <w:sz w:val="20"/>
                <w:szCs w:val="20"/>
                <w:lang w:val="en-US"/>
              </w:rPr>
              <w:t>However, the council does not intend to prioritize sustainability agendas over economic recovery policies. According to the council, both orientations can actually reinforce each other.</w:t>
            </w:r>
          </w:p>
        </w:tc>
        <w:tc>
          <w:tcPr>
            <w:tcW w:w="4536" w:type="dxa"/>
          </w:tcPr>
          <w:p w14:paraId="18334FBB" w14:textId="0CC76A50" w:rsidR="005109D3" w:rsidRPr="000778AD" w:rsidRDefault="005109D3" w:rsidP="00ED74B1">
            <w:pPr>
              <w:rPr>
                <w:color w:val="000000" w:themeColor="text1"/>
                <w:sz w:val="20"/>
                <w:szCs w:val="20"/>
                <w:lang w:val="en-US"/>
              </w:rPr>
            </w:pPr>
            <w:r w:rsidRPr="000778AD">
              <w:rPr>
                <w:color w:val="000000" w:themeColor="text1"/>
                <w:sz w:val="20"/>
                <w:szCs w:val="20"/>
                <w:lang w:val="en-US"/>
              </w:rPr>
              <w:t>Dutch GDP growth rate -&gt;</w:t>
            </w:r>
            <w:r w:rsidR="001A0451" w:rsidRPr="000778AD">
              <w:rPr>
                <w:color w:val="000000" w:themeColor="text1"/>
                <w:sz w:val="20"/>
                <w:szCs w:val="20"/>
                <w:lang w:val="en-US"/>
              </w:rPr>
              <w:t xml:space="preserve"> Public income -&gt; Public funds -&gt; </w:t>
            </w:r>
            <w:r w:rsidR="001A0451" w:rsidRPr="000778AD">
              <w:rPr>
                <w:color w:val="000000" w:themeColor="text1"/>
                <w:sz w:val="20"/>
                <w:szCs w:val="20"/>
                <w:lang w:val="en-US"/>
              </w:rPr>
              <w:t>Government willingness to invest in green recovery</w:t>
            </w:r>
            <w:r w:rsidR="001A0451" w:rsidRPr="000778AD">
              <w:rPr>
                <w:color w:val="000000" w:themeColor="text1"/>
                <w:sz w:val="20"/>
                <w:szCs w:val="20"/>
                <w:lang w:val="en-US"/>
              </w:rPr>
              <w:t xml:space="preserve"> -&gt; Project completion rate</w:t>
            </w:r>
          </w:p>
        </w:tc>
      </w:tr>
      <w:tr w:rsidR="000778AD" w:rsidRPr="000778AD" w14:paraId="4BA77ADD" w14:textId="77777777" w:rsidTr="000778AD">
        <w:tc>
          <w:tcPr>
            <w:tcW w:w="416" w:type="dxa"/>
          </w:tcPr>
          <w:p w14:paraId="5792E25C" w14:textId="0E124A7F" w:rsidR="005109D3" w:rsidRPr="000778AD" w:rsidRDefault="001A0451" w:rsidP="00ED74B1">
            <w:pPr>
              <w:rPr>
                <w:color w:val="000000" w:themeColor="text1"/>
                <w:sz w:val="20"/>
                <w:szCs w:val="20"/>
                <w:lang w:val="en-US"/>
              </w:rPr>
            </w:pPr>
            <w:r w:rsidRPr="000778AD">
              <w:rPr>
                <w:color w:val="000000" w:themeColor="text1"/>
                <w:sz w:val="20"/>
                <w:szCs w:val="20"/>
                <w:lang w:val="en-US"/>
              </w:rPr>
              <w:t>3</w:t>
            </w:r>
          </w:p>
        </w:tc>
        <w:tc>
          <w:tcPr>
            <w:tcW w:w="997" w:type="dxa"/>
          </w:tcPr>
          <w:p w14:paraId="3902CA26" w14:textId="758D6816" w:rsidR="005109D3" w:rsidRPr="000778AD" w:rsidRDefault="00555F9D" w:rsidP="00ED74B1">
            <w:pPr>
              <w:rPr>
                <w:color w:val="000000" w:themeColor="text1"/>
                <w:sz w:val="20"/>
                <w:szCs w:val="20"/>
                <w:lang w:val="en-US"/>
              </w:rPr>
            </w:pPr>
            <w:r w:rsidRPr="000778AD">
              <w:rPr>
                <w:color w:val="000000" w:themeColor="text1"/>
                <w:sz w:val="20"/>
                <w:szCs w:val="20"/>
                <w:lang w:val="en-US"/>
              </w:rPr>
              <w:t>3</w:t>
            </w:r>
          </w:p>
        </w:tc>
        <w:tc>
          <w:tcPr>
            <w:tcW w:w="3118" w:type="dxa"/>
          </w:tcPr>
          <w:p w14:paraId="3B11EEC5" w14:textId="4B44FAB8" w:rsidR="005109D3" w:rsidRPr="000778AD" w:rsidRDefault="00555F9D" w:rsidP="00ED74B1">
            <w:pPr>
              <w:rPr>
                <w:color w:val="000000" w:themeColor="text1"/>
                <w:sz w:val="20"/>
                <w:szCs w:val="20"/>
                <w:lang w:val="en-US"/>
              </w:rPr>
            </w:pPr>
            <w:r w:rsidRPr="000778AD">
              <w:rPr>
                <w:color w:val="000000" w:themeColor="text1"/>
                <w:sz w:val="20"/>
                <w:szCs w:val="20"/>
                <w:lang w:val="en-US"/>
              </w:rPr>
              <w:t>These are long-term problems that may seem less urgent in times of pandemic.</w:t>
            </w:r>
            <w:r w:rsidRPr="000778AD">
              <w:rPr>
                <w:color w:val="000000" w:themeColor="text1"/>
                <w:sz w:val="20"/>
                <w:szCs w:val="20"/>
                <w:lang w:val="en-US"/>
              </w:rPr>
              <w:t xml:space="preserve"> After all we do not experience its effects every day. </w:t>
            </w:r>
          </w:p>
        </w:tc>
        <w:tc>
          <w:tcPr>
            <w:tcW w:w="4536" w:type="dxa"/>
          </w:tcPr>
          <w:p w14:paraId="3A01C2AD" w14:textId="651E47C5" w:rsidR="005109D3" w:rsidRPr="000778AD" w:rsidRDefault="00555F9D" w:rsidP="00ED74B1">
            <w:pPr>
              <w:rPr>
                <w:color w:val="000000" w:themeColor="text1"/>
                <w:sz w:val="20"/>
                <w:szCs w:val="20"/>
                <w:lang w:val="en-US"/>
              </w:rPr>
            </w:pPr>
            <w:r w:rsidRPr="000778AD">
              <w:rPr>
                <w:color w:val="000000" w:themeColor="text1"/>
                <w:sz w:val="20"/>
                <w:szCs w:val="20"/>
                <w:lang w:val="en-US"/>
              </w:rPr>
              <w:t xml:space="preserve">Change in Dutch natural resource quality </w:t>
            </w:r>
            <w:r w:rsidR="005109D3" w:rsidRPr="000778AD">
              <w:rPr>
                <w:color w:val="000000" w:themeColor="text1"/>
                <w:sz w:val="20"/>
                <w:szCs w:val="20"/>
                <w:lang w:val="en-US"/>
              </w:rPr>
              <w:t xml:space="preserve">-&gt; </w:t>
            </w:r>
            <w:r w:rsidR="001A0451" w:rsidRPr="000778AD">
              <w:rPr>
                <w:color w:val="000000" w:themeColor="text1"/>
                <w:sz w:val="20"/>
                <w:szCs w:val="20"/>
                <w:lang w:val="en-US"/>
              </w:rPr>
              <w:t>Government w</w:t>
            </w:r>
            <w:r w:rsidRPr="000778AD">
              <w:rPr>
                <w:color w:val="000000" w:themeColor="text1"/>
                <w:sz w:val="20"/>
                <w:szCs w:val="20"/>
                <w:lang w:val="en-US"/>
              </w:rPr>
              <w:t>illingness to invest in green recovery</w:t>
            </w:r>
          </w:p>
        </w:tc>
      </w:tr>
      <w:tr w:rsidR="000778AD" w:rsidRPr="000778AD" w14:paraId="7CE2087E" w14:textId="77777777" w:rsidTr="000778AD">
        <w:tc>
          <w:tcPr>
            <w:tcW w:w="416" w:type="dxa"/>
          </w:tcPr>
          <w:p w14:paraId="73215403" w14:textId="6F7F554A" w:rsidR="005109D3" w:rsidRPr="000778AD" w:rsidRDefault="001A0451" w:rsidP="00ED74B1">
            <w:pPr>
              <w:rPr>
                <w:color w:val="000000" w:themeColor="text1"/>
                <w:sz w:val="20"/>
                <w:szCs w:val="20"/>
                <w:lang w:val="en-US"/>
              </w:rPr>
            </w:pPr>
            <w:r w:rsidRPr="000778AD">
              <w:rPr>
                <w:color w:val="000000" w:themeColor="text1"/>
                <w:sz w:val="20"/>
                <w:szCs w:val="20"/>
                <w:lang w:val="en-US"/>
              </w:rPr>
              <w:t>4</w:t>
            </w:r>
          </w:p>
          <w:p w14:paraId="60A0EE39" w14:textId="77777777" w:rsidR="005109D3" w:rsidRPr="000778AD" w:rsidRDefault="005109D3" w:rsidP="00ED74B1">
            <w:pPr>
              <w:rPr>
                <w:color w:val="000000" w:themeColor="text1"/>
                <w:sz w:val="20"/>
                <w:szCs w:val="20"/>
              </w:rPr>
            </w:pPr>
          </w:p>
        </w:tc>
        <w:tc>
          <w:tcPr>
            <w:tcW w:w="997" w:type="dxa"/>
          </w:tcPr>
          <w:p w14:paraId="01C74D25" w14:textId="77777777" w:rsidR="005109D3" w:rsidRPr="000778AD" w:rsidRDefault="00555F9D" w:rsidP="00ED74B1">
            <w:pPr>
              <w:rPr>
                <w:color w:val="000000" w:themeColor="text1"/>
                <w:sz w:val="20"/>
                <w:szCs w:val="20"/>
                <w:lang w:val="en-US"/>
              </w:rPr>
            </w:pPr>
            <w:r w:rsidRPr="000778AD">
              <w:rPr>
                <w:color w:val="000000" w:themeColor="text1"/>
                <w:sz w:val="20"/>
                <w:szCs w:val="20"/>
                <w:lang w:val="en-US"/>
              </w:rPr>
              <w:t>3</w:t>
            </w:r>
          </w:p>
          <w:p w14:paraId="18DFF9B8" w14:textId="6A9C1B11" w:rsidR="00555F9D" w:rsidRPr="000778AD" w:rsidRDefault="00555F9D" w:rsidP="00ED74B1">
            <w:pPr>
              <w:rPr>
                <w:color w:val="000000" w:themeColor="text1"/>
                <w:sz w:val="20"/>
                <w:szCs w:val="20"/>
                <w:lang w:val="en-US"/>
              </w:rPr>
            </w:pPr>
          </w:p>
        </w:tc>
        <w:tc>
          <w:tcPr>
            <w:tcW w:w="3118" w:type="dxa"/>
          </w:tcPr>
          <w:p w14:paraId="637BC8BB" w14:textId="7E52A063" w:rsidR="005109D3" w:rsidRPr="000778AD" w:rsidRDefault="005109D3" w:rsidP="00ED74B1">
            <w:pPr>
              <w:rPr>
                <w:color w:val="000000" w:themeColor="text1"/>
                <w:sz w:val="20"/>
                <w:szCs w:val="20"/>
              </w:rPr>
            </w:pPr>
            <w:r w:rsidRPr="000778AD">
              <w:rPr>
                <w:color w:val="000000" w:themeColor="text1"/>
                <w:sz w:val="20"/>
                <w:szCs w:val="20"/>
                <w:lang w:val="en-US"/>
              </w:rPr>
              <w:t>These are long-term problems that may seem less urgent in times of pandemic.</w:t>
            </w:r>
            <w:r w:rsidRPr="000778AD">
              <w:rPr>
                <w:color w:val="000000" w:themeColor="text1"/>
                <w:sz w:val="20"/>
                <w:szCs w:val="20"/>
              </w:rPr>
              <w:t xml:space="preserve"> </w:t>
            </w:r>
          </w:p>
        </w:tc>
        <w:tc>
          <w:tcPr>
            <w:tcW w:w="4536" w:type="dxa"/>
          </w:tcPr>
          <w:p w14:paraId="1ED09350" w14:textId="14546CC6" w:rsidR="005109D3" w:rsidRPr="000778AD" w:rsidRDefault="00555F9D" w:rsidP="00ED74B1">
            <w:pPr>
              <w:rPr>
                <w:color w:val="000000" w:themeColor="text1"/>
                <w:sz w:val="20"/>
                <w:szCs w:val="20"/>
                <w:lang w:val="en-US"/>
              </w:rPr>
            </w:pPr>
            <w:r w:rsidRPr="000778AD">
              <w:rPr>
                <w:color w:val="000000" w:themeColor="text1"/>
                <w:sz w:val="20"/>
                <w:szCs w:val="20"/>
                <w:lang w:val="en-US"/>
              </w:rPr>
              <w:t xml:space="preserve">Anticipated change in GDP growth rate -&gt; </w:t>
            </w:r>
            <w:r w:rsidR="001A0451" w:rsidRPr="000778AD">
              <w:rPr>
                <w:color w:val="000000" w:themeColor="text1"/>
                <w:sz w:val="20"/>
                <w:szCs w:val="20"/>
                <w:lang w:val="en-US"/>
              </w:rPr>
              <w:t>Government w</w:t>
            </w:r>
            <w:r w:rsidRPr="000778AD">
              <w:rPr>
                <w:color w:val="000000" w:themeColor="text1"/>
                <w:sz w:val="20"/>
                <w:szCs w:val="20"/>
                <w:lang w:val="en-US"/>
              </w:rPr>
              <w:t xml:space="preserve">illingness to invest in green recovery </w:t>
            </w:r>
            <w:r w:rsidR="005109D3" w:rsidRPr="000778AD">
              <w:rPr>
                <w:color w:val="000000" w:themeColor="text1"/>
                <w:sz w:val="20"/>
                <w:szCs w:val="20"/>
                <w:lang w:val="en-US"/>
              </w:rPr>
              <w:t xml:space="preserve"> </w:t>
            </w:r>
          </w:p>
        </w:tc>
      </w:tr>
      <w:tr w:rsidR="000778AD" w:rsidRPr="000778AD" w14:paraId="24B9238E" w14:textId="77777777" w:rsidTr="000778AD">
        <w:tc>
          <w:tcPr>
            <w:tcW w:w="416" w:type="dxa"/>
          </w:tcPr>
          <w:p w14:paraId="066CD1B2" w14:textId="7C1DCAF2" w:rsidR="005109D3" w:rsidRPr="000778AD" w:rsidRDefault="001A0451" w:rsidP="00ED74B1">
            <w:pPr>
              <w:rPr>
                <w:color w:val="000000" w:themeColor="text1"/>
                <w:sz w:val="20"/>
                <w:szCs w:val="20"/>
                <w:lang w:val="en-US"/>
              </w:rPr>
            </w:pPr>
            <w:r w:rsidRPr="000778AD">
              <w:rPr>
                <w:color w:val="000000" w:themeColor="text1"/>
                <w:sz w:val="20"/>
                <w:szCs w:val="20"/>
                <w:lang w:val="en-US"/>
              </w:rPr>
              <w:lastRenderedPageBreak/>
              <w:t>5</w:t>
            </w:r>
          </w:p>
        </w:tc>
        <w:tc>
          <w:tcPr>
            <w:tcW w:w="997" w:type="dxa"/>
          </w:tcPr>
          <w:p w14:paraId="17B56053" w14:textId="7AA7A163" w:rsidR="005109D3" w:rsidRPr="000778AD" w:rsidRDefault="00555F9D" w:rsidP="00ED74B1">
            <w:pPr>
              <w:rPr>
                <w:color w:val="000000" w:themeColor="text1"/>
                <w:sz w:val="20"/>
                <w:szCs w:val="20"/>
                <w:lang w:val="en-US"/>
              </w:rPr>
            </w:pPr>
            <w:r w:rsidRPr="000778AD">
              <w:rPr>
                <w:color w:val="000000" w:themeColor="text1"/>
                <w:sz w:val="20"/>
                <w:szCs w:val="20"/>
                <w:lang w:val="en-US"/>
              </w:rPr>
              <w:t>4</w:t>
            </w:r>
          </w:p>
        </w:tc>
        <w:tc>
          <w:tcPr>
            <w:tcW w:w="3118" w:type="dxa"/>
          </w:tcPr>
          <w:p w14:paraId="243D0EA5" w14:textId="369E9AB6" w:rsidR="005109D3" w:rsidRPr="000778AD" w:rsidRDefault="005109D3" w:rsidP="00ED74B1">
            <w:pPr>
              <w:rPr>
                <w:color w:val="000000" w:themeColor="text1"/>
                <w:sz w:val="20"/>
                <w:szCs w:val="20"/>
              </w:rPr>
            </w:pPr>
            <w:r w:rsidRPr="000778AD">
              <w:rPr>
                <w:color w:val="000000" w:themeColor="text1"/>
                <w:sz w:val="20"/>
                <w:szCs w:val="20"/>
                <w:lang w:val="en-US"/>
              </w:rPr>
              <w:t>Just like the corona virus, all these sustainability challenges will have a drastic effect on the economy.</w:t>
            </w:r>
          </w:p>
        </w:tc>
        <w:tc>
          <w:tcPr>
            <w:tcW w:w="4536" w:type="dxa"/>
          </w:tcPr>
          <w:p w14:paraId="55679626" w14:textId="04953E5C" w:rsidR="005109D3" w:rsidRPr="000778AD" w:rsidRDefault="00555F9D" w:rsidP="00ED74B1">
            <w:pPr>
              <w:rPr>
                <w:color w:val="000000" w:themeColor="text1"/>
                <w:sz w:val="20"/>
                <w:szCs w:val="20"/>
                <w:lang w:val="en-US"/>
              </w:rPr>
            </w:pPr>
            <w:r w:rsidRPr="000778AD">
              <w:rPr>
                <w:color w:val="000000" w:themeColor="text1"/>
                <w:sz w:val="20"/>
                <w:szCs w:val="20"/>
                <w:lang w:val="en-US"/>
              </w:rPr>
              <w:t>Change in Dutch natural resource quality</w:t>
            </w:r>
            <w:r w:rsidR="005109D3" w:rsidRPr="000778AD">
              <w:rPr>
                <w:color w:val="000000" w:themeColor="text1"/>
                <w:sz w:val="20"/>
                <w:szCs w:val="20"/>
                <w:lang w:val="en-US"/>
              </w:rPr>
              <w:t xml:space="preserve"> -&gt; Change in GDP growth rate</w:t>
            </w:r>
          </w:p>
        </w:tc>
      </w:tr>
      <w:tr w:rsidR="000778AD" w:rsidRPr="000778AD" w14:paraId="68D6E53B" w14:textId="77777777" w:rsidTr="000778AD">
        <w:tc>
          <w:tcPr>
            <w:tcW w:w="416" w:type="dxa"/>
          </w:tcPr>
          <w:p w14:paraId="1E1A5313" w14:textId="4F6A32CA" w:rsidR="001A0451" w:rsidRPr="000778AD" w:rsidRDefault="001A0451" w:rsidP="00ED74B1">
            <w:pPr>
              <w:rPr>
                <w:color w:val="000000" w:themeColor="text1"/>
                <w:sz w:val="20"/>
                <w:szCs w:val="20"/>
                <w:lang w:val="en-US"/>
              </w:rPr>
            </w:pPr>
            <w:r w:rsidRPr="000778AD">
              <w:rPr>
                <w:color w:val="000000" w:themeColor="text1"/>
                <w:sz w:val="20"/>
                <w:szCs w:val="20"/>
                <w:lang w:val="en-US"/>
              </w:rPr>
              <w:t>6</w:t>
            </w:r>
          </w:p>
        </w:tc>
        <w:tc>
          <w:tcPr>
            <w:tcW w:w="997" w:type="dxa"/>
          </w:tcPr>
          <w:p w14:paraId="72F1C56F" w14:textId="5AF6F6E2" w:rsidR="001A0451" w:rsidRPr="000778AD" w:rsidRDefault="001A0451" w:rsidP="00ED74B1">
            <w:pPr>
              <w:rPr>
                <w:color w:val="000000" w:themeColor="text1"/>
                <w:sz w:val="20"/>
                <w:szCs w:val="20"/>
                <w:lang w:val="en-US"/>
              </w:rPr>
            </w:pPr>
            <w:r w:rsidRPr="000778AD">
              <w:rPr>
                <w:color w:val="000000" w:themeColor="text1"/>
                <w:sz w:val="20"/>
                <w:szCs w:val="20"/>
                <w:lang w:val="en-US"/>
              </w:rPr>
              <w:t>7</w:t>
            </w:r>
          </w:p>
        </w:tc>
        <w:tc>
          <w:tcPr>
            <w:tcW w:w="3118" w:type="dxa"/>
          </w:tcPr>
          <w:p w14:paraId="403022BE" w14:textId="322ACCF6" w:rsidR="001A0451" w:rsidRPr="000778AD" w:rsidRDefault="001A0451" w:rsidP="00ED74B1">
            <w:pPr>
              <w:rPr>
                <w:color w:val="000000" w:themeColor="text1"/>
                <w:sz w:val="20"/>
                <w:szCs w:val="20"/>
                <w:lang w:val="en-US"/>
              </w:rPr>
            </w:pPr>
            <w:r w:rsidRPr="000778AD">
              <w:rPr>
                <w:color w:val="000000" w:themeColor="text1"/>
                <w:sz w:val="20"/>
                <w:szCs w:val="20"/>
                <w:lang w:val="en-US"/>
              </w:rPr>
              <w:t>The council sees three action perspectives that the national government can consider with a view to economic recovery and sustainable development.</w:t>
            </w:r>
          </w:p>
        </w:tc>
        <w:tc>
          <w:tcPr>
            <w:tcW w:w="4536" w:type="dxa"/>
          </w:tcPr>
          <w:p w14:paraId="11B1B0C3" w14:textId="38BA37AF" w:rsidR="001A0451" w:rsidRPr="000778AD" w:rsidRDefault="001A0451" w:rsidP="00ED74B1">
            <w:pPr>
              <w:rPr>
                <w:color w:val="000000" w:themeColor="text1"/>
                <w:sz w:val="20"/>
                <w:szCs w:val="20"/>
                <w:lang w:val="en-US"/>
              </w:rPr>
            </w:pPr>
            <w:r w:rsidRPr="000778AD">
              <w:rPr>
                <w:color w:val="000000" w:themeColor="text1"/>
                <w:sz w:val="20"/>
                <w:szCs w:val="20"/>
                <w:lang w:val="en-US"/>
              </w:rPr>
              <w:t>Government willingness to invest in green recovery</w:t>
            </w:r>
            <w:r w:rsidRPr="000778AD">
              <w:rPr>
                <w:color w:val="000000" w:themeColor="text1"/>
                <w:sz w:val="20"/>
                <w:szCs w:val="20"/>
                <w:lang w:val="en-US"/>
              </w:rPr>
              <w:t xml:space="preserve"> -&gt; Project completion rate</w:t>
            </w:r>
            <w:r w:rsidRPr="000778AD">
              <w:rPr>
                <w:color w:val="000000" w:themeColor="text1"/>
                <w:sz w:val="20"/>
                <w:szCs w:val="20"/>
                <w:lang w:val="en-US"/>
              </w:rPr>
              <w:br/>
            </w:r>
            <w:r w:rsidRPr="000778AD">
              <w:rPr>
                <w:color w:val="000000" w:themeColor="text1"/>
                <w:sz w:val="20"/>
                <w:szCs w:val="20"/>
                <w:lang w:val="en-US"/>
              </w:rPr>
              <w:t>Government willingness to invest in green recovery</w:t>
            </w:r>
            <w:r w:rsidRPr="000778AD">
              <w:rPr>
                <w:color w:val="000000" w:themeColor="text1"/>
                <w:sz w:val="20"/>
                <w:szCs w:val="20"/>
                <w:lang w:val="en-US"/>
              </w:rPr>
              <w:t>-&gt; Project acceptance rate</w:t>
            </w:r>
          </w:p>
        </w:tc>
      </w:tr>
      <w:tr w:rsidR="000778AD" w:rsidRPr="000778AD" w14:paraId="22A54FB6" w14:textId="77777777" w:rsidTr="000778AD">
        <w:tc>
          <w:tcPr>
            <w:tcW w:w="416" w:type="dxa"/>
          </w:tcPr>
          <w:p w14:paraId="2DAB61BB" w14:textId="64A20ADF" w:rsidR="001A0451" w:rsidRPr="000778AD" w:rsidRDefault="004A19B3" w:rsidP="00ED74B1">
            <w:pPr>
              <w:rPr>
                <w:color w:val="000000" w:themeColor="text1"/>
                <w:sz w:val="20"/>
                <w:szCs w:val="20"/>
                <w:lang w:val="en-US"/>
              </w:rPr>
            </w:pPr>
            <w:r w:rsidRPr="000778AD">
              <w:rPr>
                <w:color w:val="000000" w:themeColor="text1"/>
                <w:sz w:val="20"/>
                <w:szCs w:val="20"/>
                <w:lang w:val="en-US"/>
              </w:rPr>
              <w:t>7</w:t>
            </w:r>
          </w:p>
        </w:tc>
        <w:tc>
          <w:tcPr>
            <w:tcW w:w="997" w:type="dxa"/>
          </w:tcPr>
          <w:p w14:paraId="22D1186E" w14:textId="312B4926" w:rsidR="001A0451" w:rsidRPr="000778AD" w:rsidRDefault="004A19B3" w:rsidP="00ED74B1">
            <w:pPr>
              <w:rPr>
                <w:color w:val="000000" w:themeColor="text1"/>
                <w:sz w:val="20"/>
                <w:szCs w:val="20"/>
                <w:lang w:val="en-US"/>
              </w:rPr>
            </w:pPr>
            <w:r w:rsidRPr="000778AD">
              <w:rPr>
                <w:color w:val="000000" w:themeColor="text1"/>
                <w:sz w:val="20"/>
                <w:szCs w:val="20"/>
                <w:lang w:val="en-US"/>
              </w:rPr>
              <w:t>26</w:t>
            </w:r>
          </w:p>
        </w:tc>
        <w:tc>
          <w:tcPr>
            <w:tcW w:w="3118" w:type="dxa"/>
          </w:tcPr>
          <w:p w14:paraId="4AA2F11A" w14:textId="73EB0A40" w:rsidR="001A0451" w:rsidRPr="000778AD" w:rsidRDefault="004A19B3" w:rsidP="00ED74B1">
            <w:pPr>
              <w:rPr>
                <w:color w:val="000000" w:themeColor="text1"/>
                <w:sz w:val="20"/>
                <w:szCs w:val="20"/>
                <w:lang w:val="en-US"/>
              </w:rPr>
            </w:pPr>
            <w:r w:rsidRPr="000778AD">
              <w:rPr>
                <w:color w:val="000000" w:themeColor="text1"/>
                <w:sz w:val="20"/>
                <w:szCs w:val="20"/>
                <w:lang w:val="en-US"/>
              </w:rPr>
              <w:t>The Council realizes that the economic setback that the current crisis is causing in the first place requires effective policy impulses aimed at employment and economic recovery.</w:t>
            </w:r>
          </w:p>
        </w:tc>
        <w:tc>
          <w:tcPr>
            <w:tcW w:w="4536" w:type="dxa"/>
          </w:tcPr>
          <w:p w14:paraId="680854AD" w14:textId="7BA1D292" w:rsidR="001A0451" w:rsidRPr="000778AD" w:rsidRDefault="004A19B3" w:rsidP="00ED74B1">
            <w:pPr>
              <w:rPr>
                <w:color w:val="000000" w:themeColor="text1"/>
                <w:sz w:val="20"/>
                <w:szCs w:val="20"/>
                <w:lang w:val="en-US"/>
              </w:rPr>
            </w:pPr>
            <w:r w:rsidRPr="000778AD">
              <w:rPr>
                <w:color w:val="000000" w:themeColor="text1"/>
                <w:sz w:val="20"/>
                <w:szCs w:val="20"/>
                <w:lang w:val="en-US"/>
              </w:rPr>
              <w:t xml:space="preserve">Number of sustainability </w:t>
            </w:r>
            <w:r w:rsidR="000778AD" w:rsidRPr="000778AD">
              <w:rPr>
                <w:color w:val="000000" w:themeColor="text1"/>
                <w:sz w:val="20"/>
                <w:szCs w:val="20"/>
                <w:lang w:val="en-US"/>
              </w:rPr>
              <w:t>projects running in the Netherlands</w:t>
            </w:r>
            <w:r w:rsidRPr="000778AD">
              <w:rPr>
                <w:color w:val="000000" w:themeColor="text1"/>
                <w:sz w:val="20"/>
                <w:szCs w:val="20"/>
                <w:lang w:val="en-US"/>
              </w:rPr>
              <w:t xml:space="preserve"> -&gt; Change in GDP growth rate</w:t>
            </w:r>
            <w:r w:rsidR="000778AD" w:rsidRPr="000778AD">
              <w:rPr>
                <w:color w:val="000000" w:themeColor="text1"/>
                <w:sz w:val="20"/>
                <w:szCs w:val="20"/>
                <w:lang w:val="en-US"/>
              </w:rPr>
              <w:br/>
            </w:r>
            <w:r w:rsidR="000778AD" w:rsidRPr="000778AD">
              <w:rPr>
                <w:color w:val="000000" w:themeColor="text1"/>
                <w:sz w:val="20"/>
                <w:szCs w:val="20"/>
                <w:lang w:val="en-US"/>
              </w:rPr>
              <w:br/>
            </w:r>
            <w:r w:rsidR="000778AD" w:rsidRPr="000778AD">
              <w:rPr>
                <w:color w:val="000000" w:themeColor="text1"/>
                <w:sz w:val="20"/>
                <w:szCs w:val="20"/>
                <w:lang w:val="en-US"/>
              </w:rPr>
              <w:t xml:space="preserve">Number of sustainability projects running in the Netherlands -&gt; </w:t>
            </w:r>
            <w:r w:rsidR="000778AD" w:rsidRPr="000778AD">
              <w:rPr>
                <w:color w:val="000000" w:themeColor="text1"/>
                <w:sz w:val="20"/>
                <w:szCs w:val="20"/>
                <w:lang w:val="en-US"/>
              </w:rPr>
              <w:t>Public expenditures</w:t>
            </w:r>
          </w:p>
        </w:tc>
      </w:tr>
    </w:tbl>
    <w:p w14:paraId="60C084CD" w14:textId="6F6EF539" w:rsidR="00ED74B1" w:rsidRPr="005109D3" w:rsidRDefault="00ED74B1" w:rsidP="00ED74B1">
      <w:pPr>
        <w:pStyle w:val="Caption"/>
      </w:pPr>
      <w:r w:rsidRPr="005109D3">
        <w:t xml:space="preserve">Table </w:t>
      </w:r>
      <w:r w:rsidRPr="005109D3">
        <w:fldChar w:fldCharType="begin"/>
      </w:r>
      <w:r w:rsidRPr="005109D3">
        <w:instrText xml:space="preserve"> SEQ Table \* ARABIC </w:instrText>
      </w:r>
      <w:r w:rsidRPr="005109D3">
        <w:fldChar w:fldCharType="separate"/>
      </w:r>
      <w:r w:rsidR="000778AD">
        <w:rPr>
          <w:noProof/>
        </w:rPr>
        <w:t>2</w:t>
      </w:r>
      <w:r w:rsidRPr="005109D3">
        <w:fldChar w:fldCharType="end"/>
      </w:r>
      <w:r w:rsidRPr="005109D3">
        <w:t xml:space="preserve">. Causal links found within </w:t>
      </w:r>
      <w:proofErr w:type="spellStart"/>
      <w:r w:rsidR="005109D3" w:rsidRPr="005109D3">
        <w:rPr>
          <w:shd w:val="clear" w:color="auto" w:fill="FFFFFF"/>
        </w:rPr>
        <w:t>Raad</w:t>
      </w:r>
      <w:proofErr w:type="spellEnd"/>
      <w:r w:rsidR="005109D3" w:rsidRPr="005109D3">
        <w:rPr>
          <w:shd w:val="clear" w:color="auto" w:fill="FFFFFF"/>
        </w:rPr>
        <w:t xml:space="preserve"> </w:t>
      </w:r>
      <w:proofErr w:type="spellStart"/>
      <w:r w:rsidR="005109D3" w:rsidRPr="005109D3">
        <w:rPr>
          <w:shd w:val="clear" w:color="auto" w:fill="FFFFFF"/>
        </w:rPr>
        <w:t>voor</w:t>
      </w:r>
      <w:proofErr w:type="spellEnd"/>
      <w:r w:rsidR="005109D3" w:rsidRPr="005109D3">
        <w:rPr>
          <w:shd w:val="clear" w:color="auto" w:fill="FFFFFF"/>
        </w:rPr>
        <w:t xml:space="preserve"> de </w:t>
      </w:r>
      <w:proofErr w:type="spellStart"/>
      <w:r w:rsidR="005109D3" w:rsidRPr="005109D3">
        <w:rPr>
          <w:shd w:val="clear" w:color="auto" w:fill="FFFFFF"/>
        </w:rPr>
        <w:t>leefomgeving</w:t>
      </w:r>
      <w:proofErr w:type="spellEnd"/>
      <w:r w:rsidR="005109D3" w:rsidRPr="005109D3">
        <w:rPr>
          <w:shd w:val="clear" w:color="auto" w:fill="FFFFFF"/>
        </w:rPr>
        <w:t xml:space="preserve"> </w:t>
      </w:r>
      <w:proofErr w:type="spellStart"/>
      <w:r w:rsidR="005109D3" w:rsidRPr="005109D3">
        <w:rPr>
          <w:shd w:val="clear" w:color="auto" w:fill="FFFFFF"/>
        </w:rPr>
        <w:t>en</w:t>
      </w:r>
      <w:proofErr w:type="spellEnd"/>
      <w:r w:rsidR="005109D3" w:rsidRPr="005109D3">
        <w:rPr>
          <w:shd w:val="clear" w:color="auto" w:fill="FFFFFF"/>
        </w:rPr>
        <w:t xml:space="preserve"> </w:t>
      </w:r>
      <w:proofErr w:type="spellStart"/>
      <w:r w:rsidR="005109D3" w:rsidRPr="005109D3">
        <w:rPr>
          <w:shd w:val="clear" w:color="auto" w:fill="FFFFFF"/>
        </w:rPr>
        <w:t>inrastructuur</w:t>
      </w:r>
      <w:proofErr w:type="spellEnd"/>
      <w:r w:rsidRPr="005109D3">
        <w:t xml:space="preserve"> (2020)</w:t>
      </w:r>
    </w:p>
    <w:p w14:paraId="75375EA9" w14:textId="6837642A" w:rsidR="00551B3B" w:rsidRDefault="00551B3B" w:rsidP="00551B3B"/>
    <w:p w14:paraId="300A9951" w14:textId="56A5DE87" w:rsidR="00551B3B" w:rsidRPr="00551B3B" w:rsidRDefault="00551B3B" w:rsidP="00551B3B">
      <w:pPr>
        <w:rPr>
          <w:b/>
          <w:bCs/>
        </w:rPr>
      </w:pPr>
      <w:r w:rsidRPr="00551B3B">
        <w:rPr>
          <w:b/>
          <w:bCs/>
        </w:rPr>
        <w:t>References</w:t>
      </w:r>
    </w:p>
    <w:p w14:paraId="2CE65F32" w14:textId="44B65277" w:rsidR="00551B3B" w:rsidRPr="005109D3" w:rsidRDefault="005109D3" w:rsidP="005109D3">
      <w:r w:rsidRPr="005109D3">
        <w:rPr>
          <w:color w:val="000000"/>
          <w:shd w:val="clear" w:color="auto" w:fill="FFFFFF"/>
        </w:rPr>
        <w:t>Raad voor de leefomgeving en inrastructuur</w:t>
      </w:r>
      <w:r w:rsidRPr="005109D3">
        <w:t xml:space="preserve"> </w:t>
      </w:r>
      <w:r w:rsidR="00551B3B" w:rsidRPr="005109D3">
        <w:t xml:space="preserve">(2020) </w:t>
      </w:r>
      <w:r w:rsidRPr="005109D3">
        <w:rPr>
          <w:i/>
          <w:lang w:val="en-US"/>
        </w:rPr>
        <w:t xml:space="preserve">Groen </w:t>
      </w:r>
      <w:proofErr w:type="spellStart"/>
      <w:r w:rsidRPr="005109D3">
        <w:rPr>
          <w:i/>
          <w:lang w:val="en-US"/>
        </w:rPr>
        <w:t>uit</w:t>
      </w:r>
      <w:proofErr w:type="spellEnd"/>
      <w:r w:rsidRPr="005109D3">
        <w:rPr>
          <w:i/>
          <w:lang w:val="en-US"/>
        </w:rPr>
        <w:t xml:space="preserve"> de crisis</w:t>
      </w:r>
      <w:r w:rsidR="00551B3B" w:rsidRPr="005109D3">
        <w:t xml:space="preserve"> </w:t>
      </w:r>
      <w:r w:rsidRPr="005109D3">
        <w:t>https://www.rli.nl/publicaties/2020/advies/groen-uit-de-crisis</w:t>
      </w:r>
      <w:r w:rsidR="00551B3B" w:rsidRPr="005109D3">
        <w:t xml:space="preserve">, accessed on </w:t>
      </w:r>
      <w:r w:rsidRPr="005109D3">
        <w:rPr>
          <w:lang w:val="en-US"/>
        </w:rPr>
        <w:t>7</w:t>
      </w:r>
      <w:r w:rsidR="00551B3B" w:rsidRPr="005109D3">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1A0451"/>
    <w:rsid w:val="001C2693"/>
    <w:rsid w:val="001E635A"/>
    <w:rsid w:val="00313434"/>
    <w:rsid w:val="00407800"/>
    <w:rsid w:val="004845CC"/>
    <w:rsid w:val="004A19B3"/>
    <w:rsid w:val="004A7DAC"/>
    <w:rsid w:val="004F28DE"/>
    <w:rsid w:val="005109D3"/>
    <w:rsid w:val="00551B3B"/>
    <w:rsid w:val="00555F9D"/>
    <w:rsid w:val="006213F0"/>
    <w:rsid w:val="006E444C"/>
    <w:rsid w:val="007A742E"/>
    <w:rsid w:val="007E7175"/>
    <w:rsid w:val="008A1A62"/>
    <w:rsid w:val="00BB0057"/>
    <w:rsid w:val="00BD41CE"/>
    <w:rsid w:val="00C558C6"/>
    <w:rsid w:val="00D22190"/>
    <w:rsid w:val="00D71721"/>
    <w:rsid w:val="00E02FE8"/>
    <w:rsid w:val="00ED74B1"/>
    <w:rsid w:val="00EE6037"/>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5</cp:revision>
  <dcterms:created xsi:type="dcterms:W3CDTF">2020-10-08T09:25:00Z</dcterms:created>
  <dcterms:modified xsi:type="dcterms:W3CDTF">2020-10-08T11:52:00Z</dcterms:modified>
</cp:coreProperties>
</file>