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CD09DA" w14:textId="4450C3B8" w:rsidR="007E7175" w:rsidRDefault="007E7175" w:rsidP="00BB0057">
      <w:pPr>
        <w:jc w:val="center"/>
      </w:pPr>
      <w:r w:rsidRPr="00BB0057">
        <w:rPr>
          <w:sz w:val="28"/>
          <w:szCs w:val="28"/>
        </w:rPr>
        <w:t xml:space="preserve">Summary of </w:t>
      </w:r>
      <w:r w:rsidR="00C32E55">
        <w:rPr>
          <w:color w:val="000000"/>
          <w:sz w:val="28"/>
          <w:szCs w:val="28"/>
          <w:shd w:val="clear" w:color="auto" w:fill="FFFFFF"/>
          <w:lang w:val="en-US"/>
        </w:rPr>
        <w:t>Club of Rome</w:t>
      </w:r>
      <w:r w:rsidR="007B6E62" w:rsidRPr="007B6E62">
        <w:rPr>
          <w:color w:val="000000"/>
          <w:sz w:val="28"/>
          <w:szCs w:val="28"/>
          <w:shd w:val="clear" w:color="auto" w:fill="FFFFFF"/>
          <w:lang w:val="en-US"/>
        </w:rPr>
        <w:t xml:space="preserve"> </w:t>
      </w:r>
      <w:r w:rsidRPr="00BB0057">
        <w:rPr>
          <w:sz w:val="28"/>
          <w:szCs w:val="28"/>
        </w:rPr>
        <w:t>(2020)</w:t>
      </w:r>
      <w:r w:rsidRPr="007E7175">
        <w:rPr>
          <w:sz w:val="28"/>
          <w:szCs w:val="28"/>
        </w:rPr>
        <w:br/>
      </w:r>
      <w:r w:rsidRPr="007E7175">
        <w:t>Author: Ema Gusheva</w:t>
      </w:r>
    </w:p>
    <w:p w14:paraId="41B8AE51" w14:textId="77777777" w:rsidR="00BB0057" w:rsidRPr="00BB0057" w:rsidRDefault="00BB0057" w:rsidP="00BB0057">
      <w:pPr>
        <w:jc w:val="center"/>
        <w:rPr>
          <w:sz w:val="28"/>
          <w:szCs w:val="28"/>
        </w:rPr>
      </w:pPr>
    </w:p>
    <w:p w14:paraId="32E00A2E" w14:textId="07472E6F" w:rsidR="007E7175" w:rsidRPr="007E7175" w:rsidRDefault="007E7175" w:rsidP="00ED74B1">
      <w:pPr>
        <w:spacing w:line="276" w:lineRule="auto"/>
        <w:jc w:val="both"/>
        <w:rPr>
          <w:b/>
          <w:bCs/>
        </w:rPr>
      </w:pPr>
      <w:r w:rsidRPr="007E7175">
        <w:rPr>
          <w:b/>
          <w:bCs/>
        </w:rPr>
        <w:t>Summary</w:t>
      </w:r>
    </w:p>
    <w:p w14:paraId="33D7B802" w14:textId="26B879C1" w:rsidR="005D340D" w:rsidRDefault="00F36636" w:rsidP="006D4A60">
      <w:pPr>
        <w:spacing w:line="276" w:lineRule="auto"/>
        <w:jc w:val="both"/>
        <w:rPr>
          <w:lang w:val="en-US"/>
        </w:rPr>
      </w:pPr>
      <w:r>
        <w:rPr>
          <w:lang w:val="en-US"/>
        </w:rPr>
        <w:t xml:space="preserve">Club of Rome (2020) presents a case for shifting the societal emphasis from economic growth to wellbeing. In order to do that European countries must actively start measuring wellbeing metrics and using them as focal points for policymaking as opposed to strictly relying on GDP growth. Pessimistically, the report reminds readers of how little has been done on the path </w:t>
      </w:r>
      <w:r w:rsidR="008A7052">
        <w:rPr>
          <w:lang w:val="en-US"/>
        </w:rPr>
        <w:t>to</w:t>
      </w:r>
      <w:r>
        <w:rPr>
          <w:lang w:val="en-US"/>
        </w:rPr>
        <w:t xml:space="preserve"> reaching sustainability and urges radical action as the only way to deal with inevitable future crises that arise from destructive </w:t>
      </w:r>
      <w:r w:rsidR="008A7052">
        <w:rPr>
          <w:lang w:val="en-US"/>
        </w:rPr>
        <w:t>‘</w:t>
      </w:r>
      <w:r>
        <w:rPr>
          <w:lang w:val="en-US"/>
        </w:rPr>
        <w:t>business as usual</w:t>
      </w:r>
      <w:r w:rsidR="008A7052">
        <w:rPr>
          <w:lang w:val="en-US"/>
        </w:rPr>
        <w:t>’</w:t>
      </w:r>
      <w:r>
        <w:rPr>
          <w:lang w:val="en-US"/>
        </w:rPr>
        <w:t xml:space="preserve"> actions.  </w:t>
      </w:r>
    </w:p>
    <w:p w14:paraId="033CF047" w14:textId="77777777" w:rsidR="00F36636" w:rsidRPr="005D340D" w:rsidRDefault="00F36636" w:rsidP="007E7175">
      <w:pPr>
        <w:rPr>
          <w:b/>
          <w:bCs/>
          <w:lang w:val="en-US"/>
        </w:rPr>
      </w:pPr>
    </w:p>
    <w:p w14:paraId="75C10E1D" w14:textId="32D478BB" w:rsidR="005109D3" w:rsidRPr="005D340D" w:rsidRDefault="005109D3" w:rsidP="007E7175">
      <w:pPr>
        <w:spacing w:line="276" w:lineRule="auto"/>
        <w:jc w:val="both"/>
      </w:pPr>
      <w:r>
        <w:rPr>
          <w:b/>
          <w:bCs/>
          <w:lang w:val="en-US"/>
        </w:rPr>
        <w:t>Implications for infrastructure</w:t>
      </w:r>
      <w:r w:rsidR="007E7175" w:rsidRPr="007E7175">
        <w:rPr>
          <w:b/>
          <w:bCs/>
        </w:rPr>
        <w:t xml:space="preserve"> </w:t>
      </w:r>
      <w:r w:rsidR="007E7175" w:rsidRPr="007E7175">
        <w:rPr>
          <w:b/>
          <w:bCs/>
        </w:rPr>
        <w:tab/>
      </w:r>
      <w:r w:rsidR="007E7175">
        <w:br/>
      </w:r>
      <w:r w:rsidR="00F36636">
        <w:rPr>
          <w:lang w:val="en-US"/>
        </w:rPr>
        <w:t xml:space="preserve">Much of the report addresses the emerging wellbeing economy with suggestions for new measures of human wellbeing and prosperity. Infrastructure companies are urged to adopt these measures and align decision-making to these measures. Another </w:t>
      </w:r>
      <w:r w:rsidR="006D4A60">
        <w:rPr>
          <w:lang w:val="en-US"/>
        </w:rPr>
        <w:t xml:space="preserve">recommendation regards political consensus and collaboration as the shift can only be achieved collectively. </w:t>
      </w:r>
    </w:p>
    <w:p w14:paraId="02D96421" w14:textId="77777777" w:rsidR="005109D3" w:rsidRDefault="005109D3" w:rsidP="007E7175">
      <w:pPr>
        <w:spacing w:line="276" w:lineRule="auto"/>
        <w:jc w:val="both"/>
        <w:rPr>
          <w:lang w:val="en-US"/>
        </w:rPr>
      </w:pPr>
    </w:p>
    <w:p w14:paraId="1E24BFF3" w14:textId="1EA29C02" w:rsidR="005109D3" w:rsidRDefault="005109D3" w:rsidP="005109D3">
      <w:pPr>
        <w:rPr>
          <w:b/>
          <w:bCs/>
          <w:lang w:val="en-US"/>
        </w:rPr>
      </w:pPr>
      <w:r>
        <w:rPr>
          <w:b/>
          <w:bCs/>
          <w:lang w:val="en-US"/>
        </w:rPr>
        <w:t>Stock-and-flow diagram</w:t>
      </w:r>
    </w:p>
    <w:p w14:paraId="5F47AD53" w14:textId="702D0BA1" w:rsidR="006D4A60" w:rsidRPr="008252F7" w:rsidRDefault="008252F7" w:rsidP="008252F7">
      <w:pPr>
        <w:spacing w:line="276" w:lineRule="auto"/>
        <w:jc w:val="both"/>
        <w:rPr>
          <w:lang w:val="en-US"/>
        </w:rPr>
      </w:pPr>
      <w:r>
        <w:rPr>
          <w:lang w:val="en-US"/>
        </w:rPr>
        <w:t xml:space="preserve">The model tells a simple story of how organizations reporting on wellbeing measures and aligning their decision-making processes on well-being measures is a reinforcing loop (much like an innovation adoption loop), which has the potential to balance out the traditional growth model of the economy whereby production leads to consumption, which reinforces production. Only by shifting emphasis on wellbeing rather than growth, can the cycle of production for production’s sake be balanced.  </w:t>
      </w:r>
    </w:p>
    <w:p w14:paraId="58A20538" w14:textId="067B682F" w:rsidR="005109D3" w:rsidRDefault="006D4A60" w:rsidP="005109D3">
      <w:pPr>
        <w:spacing w:line="276" w:lineRule="auto"/>
        <w:jc w:val="center"/>
      </w:pPr>
      <w:r w:rsidRPr="006D4A60">
        <w:rPr>
          <w:noProof/>
        </w:rPr>
        <w:drawing>
          <wp:inline distT="0" distB="0" distL="0" distR="0" wp14:anchorId="475879D0" wp14:editId="63E29118">
            <wp:extent cx="5274660" cy="379693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305123" cy="3818866"/>
                    </a:xfrm>
                    <a:prstGeom prst="rect">
                      <a:avLst/>
                    </a:prstGeom>
                  </pic:spPr>
                </pic:pic>
              </a:graphicData>
            </a:graphic>
          </wp:inline>
        </w:drawing>
      </w:r>
    </w:p>
    <w:p w14:paraId="764D0F49" w14:textId="1402F355" w:rsidR="00555F9D" w:rsidRDefault="005109D3" w:rsidP="000778AD">
      <w:pPr>
        <w:pStyle w:val="Caption"/>
        <w:jc w:val="center"/>
      </w:pPr>
      <w:r>
        <w:t xml:space="preserve">Figure </w:t>
      </w:r>
      <w:r>
        <w:fldChar w:fldCharType="begin"/>
      </w:r>
      <w:r>
        <w:instrText xml:space="preserve"> SEQ Figure \* ARABIC </w:instrText>
      </w:r>
      <w:r>
        <w:fldChar w:fldCharType="separate"/>
      </w:r>
      <w:r>
        <w:rPr>
          <w:noProof/>
        </w:rPr>
        <w:t>1</w:t>
      </w:r>
      <w:r>
        <w:fldChar w:fldCharType="end"/>
      </w:r>
      <w:r>
        <w:t xml:space="preserve">. Stock-and-flow diagram based on </w:t>
      </w:r>
      <w:r w:rsidR="00C32E55">
        <w:t>Club of Rome</w:t>
      </w:r>
      <w:r w:rsidR="00851F6F" w:rsidRPr="00AC625C">
        <w:t xml:space="preserve"> </w:t>
      </w:r>
      <w:r>
        <w:t>(2020)</w:t>
      </w:r>
      <w:r w:rsidR="0097172B">
        <w:t>. The dotted arrow</w:t>
      </w:r>
      <w:r w:rsidR="005D340D">
        <w:t xml:space="preserve"> is an</w:t>
      </w:r>
      <w:r w:rsidR="0097172B">
        <w:t xml:space="preserve"> assumptio</w:t>
      </w:r>
      <w:r w:rsidR="005D340D">
        <w:t>n</w:t>
      </w:r>
      <w:r w:rsidR="0097172B">
        <w:t xml:space="preserve"> induced from the document.</w:t>
      </w:r>
    </w:p>
    <w:p w14:paraId="699DA5B0" w14:textId="77777777" w:rsidR="001E635A" w:rsidRPr="00D71721" w:rsidRDefault="001E635A" w:rsidP="001E635A">
      <w:pPr>
        <w:jc w:val="both"/>
        <w:rPr>
          <w:lang w:val="en-US"/>
        </w:rPr>
      </w:pPr>
    </w:p>
    <w:tbl>
      <w:tblPr>
        <w:tblStyle w:val="TableGrid"/>
        <w:tblW w:w="0" w:type="auto"/>
        <w:tblLook w:val="04A0" w:firstRow="1" w:lastRow="0" w:firstColumn="1" w:lastColumn="0" w:noHBand="0" w:noVBand="1"/>
      </w:tblPr>
      <w:tblGrid>
        <w:gridCol w:w="1838"/>
        <w:gridCol w:w="2835"/>
        <w:gridCol w:w="3686"/>
        <w:gridCol w:w="651"/>
      </w:tblGrid>
      <w:tr w:rsidR="000778AD" w:rsidRPr="000778AD" w14:paraId="09FE6DCA" w14:textId="77777777" w:rsidTr="008252F7">
        <w:tc>
          <w:tcPr>
            <w:tcW w:w="1838" w:type="dxa"/>
          </w:tcPr>
          <w:p w14:paraId="5327A819" w14:textId="47025884" w:rsidR="00555F9D" w:rsidRPr="000778AD" w:rsidRDefault="00555F9D" w:rsidP="000778AD">
            <w:pPr>
              <w:spacing w:line="276" w:lineRule="auto"/>
              <w:jc w:val="center"/>
              <w:rPr>
                <w:b/>
                <w:bCs/>
                <w:color w:val="000000" w:themeColor="text1"/>
                <w:sz w:val="20"/>
                <w:szCs w:val="20"/>
                <w:lang w:val="en-US"/>
              </w:rPr>
            </w:pPr>
            <w:r w:rsidRPr="000778AD">
              <w:rPr>
                <w:b/>
                <w:bCs/>
                <w:color w:val="000000" w:themeColor="text1"/>
                <w:sz w:val="20"/>
                <w:szCs w:val="20"/>
                <w:lang w:val="en-US"/>
              </w:rPr>
              <w:t>Variable name</w:t>
            </w:r>
          </w:p>
        </w:tc>
        <w:tc>
          <w:tcPr>
            <w:tcW w:w="2835" w:type="dxa"/>
          </w:tcPr>
          <w:p w14:paraId="3368A80A" w14:textId="6623BBD2" w:rsidR="00555F9D" w:rsidRPr="000778AD" w:rsidRDefault="00555F9D" w:rsidP="000778AD">
            <w:pPr>
              <w:spacing w:line="276" w:lineRule="auto"/>
              <w:jc w:val="center"/>
              <w:rPr>
                <w:b/>
                <w:bCs/>
                <w:color w:val="000000" w:themeColor="text1"/>
                <w:sz w:val="20"/>
                <w:szCs w:val="20"/>
                <w:lang w:val="en-US"/>
              </w:rPr>
            </w:pPr>
            <w:r w:rsidRPr="000778AD">
              <w:rPr>
                <w:b/>
                <w:bCs/>
                <w:color w:val="000000" w:themeColor="text1"/>
                <w:sz w:val="20"/>
                <w:szCs w:val="20"/>
                <w:lang w:val="en-US"/>
              </w:rPr>
              <w:t>Description</w:t>
            </w:r>
          </w:p>
        </w:tc>
        <w:tc>
          <w:tcPr>
            <w:tcW w:w="3686" w:type="dxa"/>
          </w:tcPr>
          <w:p w14:paraId="4290E0E8" w14:textId="6453AFBB" w:rsidR="00555F9D" w:rsidRPr="000778AD" w:rsidRDefault="00555F9D" w:rsidP="000778AD">
            <w:pPr>
              <w:spacing w:line="276" w:lineRule="auto"/>
              <w:jc w:val="center"/>
              <w:rPr>
                <w:b/>
                <w:bCs/>
                <w:color w:val="000000" w:themeColor="text1"/>
                <w:sz w:val="20"/>
                <w:szCs w:val="20"/>
                <w:lang w:val="en-US"/>
              </w:rPr>
            </w:pPr>
            <w:r w:rsidRPr="000778AD">
              <w:rPr>
                <w:b/>
                <w:bCs/>
                <w:color w:val="000000" w:themeColor="text1"/>
                <w:sz w:val="20"/>
                <w:szCs w:val="20"/>
                <w:lang w:val="en-US"/>
              </w:rPr>
              <w:t>Quote</w:t>
            </w:r>
          </w:p>
        </w:tc>
        <w:tc>
          <w:tcPr>
            <w:tcW w:w="651" w:type="dxa"/>
          </w:tcPr>
          <w:p w14:paraId="5103631F" w14:textId="151E32D5" w:rsidR="00555F9D" w:rsidRPr="000778AD" w:rsidRDefault="00555F9D" w:rsidP="000778AD">
            <w:pPr>
              <w:spacing w:line="276" w:lineRule="auto"/>
              <w:rPr>
                <w:b/>
                <w:bCs/>
                <w:color w:val="000000" w:themeColor="text1"/>
                <w:sz w:val="20"/>
                <w:szCs w:val="20"/>
                <w:lang w:val="en-US"/>
              </w:rPr>
            </w:pPr>
            <w:r w:rsidRPr="000778AD">
              <w:rPr>
                <w:b/>
                <w:bCs/>
                <w:color w:val="000000" w:themeColor="text1"/>
                <w:sz w:val="20"/>
                <w:szCs w:val="20"/>
                <w:lang w:val="en-US"/>
              </w:rPr>
              <w:t>Page</w:t>
            </w:r>
          </w:p>
        </w:tc>
      </w:tr>
      <w:tr w:rsidR="000778AD" w:rsidRPr="000778AD" w14:paraId="0B19D96F" w14:textId="77777777" w:rsidTr="008252F7">
        <w:tc>
          <w:tcPr>
            <w:tcW w:w="1838" w:type="dxa"/>
          </w:tcPr>
          <w:p w14:paraId="00C6837A" w14:textId="3602E585" w:rsidR="00555F9D" w:rsidRPr="004B0639" w:rsidRDefault="008252F7" w:rsidP="000778AD">
            <w:pPr>
              <w:spacing w:line="276" w:lineRule="auto"/>
              <w:rPr>
                <w:color w:val="000000" w:themeColor="text1"/>
                <w:sz w:val="20"/>
                <w:szCs w:val="20"/>
                <w:lang w:val="en-US"/>
              </w:rPr>
            </w:pPr>
            <w:r>
              <w:rPr>
                <w:color w:val="000000" w:themeColor="text1"/>
                <w:sz w:val="20"/>
                <w:szCs w:val="20"/>
                <w:lang w:val="en-US"/>
              </w:rPr>
              <w:t>Number of institutions reporting on well-being measures</w:t>
            </w:r>
          </w:p>
        </w:tc>
        <w:tc>
          <w:tcPr>
            <w:tcW w:w="2835" w:type="dxa"/>
          </w:tcPr>
          <w:p w14:paraId="5AAE8F6C" w14:textId="309E35FB" w:rsidR="00555F9D" w:rsidRPr="004B0639" w:rsidRDefault="00E716C7" w:rsidP="000778AD">
            <w:pPr>
              <w:spacing w:line="276" w:lineRule="auto"/>
              <w:rPr>
                <w:color w:val="000000" w:themeColor="text1"/>
                <w:sz w:val="20"/>
                <w:szCs w:val="20"/>
                <w:lang w:val="en-US"/>
              </w:rPr>
            </w:pPr>
            <w:r w:rsidRPr="004B0639">
              <w:rPr>
                <w:color w:val="000000" w:themeColor="text1"/>
                <w:sz w:val="20"/>
                <w:szCs w:val="20"/>
                <w:lang w:val="en-US"/>
              </w:rPr>
              <w:t xml:space="preserve">The number of </w:t>
            </w:r>
            <w:r w:rsidR="008252F7">
              <w:rPr>
                <w:color w:val="000000" w:themeColor="text1"/>
                <w:sz w:val="20"/>
                <w:szCs w:val="20"/>
                <w:lang w:val="en-US"/>
              </w:rPr>
              <w:t>organizations that have adopted alternative accounting</w:t>
            </w:r>
          </w:p>
        </w:tc>
        <w:tc>
          <w:tcPr>
            <w:tcW w:w="3686" w:type="dxa"/>
          </w:tcPr>
          <w:p w14:paraId="667BB6B9" w14:textId="6158777A" w:rsidR="00555F9D" w:rsidRPr="004B0639" w:rsidRDefault="008252F7" w:rsidP="00E716C7">
            <w:pPr>
              <w:pStyle w:val="NormalWeb"/>
              <w:rPr>
                <w:sz w:val="20"/>
                <w:szCs w:val="20"/>
              </w:rPr>
            </w:pPr>
            <w:r w:rsidRPr="008252F7">
              <w:rPr>
                <w:sz w:val="20"/>
                <w:szCs w:val="20"/>
              </w:rPr>
              <w:t>Bundling new economic measures and indicators of wellbeing and social progress in a way that values wellbeing, health and nature rather than being fully dependent on growth as measured by GDP</w:t>
            </w:r>
          </w:p>
        </w:tc>
        <w:tc>
          <w:tcPr>
            <w:tcW w:w="651" w:type="dxa"/>
          </w:tcPr>
          <w:p w14:paraId="75C11399" w14:textId="1F5F35CC" w:rsidR="00555F9D" w:rsidRPr="004B0639" w:rsidRDefault="008252F7" w:rsidP="000778AD">
            <w:pPr>
              <w:spacing w:line="276" w:lineRule="auto"/>
              <w:rPr>
                <w:color w:val="000000" w:themeColor="text1"/>
                <w:sz w:val="20"/>
                <w:szCs w:val="20"/>
                <w:lang w:val="en-US"/>
              </w:rPr>
            </w:pPr>
            <w:r>
              <w:rPr>
                <w:color w:val="000000" w:themeColor="text1"/>
                <w:sz w:val="20"/>
                <w:szCs w:val="20"/>
                <w:lang w:val="en-US"/>
              </w:rPr>
              <w:t>5</w:t>
            </w:r>
          </w:p>
        </w:tc>
      </w:tr>
      <w:tr w:rsidR="000778AD" w:rsidRPr="000778AD" w14:paraId="08E85EE2" w14:textId="77777777" w:rsidTr="008252F7">
        <w:tc>
          <w:tcPr>
            <w:tcW w:w="1838" w:type="dxa"/>
          </w:tcPr>
          <w:p w14:paraId="79B72CBF" w14:textId="61C31B76" w:rsidR="00555F9D" w:rsidRPr="004B0639" w:rsidRDefault="008252F7" w:rsidP="000778AD">
            <w:pPr>
              <w:spacing w:line="276" w:lineRule="auto"/>
              <w:rPr>
                <w:color w:val="000000" w:themeColor="text1"/>
                <w:sz w:val="20"/>
                <w:szCs w:val="20"/>
                <w:lang w:val="en-US"/>
              </w:rPr>
            </w:pPr>
            <w:r>
              <w:rPr>
                <w:color w:val="000000" w:themeColor="text1"/>
                <w:sz w:val="20"/>
                <w:szCs w:val="20"/>
                <w:lang w:val="en-US"/>
              </w:rPr>
              <w:t>Number of policies aligned to well-being measures</w:t>
            </w:r>
          </w:p>
        </w:tc>
        <w:tc>
          <w:tcPr>
            <w:tcW w:w="2835" w:type="dxa"/>
          </w:tcPr>
          <w:p w14:paraId="033C88C9" w14:textId="23CA629F" w:rsidR="00555F9D" w:rsidRPr="004B0639" w:rsidRDefault="00E716C7" w:rsidP="000778AD">
            <w:pPr>
              <w:spacing w:line="276" w:lineRule="auto"/>
              <w:rPr>
                <w:color w:val="000000" w:themeColor="text1"/>
                <w:sz w:val="20"/>
                <w:szCs w:val="20"/>
                <w:lang w:val="en-US"/>
              </w:rPr>
            </w:pPr>
            <w:r w:rsidRPr="004B0639">
              <w:rPr>
                <w:color w:val="000000" w:themeColor="text1"/>
                <w:sz w:val="20"/>
                <w:szCs w:val="20"/>
                <w:lang w:val="en-US"/>
              </w:rPr>
              <w:t xml:space="preserve">The number of </w:t>
            </w:r>
            <w:r w:rsidR="008252F7">
              <w:rPr>
                <w:color w:val="000000" w:themeColor="text1"/>
                <w:sz w:val="20"/>
                <w:szCs w:val="20"/>
                <w:lang w:val="en-US"/>
              </w:rPr>
              <w:t>organizations that base their decision-making on wellbeing rather than economic growth</w:t>
            </w:r>
          </w:p>
        </w:tc>
        <w:tc>
          <w:tcPr>
            <w:tcW w:w="3686" w:type="dxa"/>
          </w:tcPr>
          <w:p w14:paraId="19E673F1" w14:textId="786C432F" w:rsidR="00555F9D" w:rsidRPr="004B0639" w:rsidRDefault="008252F7" w:rsidP="000778AD">
            <w:pPr>
              <w:rPr>
                <w:color w:val="000000" w:themeColor="text1"/>
                <w:sz w:val="20"/>
                <w:szCs w:val="20"/>
                <w:lang w:val="en-US"/>
              </w:rPr>
            </w:pPr>
            <w:r w:rsidRPr="008252F7">
              <w:rPr>
                <w:color w:val="000000" w:themeColor="text1"/>
                <w:sz w:val="20"/>
                <w:szCs w:val="20"/>
              </w:rPr>
              <w:t>Aligning the EU’s policy framework with the pursuit of collective, sustainable and inclusive wellbeing rather than narrow GDP growth.</w:t>
            </w:r>
          </w:p>
        </w:tc>
        <w:tc>
          <w:tcPr>
            <w:tcW w:w="651" w:type="dxa"/>
          </w:tcPr>
          <w:p w14:paraId="445841FD" w14:textId="602EA9EC" w:rsidR="00555F9D" w:rsidRPr="004B0639" w:rsidRDefault="008252F7" w:rsidP="000778AD">
            <w:pPr>
              <w:spacing w:line="276" w:lineRule="auto"/>
              <w:rPr>
                <w:color w:val="000000" w:themeColor="text1"/>
                <w:sz w:val="20"/>
                <w:szCs w:val="20"/>
                <w:lang w:val="en-US"/>
              </w:rPr>
            </w:pPr>
            <w:r>
              <w:rPr>
                <w:color w:val="000000" w:themeColor="text1"/>
                <w:sz w:val="20"/>
                <w:szCs w:val="20"/>
                <w:lang w:val="en-US"/>
              </w:rPr>
              <w:t>5</w:t>
            </w:r>
          </w:p>
        </w:tc>
      </w:tr>
      <w:tr w:rsidR="000778AD" w:rsidRPr="000778AD" w14:paraId="2BC7B179" w14:textId="77777777" w:rsidTr="008252F7">
        <w:tc>
          <w:tcPr>
            <w:tcW w:w="1838" w:type="dxa"/>
          </w:tcPr>
          <w:p w14:paraId="558CB1A8" w14:textId="11E8250A" w:rsidR="00555F9D" w:rsidRPr="004B0639" w:rsidRDefault="008252F7" w:rsidP="000778AD">
            <w:pPr>
              <w:spacing w:line="276" w:lineRule="auto"/>
              <w:rPr>
                <w:color w:val="000000" w:themeColor="text1"/>
                <w:sz w:val="20"/>
                <w:szCs w:val="20"/>
                <w:lang w:val="en-US"/>
              </w:rPr>
            </w:pPr>
            <w:r>
              <w:rPr>
                <w:color w:val="000000" w:themeColor="text1"/>
                <w:sz w:val="20"/>
                <w:szCs w:val="20"/>
                <w:lang w:val="en-US"/>
              </w:rPr>
              <w:t>Gross domestic product</w:t>
            </w:r>
          </w:p>
        </w:tc>
        <w:tc>
          <w:tcPr>
            <w:tcW w:w="2835" w:type="dxa"/>
          </w:tcPr>
          <w:p w14:paraId="118864A8" w14:textId="5719A51B" w:rsidR="00555F9D" w:rsidRPr="004B0639" w:rsidRDefault="00E716C7" w:rsidP="000778AD">
            <w:pPr>
              <w:spacing w:line="276" w:lineRule="auto"/>
              <w:rPr>
                <w:color w:val="000000" w:themeColor="text1"/>
                <w:sz w:val="20"/>
                <w:szCs w:val="20"/>
                <w:lang w:val="en-US"/>
              </w:rPr>
            </w:pPr>
            <w:r w:rsidRPr="004B0639">
              <w:rPr>
                <w:color w:val="000000" w:themeColor="text1"/>
                <w:sz w:val="20"/>
                <w:szCs w:val="20"/>
                <w:lang w:val="en-US"/>
              </w:rPr>
              <w:t xml:space="preserve">The </w:t>
            </w:r>
            <w:r w:rsidR="008252F7">
              <w:rPr>
                <w:color w:val="000000" w:themeColor="text1"/>
                <w:sz w:val="20"/>
                <w:szCs w:val="20"/>
                <w:lang w:val="en-US"/>
              </w:rPr>
              <w:t>size of economic production</w:t>
            </w:r>
          </w:p>
        </w:tc>
        <w:tc>
          <w:tcPr>
            <w:tcW w:w="3686" w:type="dxa"/>
          </w:tcPr>
          <w:p w14:paraId="01F48738" w14:textId="30B0275D" w:rsidR="00555F9D" w:rsidRPr="004B0639" w:rsidRDefault="008252F7" w:rsidP="000778AD">
            <w:pPr>
              <w:spacing w:line="276" w:lineRule="auto"/>
              <w:rPr>
                <w:color w:val="000000" w:themeColor="text1"/>
                <w:sz w:val="20"/>
                <w:szCs w:val="20"/>
                <w:lang w:val="en-US"/>
              </w:rPr>
            </w:pPr>
            <w:r w:rsidRPr="008252F7">
              <w:rPr>
                <w:color w:val="000000" w:themeColor="text1"/>
                <w:sz w:val="20"/>
                <w:szCs w:val="20"/>
              </w:rPr>
              <w:t>A circular economy serving needs rather than driving consumption from production</w:t>
            </w:r>
          </w:p>
        </w:tc>
        <w:tc>
          <w:tcPr>
            <w:tcW w:w="651" w:type="dxa"/>
          </w:tcPr>
          <w:p w14:paraId="388A46B7" w14:textId="4D2E770A" w:rsidR="00555F9D" w:rsidRPr="004B0639" w:rsidRDefault="008252F7" w:rsidP="000778AD">
            <w:pPr>
              <w:spacing w:line="276" w:lineRule="auto"/>
              <w:rPr>
                <w:color w:val="000000" w:themeColor="text1"/>
                <w:sz w:val="20"/>
                <w:szCs w:val="20"/>
                <w:lang w:val="en-US"/>
              </w:rPr>
            </w:pPr>
            <w:r>
              <w:rPr>
                <w:color w:val="000000" w:themeColor="text1"/>
                <w:sz w:val="20"/>
                <w:szCs w:val="20"/>
                <w:lang w:val="en-US"/>
              </w:rPr>
              <w:t>4</w:t>
            </w:r>
          </w:p>
        </w:tc>
      </w:tr>
    </w:tbl>
    <w:p w14:paraId="296D28DA" w14:textId="5352B156" w:rsidR="007E7175" w:rsidRDefault="000778AD" w:rsidP="000778AD">
      <w:pPr>
        <w:pStyle w:val="Caption"/>
      </w:pPr>
      <w:r>
        <w:t xml:space="preserve">Table </w:t>
      </w:r>
      <w:r>
        <w:fldChar w:fldCharType="begin"/>
      </w:r>
      <w:r>
        <w:instrText xml:space="preserve"> SEQ Table \* ARABIC </w:instrText>
      </w:r>
      <w:r>
        <w:fldChar w:fldCharType="separate"/>
      </w:r>
      <w:r>
        <w:rPr>
          <w:noProof/>
        </w:rPr>
        <w:t>1</w:t>
      </w:r>
      <w:r>
        <w:fldChar w:fldCharType="end"/>
      </w:r>
      <w:r>
        <w:t>. A description of the most important variables in the model.</w:t>
      </w:r>
    </w:p>
    <w:p w14:paraId="4B36C5A7" w14:textId="77777777" w:rsidR="00851F6F" w:rsidRPr="00851F6F" w:rsidRDefault="00851F6F" w:rsidP="00851F6F">
      <w:pPr>
        <w:rPr>
          <w:lang w:val="en-US"/>
        </w:rPr>
      </w:pPr>
    </w:p>
    <w:p w14:paraId="39675499" w14:textId="77777777" w:rsidR="0097172B" w:rsidRDefault="0097172B" w:rsidP="00551B3B">
      <w:pPr>
        <w:rPr>
          <w:b/>
          <w:bCs/>
        </w:rPr>
      </w:pPr>
    </w:p>
    <w:p w14:paraId="300A9951" w14:textId="63867C9C" w:rsidR="00551B3B" w:rsidRPr="00551B3B" w:rsidRDefault="00551B3B" w:rsidP="00C32E55">
      <w:pPr>
        <w:spacing w:line="360" w:lineRule="auto"/>
        <w:rPr>
          <w:b/>
          <w:bCs/>
        </w:rPr>
      </w:pPr>
      <w:r w:rsidRPr="00551B3B">
        <w:rPr>
          <w:b/>
          <w:bCs/>
        </w:rPr>
        <w:t>References</w:t>
      </w:r>
    </w:p>
    <w:p w14:paraId="5E5451FC" w14:textId="2AAA158F" w:rsidR="0055099C" w:rsidRPr="0055099C" w:rsidRDefault="00C32E55" w:rsidP="00C32E55">
      <w:pPr>
        <w:spacing w:line="276" w:lineRule="auto"/>
      </w:pPr>
      <w:r>
        <w:rPr>
          <w:lang w:val="en-US"/>
        </w:rPr>
        <w:t>Club of Rome</w:t>
      </w:r>
      <w:r w:rsidR="0055099C" w:rsidRPr="0055099C">
        <w:rPr>
          <w:shd w:val="clear" w:color="auto" w:fill="FFFFFF"/>
        </w:rPr>
        <w:t xml:space="preserve"> </w:t>
      </w:r>
      <w:r w:rsidR="0055099C" w:rsidRPr="0055099C">
        <w:t xml:space="preserve">(2020) </w:t>
      </w:r>
      <w:r>
        <w:rPr>
          <w:i/>
          <w:lang w:val="en-US"/>
        </w:rPr>
        <w:t>21</w:t>
      </w:r>
      <w:r w:rsidRPr="00C32E55">
        <w:rPr>
          <w:i/>
          <w:vertAlign w:val="superscript"/>
          <w:lang w:val="en-US"/>
        </w:rPr>
        <w:t>st</w:t>
      </w:r>
      <w:r>
        <w:rPr>
          <w:i/>
          <w:lang w:val="en-US"/>
        </w:rPr>
        <w:t xml:space="preserve"> century wellbeing economics: The road to recovery, renewal &amp; resilience</w:t>
      </w:r>
      <w:r w:rsidR="0055099C" w:rsidRPr="0055099C">
        <w:rPr>
          <w:i/>
        </w:rPr>
        <w:t>.</w:t>
      </w:r>
      <w:r w:rsidR="0055099C" w:rsidRPr="0055099C">
        <w:t xml:space="preserve"> </w:t>
      </w:r>
      <w:r w:rsidRPr="00C32E55">
        <w:t>https://clubofrome.org/wp-content/uploads/2020/09/21ST-Century-WELLBEING-1.pdf</w:t>
      </w:r>
      <w:r w:rsidR="0055099C" w:rsidRPr="0055099C">
        <w:t>, accessed on 2</w:t>
      </w:r>
      <w:r>
        <w:rPr>
          <w:lang w:val="en-US"/>
        </w:rPr>
        <w:t>1</w:t>
      </w:r>
      <w:r w:rsidR="0055099C" w:rsidRPr="0055099C">
        <w:t xml:space="preserve"> October 2020.</w:t>
      </w:r>
    </w:p>
    <w:p w14:paraId="69C648E9" w14:textId="77777777" w:rsidR="00ED74B1" w:rsidRDefault="00ED74B1" w:rsidP="00ED74B1">
      <w:pPr>
        <w:spacing w:line="360" w:lineRule="auto"/>
        <w:jc w:val="both"/>
      </w:pPr>
    </w:p>
    <w:sectPr w:rsidR="00ED74B1" w:rsidSect="00D2219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035F5B"/>
    <w:multiLevelType w:val="hybridMultilevel"/>
    <w:tmpl w:val="D69A4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335D8A"/>
    <w:multiLevelType w:val="multilevel"/>
    <w:tmpl w:val="9522E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C24600A"/>
    <w:multiLevelType w:val="multilevel"/>
    <w:tmpl w:val="67802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3EC3360"/>
    <w:multiLevelType w:val="multilevel"/>
    <w:tmpl w:val="5ECC2B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4B1"/>
    <w:rsid w:val="000778AD"/>
    <w:rsid w:val="00094EBF"/>
    <w:rsid w:val="001A0451"/>
    <w:rsid w:val="001C2693"/>
    <w:rsid w:val="001E635A"/>
    <w:rsid w:val="00313434"/>
    <w:rsid w:val="0039501B"/>
    <w:rsid w:val="00407800"/>
    <w:rsid w:val="00451284"/>
    <w:rsid w:val="004845CC"/>
    <w:rsid w:val="004A19B3"/>
    <w:rsid w:val="004A7DAC"/>
    <w:rsid w:val="004B0639"/>
    <w:rsid w:val="004B4301"/>
    <w:rsid w:val="004F28DE"/>
    <w:rsid w:val="005109D3"/>
    <w:rsid w:val="0055099C"/>
    <w:rsid w:val="00551B3B"/>
    <w:rsid w:val="00555F9D"/>
    <w:rsid w:val="005D340D"/>
    <w:rsid w:val="0060512C"/>
    <w:rsid w:val="006213F0"/>
    <w:rsid w:val="00626184"/>
    <w:rsid w:val="006344D0"/>
    <w:rsid w:val="006D4A60"/>
    <w:rsid w:val="006E444C"/>
    <w:rsid w:val="00741D9D"/>
    <w:rsid w:val="007A742E"/>
    <w:rsid w:val="007B6E62"/>
    <w:rsid w:val="007E7175"/>
    <w:rsid w:val="008252F7"/>
    <w:rsid w:val="00851F6F"/>
    <w:rsid w:val="008A1A62"/>
    <w:rsid w:val="008A7052"/>
    <w:rsid w:val="0097172B"/>
    <w:rsid w:val="00AC43CE"/>
    <w:rsid w:val="00AC625C"/>
    <w:rsid w:val="00BB0057"/>
    <w:rsid w:val="00BD41CE"/>
    <w:rsid w:val="00BD7C26"/>
    <w:rsid w:val="00BF12D6"/>
    <w:rsid w:val="00C32E55"/>
    <w:rsid w:val="00C558C6"/>
    <w:rsid w:val="00D22190"/>
    <w:rsid w:val="00D71721"/>
    <w:rsid w:val="00D722C3"/>
    <w:rsid w:val="00E02FE8"/>
    <w:rsid w:val="00E716C7"/>
    <w:rsid w:val="00EA3DBE"/>
    <w:rsid w:val="00ED74B1"/>
    <w:rsid w:val="00EE6037"/>
    <w:rsid w:val="00F36636"/>
  </w:rsids>
  <m:mathPr>
    <m:mathFont m:val="Cambria Math"/>
    <m:brkBin m:val="before"/>
    <m:brkBinSub m:val="--"/>
    <m:smallFrac m:val="0"/>
    <m:dispDef/>
    <m:lMargin m:val="0"/>
    <m:rMargin m:val="0"/>
    <m:defJc m:val="centerGroup"/>
    <m:wrapIndent m:val="1440"/>
    <m:intLim m:val="subSup"/>
    <m:naryLim m:val="undOvr"/>
  </m:mathPr>
  <w:themeFontLang w:val="en-M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D4104"/>
  <w15:chartTrackingRefBased/>
  <w15:docId w15:val="{0835A1D0-4D85-0D4A-B883-6F36C6392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M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FE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74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D74B1"/>
    <w:pPr>
      <w:shd w:val="clear" w:color="auto" w:fill="FFFFFF"/>
      <w:spacing w:before="100" w:beforeAutospacing="1" w:after="100" w:afterAutospacing="1"/>
    </w:pPr>
    <w:rPr>
      <w:color w:val="000000" w:themeColor="text1"/>
    </w:rPr>
  </w:style>
  <w:style w:type="paragraph" w:styleId="Caption">
    <w:name w:val="caption"/>
    <w:basedOn w:val="Normal"/>
    <w:next w:val="Normal"/>
    <w:uiPriority w:val="35"/>
    <w:unhideWhenUsed/>
    <w:qFormat/>
    <w:rsid w:val="00ED74B1"/>
    <w:pPr>
      <w:spacing w:after="200"/>
    </w:pPr>
    <w:rPr>
      <w:rFonts w:eastAsiaTheme="minorHAnsi"/>
      <w:i/>
      <w:iCs/>
      <w:color w:val="44546A" w:themeColor="text2"/>
      <w:sz w:val="18"/>
      <w:szCs w:val="18"/>
      <w:lang w:val="en-US"/>
    </w:rPr>
  </w:style>
  <w:style w:type="character" w:styleId="Hyperlink">
    <w:name w:val="Hyperlink"/>
    <w:basedOn w:val="DefaultParagraphFont"/>
    <w:uiPriority w:val="99"/>
    <w:unhideWhenUsed/>
    <w:rsid w:val="00551B3B"/>
    <w:rPr>
      <w:color w:val="0563C1" w:themeColor="hyperlink"/>
      <w:u w:val="single"/>
    </w:rPr>
  </w:style>
  <w:style w:type="paragraph" w:styleId="ListParagraph">
    <w:name w:val="List Paragraph"/>
    <w:basedOn w:val="Normal"/>
    <w:uiPriority w:val="34"/>
    <w:qFormat/>
    <w:rsid w:val="0055099C"/>
    <w:pPr>
      <w:spacing w:line="276" w:lineRule="auto"/>
      <w:ind w:left="720"/>
      <w:contextualSpacing/>
      <w:jc w:val="both"/>
    </w:pPr>
    <w:rPr>
      <w:rFonts w:eastAsiaTheme="minorHAns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0015072">
      <w:bodyDiv w:val="1"/>
      <w:marLeft w:val="0"/>
      <w:marRight w:val="0"/>
      <w:marTop w:val="0"/>
      <w:marBottom w:val="0"/>
      <w:divBdr>
        <w:top w:val="none" w:sz="0" w:space="0" w:color="auto"/>
        <w:left w:val="none" w:sz="0" w:space="0" w:color="auto"/>
        <w:bottom w:val="none" w:sz="0" w:space="0" w:color="auto"/>
        <w:right w:val="none" w:sz="0" w:space="0" w:color="auto"/>
      </w:divBdr>
      <w:divsChild>
        <w:div w:id="106510580">
          <w:marLeft w:val="0"/>
          <w:marRight w:val="0"/>
          <w:marTop w:val="0"/>
          <w:marBottom w:val="0"/>
          <w:divBdr>
            <w:top w:val="none" w:sz="0" w:space="0" w:color="auto"/>
            <w:left w:val="none" w:sz="0" w:space="0" w:color="auto"/>
            <w:bottom w:val="none" w:sz="0" w:space="0" w:color="auto"/>
            <w:right w:val="none" w:sz="0" w:space="0" w:color="auto"/>
          </w:divBdr>
          <w:divsChild>
            <w:div w:id="1565481343">
              <w:marLeft w:val="0"/>
              <w:marRight w:val="0"/>
              <w:marTop w:val="0"/>
              <w:marBottom w:val="0"/>
              <w:divBdr>
                <w:top w:val="none" w:sz="0" w:space="0" w:color="auto"/>
                <w:left w:val="none" w:sz="0" w:space="0" w:color="auto"/>
                <w:bottom w:val="none" w:sz="0" w:space="0" w:color="auto"/>
                <w:right w:val="none" w:sz="0" w:space="0" w:color="auto"/>
              </w:divBdr>
              <w:divsChild>
                <w:div w:id="552808617">
                  <w:marLeft w:val="0"/>
                  <w:marRight w:val="0"/>
                  <w:marTop w:val="0"/>
                  <w:marBottom w:val="0"/>
                  <w:divBdr>
                    <w:top w:val="none" w:sz="0" w:space="0" w:color="auto"/>
                    <w:left w:val="none" w:sz="0" w:space="0" w:color="auto"/>
                    <w:bottom w:val="none" w:sz="0" w:space="0" w:color="auto"/>
                    <w:right w:val="none" w:sz="0" w:space="0" w:color="auto"/>
                  </w:divBdr>
                  <w:divsChild>
                    <w:div w:id="5859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2491800">
      <w:bodyDiv w:val="1"/>
      <w:marLeft w:val="0"/>
      <w:marRight w:val="0"/>
      <w:marTop w:val="0"/>
      <w:marBottom w:val="0"/>
      <w:divBdr>
        <w:top w:val="none" w:sz="0" w:space="0" w:color="auto"/>
        <w:left w:val="none" w:sz="0" w:space="0" w:color="auto"/>
        <w:bottom w:val="none" w:sz="0" w:space="0" w:color="auto"/>
        <w:right w:val="none" w:sz="0" w:space="0" w:color="auto"/>
      </w:divBdr>
    </w:div>
    <w:div w:id="911083243">
      <w:bodyDiv w:val="1"/>
      <w:marLeft w:val="0"/>
      <w:marRight w:val="0"/>
      <w:marTop w:val="0"/>
      <w:marBottom w:val="0"/>
      <w:divBdr>
        <w:top w:val="none" w:sz="0" w:space="0" w:color="auto"/>
        <w:left w:val="none" w:sz="0" w:space="0" w:color="auto"/>
        <w:bottom w:val="none" w:sz="0" w:space="0" w:color="auto"/>
        <w:right w:val="none" w:sz="0" w:space="0" w:color="auto"/>
      </w:divBdr>
    </w:div>
    <w:div w:id="1063483438">
      <w:bodyDiv w:val="1"/>
      <w:marLeft w:val="0"/>
      <w:marRight w:val="0"/>
      <w:marTop w:val="0"/>
      <w:marBottom w:val="0"/>
      <w:divBdr>
        <w:top w:val="none" w:sz="0" w:space="0" w:color="auto"/>
        <w:left w:val="none" w:sz="0" w:space="0" w:color="auto"/>
        <w:bottom w:val="none" w:sz="0" w:space="0" w:color="auto"/>
        <w:right w:val="none" w:sz="0" w:space="0" w:color="auto"/>
      </w:divBdr>
      <w:divsChild>
        <w:div w:id="1448743475">
          <w:marLeft w:val="0"/>
          <w:marRight w:val="0"/>
          <w:marTop w:val="0"/>
          <w:marBottom w:val="0"/>
          <w:divBdr>
            <w:top w:val="none" w:sz="0" w:space="0" w:color="auto"/>
            <w:left w:val="none" w:sz="0" w:space="0" w:color="auto"/>
            <w:bottom w:val="none" w:sz="0" w:space="0" w:color="auto"/>
            <w:right w:val="none" w:sz="0" w:space="0" w:color="auto"/>
          </w:divBdr>
          <w:divsChild>
            <w:div w:id="232786350">
              <w:marLeft w:val="0"/>
              <w:marRight w:val="0"/>
              <w:marTop w:val="0"/>
              <w:marBottom w:val="0"/>
              <w:divBdr>
                <w:top w:val="none" w:sz="0" w:space="0" w:color="auto"/>
                <w:left w:val="none" w:sz="0" w:space="0" w:color="auto"/>
                <w:bottom w:val="none" w:sz="0" w:space="0" w:color="auto"/>
                <w:right w:val="none" w:sz="0" w:space="0" w:color="auto"/>
              </w:divBdr>
              <w:divsChild>
                <w:div w:id="1992248652">
                  <w:marLeft w:val="0"/>
                  <w:marRight w:val="0"/>
                  <w:marTop w:val="0"/>
                  <w:marBottom w:val="0"/>
                  <w:divBdr>
                    <w:top w:val="none" w:sz="0" w:space="0" w:color="auto"/>
                    <w:left w:val="none" w:sz="0" w:space="0" w:color="auto"/>
                    <w:bottom w:val="none" w:sz="0" w:space="0" w:color="auto"/>
                    <w:right w:val="none" w:sz="0" w:space="0" w:color="auto"/>
                  </w:divBdr>
                  <w:divsChild>
                    <w:div w:id="72379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246289">
      <w:bodyDiv w:val="1"/>
      <w:marLeft w:val="0"/>
      <w:marRight w:val="0"/>
      <w:marTop w:val="0"/>
      <w:marBottom w:val="0"/>
      <w:divBdr>
        <w:top w:val="none" w:sz="0" w:space="0" w:color="auto"/>
        <w:left w:val="none" w:sz="0" w:space="0" w:color="auto"/>
        <w:bottom w:val="none" w:sz="0" w:space="0" w:color="auto"/>
        <w:right w:val="none" w:sz="0" w:space="0" w:color="auto"/>
      </w:divBdr>
      <w:divsChild>
        <w:div w:id="1186485496">
          <w:marLeft w:val="0"/>
          <w:marRight w:val="0"/>
          <w:marTop w:val="0"/>
          <w:marBottom w:val="0"/>
          <w:divBdr>
            <w:top w:val="none" w:sz="0" w:space="0" w:color="auto"/>
            <w:left w:val="none" w:sz="0" w:space="0" w:color="auto"/>
            <w:bottom w:val="none" w:sz="0" w:space="0" w:color="auto"/>
            <w:right w:val="none" w:sz="0" w:space="0" w:color="auto"/>
          </w:divBdr>
          <w:divsChild>
            <w:div w:id="1255166820">
              <w:marLeft w:val="0"/>
              <w:marRight w:val="0"/>
              <w:marTop w:val="0"/>
              <w:marBottom w:val="0"/>
              <w:divBdr>
                <w:top w:val="none" w:sz="0" w:space="0" w:color="auto"/>
                <w:left w:val="none" w:sz="0" w:space="0" w:color="auto"/>
                <w:bottom w:val="none" w:sz="0" w:space="0" w:color="auto"/>
                <w:right w:val="none" w:sz="0" w:space="0" w:color="auto"/>
              </w:divBdr>
              <w:divsChild>
                <w:div w:id="2069183968">
                  <w:marLeft w:val="0"/>
                  <w:marRight w:val="0"/>
                  <w:marTop w:val="0"/>
                  <w:marBottom w:val="0"/>
                  <w:divBdr>
                    <w:top w:val="none" w:sz="0" w:space="0" w:color="auto"/>
                    <w:left w:val="none" w:sz="0" w:space="0" w:color="auto"/>
                    <w:bottom w:val="none" w:sz="0" w:space="0" w:color="auto"/>
                    <w:right w:val="none" w:sz="0" w:space="0" w:color="auto"/>
                  </w:divBdr>
                  <w:divsChild>
                    <w:div w:id="43556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948265">
      <w:bodyDiv w:val="1"/>
      <w:marLeft w:val="0"/>
      <w:marRight w:val="0"/>
      <w:marTop w:val="0"/>
      <w:marBottom w:val="0"/>
      <w:divBdr>
        <w:top w:val="none" w:sz="0" w:space="0" w:color="auto"/>
        <w:left w:val="none" w:sz="0" w:space="0" w:color="auto"/>
        <w:bottom w:val="none" w:sz="0" w:space="0" w:color="auto"/>
        <w:right w:val="none" w:sz="0" w:space="0" w:color="auto"/>
      </w:divBdr>
    </w:div>
    <w:div w:id="1702704335">
      <w:bodyDiv w:val="1"/>
      <w:marLeft w:val="0"/>
      <w:marRight w:val="0"/>
      <w:marTop w:val="0"/>
      <w:marBottom w:val="0"/>
      <w:divBdr>
        <w:top w:val="none" w:sz="0" w:space="0" w:color="auto"/>
        <w:left w:val="none" w:sz="0" w:space="0" w:color="auto"/>
        <w:bottom w:val="none" w:sz="0" w:space="0" w:color="auto"/>
        <w:right w:val="none" w:sz="0" w:space="0" w:color="auto"/>
      </w:divBdr>
      <w:divsChild>
        <w:div w:id="882447147">
          <w:marLeft w:val="0"/>
          <w:marRight w:val="0"/>
          <w:marTop w:val="0"/>
          <w:marBottom w:val="0"/>
          <w:divBdr>
            <w:top w:val="none" w:sz="0" w:space="0" w:color="auto"/>
            <w:left w:val="none" w:sz="0" w:space="0" w:color="auto"/>
            <w:bottom w:val="none" w:sz="0" w:space="0" w:color="auto"/>
            <w:right w:val="none" w:sz="0" w:space="0" w:color="auto"/>
          </w:divBdr>
          <w:divsChild>
            <w:div w:id="907300994">
              <w:marLeft w:val="0"/>
              <w:marRight w:val="0"/>
              <w:marTop w:val="0"/>
              <w:marBottom w:val="0"/>
              <w:divBdr>
                <w:top w:val="none" w:sz="0" w:space="0" w:color="auto"/>
                <w:left w:val="none" w:sz="0" w:space="0" w:color="auto"/>
                <w:bottom w:val="none" w:sz="0" w:space="0" w:color="auto"/>
                <w:right w:val="none" w:sz="0" w:space="0" w:color="auto"/>
              </w:divBdr>
              <w:divsChild>
                <w:div w:id="1898711082">
                  <w:marLeft w:val="0"/>
                  <w:marRight w:val="0"/>
                  <w:marTop w:val="0"/>
                  <w:marBottom w:val="0"/>
                  <w:divBdr>
                    <w:top w:val="none" w:sz="0" w:space="0" w:color="auto"/>
                    <w:left w:val="none" w:sz="0" w:space="0" w:color="auto"/>
                    <w:bottom w:val="none" w:sz="0" w:space="0" w:color="auto"/>
                    <w:right w:val="none" w:sz="0" w:space="0" w:color="auto"/>
                  </w:divBdr>
                  <w:divsChild>
                    <w:div w:id="183703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640817">
      <w:bodyDiv w:val="1"/>
      <w:marLeft w:val="0"/>
      <w:marRight w:val="0"/>
      <w:marTop w:val="0"/>
      <w:marBottom w:val="0"/>
      <w:divBdr>
        <w:top w:val="none" w:sz="0" w:space="0" w:color="auto"/>
        <w:left w:val="none" w:sz="0" w:space="0" w:color="auto"/>
        <w:bottom w:val="none" w:sz="0" w:space="0" w:color="auto"/>
        <w:right w:val="none" w:sz="0" w:space="0" w:color="auto"/>
      </w:divBdr>
      <w:divsChild>
        <w:div w:id="554700253">
          <w:marLeft w:val="0"/>
          <w:marRight w:val="0"/>
          <w:marTop w:val="0"/>
          <w:marBottom w:val="0"/>
          <w:divBdr>
            <w:top w:val="none" w:sz="0" w:space="0" w:color="auto"/>
            <w:left w:val="none" w:sz="0" w:space="0" w:color="auto"/>
            <w:bottom w:val="none" w:sz="0" w:space="0" w:color="auto"/>
            <w:right w:val="none" w:sz="0" w:space="0" w:color="auto"/>
          </w:divBdr>
          <w:divsChild>
            <w:div w:id="1345012241">
              <w:marLeft w:val="0"/>
              <w:marRight w:val="0"/>
              <w:marTop w:val="0"/>
              <w:marBottom w:val="0"/>
              <w:divBdr>
                <w:top w:val="none" w:sz="0" w:space="0" w:color="auto"/>
                <w:left w:val="none" w:sz="0" w:space="0" w:color="auto"/>
                <w:bottom w:val="none" w:sz="0" w:space="0" w:color="auto"/>
                <w:right w:val="none" w:sz="0" w:space="0" w:color="auto"/>
              </w:divBdr>
              <w:divsChild>
                <w:div w:id="1495606680">
                  <w:marLeft w:val="0"/>
                  <w:marRight w:val="0"/>
                  <w:marTop w:val="0"/>
                  <w:marBottom w:val="0"/>
                  <w:divBdr>
                    <w:top w:val="none" w:sz="0" w:space="0" w:color="auto"/>
                    <w:left w:val="none" w:sz="0" w:space="0" w:color="auto"/>
                    <w:bottom w:val="none" w:sz="0" w:space="0" w:color="auto"/>
                    <w:right w:val="none" w:sz="0" w:space="0" w:color="auto"/>
                  </w:divBdr>
                  <w:divsChild>
                    <w:div w:id="71758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548477">
      <w:bodyDiv w:val="1"/>
      <w:marLeft w:val="0"/>
      <w:marRight w:val="0"/>
      <w:marTop w:val="0"/>
      <w:marBottom w:val="0"/>
      <w:divBdr>
        <w:top w:val="none" w:sz="0" w:space="0" w:color="auto"/>
        <w:left w:val="none" w:sz="0" w:space="0" w:color="auto"/>
        <w:bottom w:val="none" w:sz="0" w:space="0" w:color="auto"/>
        <w:right w:val="none" w:sz="0" w:space="0" w:color="auto"/>
      </w:divBdr>
      <w:divsChild>
        <w:div w:id="1994748909">
          <w:marLeft w:val="0"/>
          <w:marRight w:val="0"/>
          <w:marTop w:val="0"/>
          <w:marBottom w:val="0"/>
          <w:divBdr>
            <w:top w:val="none" w:sz="0" w:space="0" w:color="auto"/>
            <w:left w:val="none" w:sz="0" w:space="0" w:color="auto"/>
            <w:bottom w:val="none" w:sz="0" w:space="0" w:color="auto"/>
            <w:right w:val="none" w:sz="0" w:space="0" w:color="auto"/>
          </w:divBdr>
          <w:divsChild>
            <w:div w:id="2086412960">
              <w:marLeft w:val="0"/>
              <w:marRight w:val="0"/>
              <w:marTop w:val="0"/>
              <w:marBottom w:val="0"/>
              <w:divBdr>
                <w:top w:val="none" w:sz="0" w:space="0" w:color="auto"/>
                <w:left w:val="none" w:sz="0" w:space="0" w:color="auto"/>
                <w:bottom w:val="none" w:sz="0" w:space="0" w:color="auto"/>
                <w:right w:val="none" w:sz="0" w:space="0" w:color="auto"/>
              </w:divBdr>
              <w:divsChild>
                <w:div w:id="637535943">
                  <w:marLeft w:val="0"/>
                  <w:marRight w:val="0"/>
                  <w:marTop w:val="0"/>
                  <w:marBottom w:val="0"/>
                  <w:divBdr>
                    <w:top w:val="none" w:sz="0" w:space="0" w:color="auto"/>
                    <w:left w:val="none" w:sz="0" w:space="0" w:color="auto"/>
                    <w:bottom w:val="none" w:sz="0" w:space="0" w:color="auto"/>
                    <w:right w:val="none" w:sz="0" w:space="0" w:color="auto"/>
                  </w:divBdr>
                  <w:divsChild>
                    <w:div w:id="207107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8555929">
      <w:bodyDiv w:val="1"/>
      <w:marLeft w:val="0"/>
      <w:marRight w:val="0"/>
      <w:marTop w:val="0"/>
      <w:marBottom w:val="0"/>
      <w:divBdr>
        <w:top w:val="none" w:sz="0" w:space="0" w:color="auto"/>
        <w:left w:val="none" w:sz="0" w:space="0" w:color="auto"/>
        <w:bottom w:val="none" w:sz="0" w:space="0" w:color="auto"/>
        <w:right w:val="none" w:sz="0" w:space="0" w:color="auto"/>
      </w:divBdr>
      <w:divsChild>
        <w:div w:id="1472599298">
          <w:marLeft w:val="0"/>
          <w:marRight w:val="0"/>
          <w:marTop w:val="0"/>
          <w:marBottom w:val="0"/>
          <w:divBdr>
            <w:top w:val="none" w:sz="0" w:space="0" w:color="auto"/>
            <w:left w:val="none" w:sz="0" w:space="0" w:color="auto"/>
            <w:bottom w:val="none" w:sz="0" w:space="0" w:color="auto"/>
            <w:right w:val="none" w:sz="0" w:space="0" w:color="auto"/>
          </w:divBdr>
          <w:divsChild>
            <w:div w:id="2115250998">
              <w:marLeft w:val="0"/>
              <w:marRight w:val="0"/>
              <w:marTop w:val="0"/>
              <w:marBottom w:val="0"/>
              <w:divBdr>
                <w:top w:val="none" w:sz="0" w:space="0" w:color="auto"/>
                <w:left w:val="none" w:sz="0" w:space="0" w:color="auto"/>
                <w:bottom w:val="none" w:sz="0" w:space="0" w:color="auto"/>
                <w:right w:val="none" w:sz="0" w:space="0" w:color="auto"/>
              </w:divBdr>
              <w:divsChild>
                <w:div w:id="1916431881">
                  <w:marLeft w:val="0"/>
                  <w:marRight w:val="0"/>
                  <w:marTop w:val="0"/>
                  <w:marBottom w:val="0"/>
                  <w:divBdr>
                    <w:top w:val="none" w:sz="0" w:space="0" w:color="auto"/>
                    <w:left w:val="none" w:sz="0" w:space="0" w:color="auto"/>
                    <w:bottom w:val="none" w:sz="0" w:space="0" w:color="auto"/>
                    <w:right w:val="none" w:sz="0" w:space="0" w:color="auto"/>
                  </w:divBdr>
                  <w:divsChild>
                    <w:div w:id="84640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7777547">
      <w:bodyDiv w:val="1"/>
      <w:marLeft w:val="0"/>
      <w:marRight w:val="0"/>
      <w:marTop w:val="0"/>
      <w:marBottom w:val="0"/>
      <w:divBdr>
        <w:top w:val="none" w:sz="0" w:space="0" w:color="auto"/>
        <w:left w:val="none" w:sz="0" w:space="0" w:color="auto"/>
        <w:bottom w:val="none" w:sz="0" w:space="0" w:color="auto"/>
        <w:right w:val="none" w:sz="0" w:space="0" w:color="auto"/>
      </w:divBdr>
      <w:divsChild>
        <w:div w:id="146476173">
          <w:marLeft w:val="0"/>
          <w:marRight w:val="0"/>
          <w:marTop w:val="0"/>
          <w:marBottom w:val="0"/>
          <w:divBdr>
            <w:top w:val="none" w:sz="0" w:space="0" w:color="auto"/>
            <w:left w:val="none" w:sz="0" w:space="0" w:color="auto"/>
            <w:bottom w:val="none" w:sz="0" w:space="0" w:color="auto"/>
            <w:right w:val="none" w:sz="0" w:space="0" w:color="auto"/>
          </w:divBdr>
          <w:divsChild>
            <w:div w:id="834539541">
              <w:marLeft w:val="0"/>
              <w:marRight w:val="0"/>
              <w:marTop w:val="0"/>
              <w:marBottom w:val="0"/>
              <w:divBdr>
                <w:top w:val="none" w:sz="0" w:space="0" w:color="auto"/>
                <w:left w:val="none" w:sz="0" w:space="0" w:color="auto"/>
                <w:bottom w:val="none" w:sz="0" w:space="0" w:color="auto"/>
                <w:right w:val="none" w:sz="0" w:space="0" w:color="auto"/>
              </w:divBdr>
              <w:divsChild>
                <w:div w:id="1086267065">
                  <w:marLeft w:val="0"/>
                  <w:marRight w:val="0"/>
                  <w:marTop w:val="0"/>
                  <w:marBottom w:val="0"/>
                  <w:divBdr>
                    <w:top w:val="none" w:sz="0" w:space="0" w:color="auto"/>
                    <w:left w:val="none" w:sz="0" w:space="0" w:color="auto"/>
                    <w:bottom w:val="none" w:sz="0" w:space="0" w:color="auto"/>
                    <w:right w:val="none" w:sz="0" w:space="0" w:color="auto"/>
                  </w:divBdr>
                  <w:divsChild>
                    <w:div w:id="95127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4306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410</Words>
  <Characters>2339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 Guseva</dc:creator>
  <cp:keywords/>
  <dc:description/>
  <cp:lastModifiedBy>Ema Guseva</cp:lastModifiedBy>
  <cp:revision>4</cp:revision>
  <dcterms:created xsi:type="dcterms:W3CDTF">2020-10-21T09:46:00Z</dcterms:created>
  <dcterms:modified xsi:type="dcterms:W3CDTF">2020-10-28T13:13:00Z</dcterms:modified>
</cp:coreProperties>
</file>