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6B68661F" w:rsidR="007E7175" w:rsidRDefault="007E7175" w:rsidP="00BB0057">
      <w:pPr>
        <w:jc w:val="center"/>
      </w:pPr>
      <w:r w:rsidRPr="00BB0057">
        <w:rPr>
          <w:sz w:val="28"/>
          <w:szCs w:val="28"/>
        </w:rPr>
        <w:t xml:space="preserve">Summary of </w:t>
      </w:r>
      <w:proofErr w:type="spellStart"/>
      <w:r w:rsidR="008B4070" w:rsidRPr="008B4070">
        <w:rPr>
          <w:color w:val="000000"/>
          <w:sz w:val="28"/>
          <w:szCs w:val="28"/>
          <w:shd w:val="clear" w:color="auto" w:fill="FFFFFF"/>
          <w:lang w:val="en-US"/>
        </w:rPr>
        <w:t>Sociaal</w:t>
      </w:r>
      <w:proofErr w:type="spellEnd"/>
      <w:r w:rsidR="008B4070" w:rsidRPr="008B4070">
        <w:rPr>
          <w:color w:val="000000"/>
          <w:sz w:val="28"/>
          <w:szCs w:val="28"/>
          <w:shd w:val="clear" w:color="auto" w:fill="FFFFFF"/>
          <w:lang w:val="en-US"/>
        </w:rPr>
        <w:t xml:space="preserve"> </w:t>
      </w:r>
      <w:proofErr w:type="spellStart"/>
      <w:r w:rsidR="008B4070" w:rsidRPr="008B4070">
        <w:rPr>
          <w:color w:val="000000"/>
          <w:sz w:val="28"/>
          <w:szCs w:val="28"/>
          <w:shd w:val="clear" w:color="auto" w:fill="FFFFFF"/>
          <w:lang w:val="en-US"/>
        </w:rPr>
        <w:t>en</w:t>
      </w:r>
      <w:proofErr w:type="spellEnd"/>
      <w:r w:rsidR="008B4070" w:rsidRPr="008B4070">
        <w:rPr>
          <w:color w:val="000000"/>
          <w:sz w:val="28"/>
          <w:szCs w:val="28"/>
          <w:shd w:val="clear" w:color="auto" w:fill="FFFFFF"/>
          <w:lang w:val="en-US"/>
        </w:rPr>
        <w:t xml:space="preserve"> </w:t>
      </w:r>
      <w:proofErr w:type="spellStart"/>
      <w:r w:rsidR="008B4070" w:rsidRPr="008B4070">
        <w:rPr>
          <w:color w:val="000000"/>
          <w:sz w:val="28"/>
          <w:szCs w:val="28"/>
          <w:shd w:val="clear" w:color="auto" w:fill="FFFFFF"/>
          <w:lang w:val="en-US"/>
        </w:rPr>
        <w:t>Cultureel</w:t>
      </w:r>
      <w:proofErr w:type="spellEnd"/>
      <w:r w:rsidR="008B4070" w:rsidRPr="008B4070">
        <w:rPr>
          <w:color w:val="000000"/>
          <w:sz w:val="28"/>
          <w:szCs w:val="28"/>
          <w:shd w:val="clear" w:color="auto" w:fill="FFFFFF"/>
          <w:lang w:val="en-US"/>
        </w:rPr>
        <w:t xml:space="preserve"> </w:t>
      </w:r>
      <w:proofErr w:type="spellStart"/>
      <w:r w:rsidR="008B4070" w:rsidRPr="008B4070">
        <w:rPr>
          <w:color w:val="000000"/>
          <w:sz w:val="28"/>
          <w:szCs w:val="28"/>
          <w:shd w:val="clear" w:color="auto" w:fill="FFFFFF"/>
          <w:lang w:val="en-US"/>
        </w:rPr>
        <w:t>Planbureau</w:t>
      </w:r>
      <w:proofErr w:type="spellEnd"/>
      <w:r w:rsidR="008B4070" w:rsidRPr="008B4070">
        <w:rPr>
          <w:color w:val="000000"/>
          <w:sz w:val="28"/>
          <w:szCs w:val="28"/>
          <w:shd w:val="clear" w:color="auto" w:fill="FFFFFF"/>
          <w:lang w:val="en-US"/>
        </w:rPr>
        <w:t xml:space="preserve">, </w:t>
      </w:r>
      <w:proofErr w:type="spellStart"/>
      <w:r w:rsidR="008B4070" w:rsidRPr="008B4070">
        <w:rPr>
          <w:color w:val="000000"/>
          <w:sz w:val="28"/>
          <w:szCs w:val="28"/>
          <w:shd w:val="clear" w:color="auto" w:fill="FFFFFF"/>
          <w:lang w:val="en-US"/>
        </w:rPr>
        <w:t>Planbureau</w:t>
      </w:r>
      <w:proofErr w:type="spellEnd"/>
      <w:r w:rsidR="008B4070" w:rsidRPr="008B4070">
        <w:rPr>
          <w:color w:val="000000"/>
          <w:sz w:val="28"/>
          <w:szCs w:val="28"/>
          <w:shd w:val="clear" w:color="auto" w:fill="FFFFFF"/>
          <w:lang w:val="en-US"/>
        </w:rPr>
        <w:t xml:space="preserve"> </w:t>
      </w:r>
      <w:proofErr w:type="spellStart"/>
      <w:r w:rsidR="008B4070" w:rsidRPr="008B4070">
        <w:rPr>
          <w:color w:val="000000"/>
          <w:sz w:val="28"/>
          <w:szCs w:val="28"/>
          <w:shd w:val="clear" w:color="auto" w:fill="FFFFFF"/>
          <w:lang w:val="en-US"/>
        </w:rPr>
        <w:t>voor</w:t>
      </w:r>
      <w:proofErr w:type="spellEnd"/>
      <w:r w:rsidR="008B4070" w:rsidRPr="008B4070">
        <w:rPr>
          <w:color w:val="000000"/>
          <w:sz w:val="28"/>
          <w:szCs w:val="28"/>
          <w:shd w:val="clear" w:color="auto" w:fill="FFFFFF"/>
          <w:lang w:val="en-US"/>
        </w:rPr>
        <w:t xml:space="preserve"> de </w:t>
      </w:r>
      <w:proofErr w:type="spellStart"/>
      <w:r w:rsidR="008B4070" w:rsidRPr="008B4070">
        <w:rPr>
          <w:color w:val="000000"/>
          <w:sz w:val="28"/>
          <w:szCs w:val="28"/>
          <w:shd w:val="clear" w:color="auto" w:fill="FFFFFF"/>
          <w:lang w:val="en-US"/>
        </w:rPr>
        <w:t>Leefomgeving</w:t>
      </w:r>
      <w:proofErr w:type="spellEnd"/>
      <w:r w:rsidR="008B4070" w:rsidRPr="008B4070">
        <w:rPr>
          <w:color w:val="000000"/>
          <w:sz w:val="28"/>
          <w:szCs w:val="28"/>
          <w:shd w:val="clear" w:color="auto" w:fill="FFFFFF"/>
          <w:lang w:val="en-US"/>
        </w:rPr>
        <w:t xml:space="preserve"> &amp; </w:t>
      </w:r>
      <w:proofErr w:type="spellStart"/>
      <w:r w:rsidR="008B4070" w:rsidRPr="008B4070">
        <w:rPr>
          <w:color w:val="000000"/>
          <w:sz w:val="28"/>
          <w:szCs w:val="28"/>
          <w:shd w:val="clear" w:color="auto" w:fill="FFFFFF"/>
          <w:lang w:val="en-US"/>
        </w:rPr>
        <w:t>Centraal</w:t>
      </w:r>
      <w:proofErr w:type="spellEnd"/>
      <w:r w:rsidR="008B4070" w:rsidRPr="008B4070">
        <w:rPr>
          <w:color w:val="000000"/>
          <w:sz w:val="28"/>
          <w:szCs w:val="28"/>
          <w:shd w:val="clear" w:color="auto" w:fill="FFFFFF"/>
          <w:lang w:val="en-US"/>
        </w:rPr>
        <w:t xml:space="preserve"> </w:t>
      </w:r>
      <w:proofErr w:type="spellStart"/>
      <w:r w:rsidR="008B4070" w:rsidRPr="008B4070">
        <w:rPr>
          <w:color w:val="000000"/>
          <w:sz w:val="28"/>
          <w:szCs w:val="28"/>
          <w:shd w:val="clear" w:color="auto" w:fill="FFFFFF"/>
          <w:lang w:val="en-US"/>
        </w:rPr>
        <w:t>Planbureau</w:t>
      </w:r>
      <w:proofErr w:type="spellEnd"/>
      <w:r w:rsidR="007B6E62" w:rsidRPr="007B6E62">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6B2CE21F" w14:textId="744DD0C9" w:rsidR="007E7175" w:rsidRPr="005D340D" w:rsidRDefault="00E1272B" w:rsidP="00451284">
      <w:pPr>
        <w:jc w:val="both"/>
        <w:rPr>
          <w:lang w:val="en-US"/>
        </w:rPr>
      </w:pPr>
      <w:r>
        <w:rPr>
          <w:lang w:val="en-US"/>
        </w:rPr>
        <w:t>The planning bureaus have collaborated on spreading the message that policy</w:t>
      </w:r>
      <w:r w:rsidR="00F12305">
        <w:rPr>
          <w:lang w:val="en-US"/>
        </w:rPr>
        <w:t xml:space="preserve"> </w:t>
      </w:r>
      <w:r>
        <w:rPr>
          <w:lang w:val="en-US"/>
        </w:rPr>
        <w:t xml:space="preserve">making should look beyond economic recovery to issues such as climate change and growing social divide. The message from their advisory letter is to carefully align short term policy actions with a long-term development agenda. </w:t>
      </w:r>
      <w:r w:rsidR="00AA2CBC">
        <w:rPr>
          <w:lang w:val="en-US"/>
        </w:rPr>
        <w:t xml:space="preserve">In addition, there is a strong call for customized policy making approach as social groups and regions differ greatly. </w:t>
      </w:r>
    </w:p>
    <w:p w14:paraId="33D7B802" w14:textId="77777777" w:rsidR="005D340D" w:rsidRPr="005D340D" w:rsidRDefault="005D340D" w:rsidP="007E7175">
      <w:pPr>
        <w:rPr>
          <w:b/>
          <w:bCs/>
          <w:lang w:val="en-US"/>
        </w:rPr>
      </w:pPr>
    </w:p>
    <w:p w14:paraId="75C10E1D" w14:textId="7CB17912" w:rsidR="005109D3" w:rsidRPr="005D340D" w:rsidRDefault="005109D3" w:rsidP="007E7175">
      <w:pPr>
        <w:spacing w:line="276" w:lineRule="auto"/>
        <w:jc w:val="both"/>
      </w:pPr>
      <w:r>
        <w:rPr>
          <w:b/>
          <w:bCs/>
          <w:lang w:val="en-US"/>
        </w:rPr>
        <w:t>Implications for infrastructure</w:t>
      </w:r>
      <w:r w:rsidR="007E7175" w:rsidRPr="007E7175">
        <w:rPr>
          <w:b/>
          <w:bCs/>
        </w:rPr>
        <w:t xml:space="preserve"> </w:t>
      </w:r>
      <w:r w:rsidR="007E7175" w:rsidRPr="007E7175">
        <w:rPr>
          <w:b/>
          <w:bCs/>
        </w:rPr>
        <w:tab/>
      </w:r>
      <w:r w:rsidR="007E7175">
        <w:br/>
      </w:r>
      <w:r w:rsidR="00E1272B">
        <w:rPr>
          <w:lang w:val="en-US"/>
        </w:rPr>
        <w:t>Instead of crisis decision-making, the letter urges</w:t>
      </w:r>
      <w:r w:rsidR="00F12305">
        <w:rPr>
          <w:lang w:val="en-US"/>
        </w:rPr>
        <w:t xml:space="preserve"> long-term</w:t>
      </w:r>
      <w:r w:rsidR="00E1272B">
        <w:rPr>
          <w:lang w:val="en-US"/>
        </w:rPr>
        <w:t xml:space="preserve"> investments.</w:t>
      </w:r>
      <w:r w:rsidR="00F12305">
        <w:rPr>
          <w:lang w:val="en-US"/>
        </w:rPr>
        <w:t xml:space="preserve"> The emphasis should be put not only on economic recovery, but also on the living environment and society. As such, the disproportionate effects of the crisis need to be addressed with structural changes that will impact systemic inequalities. Further, the climate goals should be a focal point and another drive for systemic innovation. </w:t>
      </w:r>
      <w:r w:rsidR="00E1272B">
        <w:rPr>
          <w:lang w:val="en-US"/>
        </w:rPr>
        <w:t xml:space="preserve">  </w:t>
      </w:r>
      <w:r w:rsidR="00451284">
        <w:rPr>
          <w:lang w:val="en-US"/>
        </w:rPr>
        <w:t xml:space="preserve"> </w:t>
      </w:r>
    </w:p>
    <w:p w14:paraId="02D96421" w14:textId="77777777" w:rsidR="005109D3" w:rsidRDefault="005109D3" w:rsidP="007E7175">
      <w:pPr>
        <w:spacing w:line="276" w:lineRule="auto"/>
        <w:jc w:val="both"/>
        <w:rPr>
          <w:lang w:val="en-US"/>
        </w:rPr>
      </w:pPr>
    </w:p>
    <w:p w14:paraId="1E24BFF3" w14:textId="17081021" w:rsidR="005109D3" w:rsidRDefault="007E1B21" w:rsidP="005109D3">
      <w:pPr>
        <w:rPr>
          <w:b/>
          <w:bCs/>
          <w:lang w:val="en-US"/>
        </w:rPr>
      </w:pPr>
      <w:r>
        <w:rPr>
          <w:b/>
          <w:bCs/>
          <w:lang w:val="en-US"/>
        </w:rPr>
        <w:t xml:space="preserve">Causal </w:t>
      </w:r>
      <w:r w:rsidR="008D14B7">
        <w:rPr>
          <w:b/>
          <w:bCs/>
          <w:lang w:val="en-US"/>
        </w:rPr>
        <w:t>loop diagram</w:t>
      </w:r>
    </w:p>
    <w:p w14:paraId="156C9053" w14:textId="74BD32CB" w:rsidR="00E716C7" w:rsidRDefault="008D14B7" w:rsidP="008D14B7">
      <w:pPr>
        <w:spacing w:line="276" w:lineRule="auto"/>
        <w:jc w:val="both"/>
        <w:rPr>
          <w:lang w:val="en-US"/>
        </w:rPr>
      </w:pPr>
      <w:r>
        <w:rPr>
          <w:lang w:val="en-US"/>
        </w:rPr>
        <w:t xml:space="preserve">The story of the diagram is that broad short-term policies, that is focused on economic recovery in addition to improving pressing problems in Dutch society such as housing quality, quality of life, natural capital and social cohesion should build up to accomplishing long-term policy goals. Whereas general narrow-targeted policies tend to have a myopic view which often goes against the long-term goal of solving these problems (see Figure 1). </w:t>
      </w:r>
    </w:p>
    <w:p w14:paraId="19528923" w14:textId="213F6EAD" w:rsidR="00AA2CBC" w:rsidRDefault="00AA2CBC" w:rsidP="008D14B7">
      <w:pPr>
        <w:spacing w:line="276" w:lineRule="auto"/>
        <w:jc w:val="both"/>
        <w:rPr>
          <w:lang w:val="en-US"/>
        </w:rPr>
      </w:pPr>
    </w:p>
    <w:p w14:paraId="1985A2FD" w14:textId="50B89DD7" w:rsidR="00AA2CBC" w:rsidRPr="00626184" w:rsidRDefault="00AA2CBC" w:rsidP="008D14B7">
      <w:pPr>
        <w:spacing w:line="276" w:lineRule="auto"/>
        <w:jc w:val="both"/>
        <w:rPr>
          <w:lang w:val="en-US"/>
        </w:rPr>
      </w:pPr>
      <w:r>
        <w:rPr>
          <w:lang w:val="en-US"/>
        </w:rPr>
        <w:t xml:space="preserve">Adopting the metaphor from the ‘Shifting the burden’ systems archetype, when Dutch society is further away from its long-term goals then it is that much less likely that broad short-term policies will be adopted since the situation then will be even more urgent possibly as a result of a new crisis. </w:t>
      </w:r>
    </w:p>
    <w:p w14:paraId="58A20538" w14:textId="5FE2F79F" w:rsidR="005109D3" w:rsidRDefault="000F0EDE" w:rsidP="005109D3">
      <w:pPr>
        <w:spacing w:line="276" w:lineRule="auto"/>
        <w:jc w:val="center"/>
      </w:pPr>
      <w:r w:rsidRPr="000F0EDE">
        <w:rPr>
          <w:noProof/>
        </w:rPr>
        <w:drawing>
          <wp:inline distT="0" distB="0" distL="0" distR="0" wp14:anchorId="710C5294" wp14:editId="00C8F9EC">
            <wp:extent cx="2895600" cy="2755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895600" cy="2755900"/>
                    </a:xfrm>
                    <a:prstGeom prst="rect">
                      <a:avLst/>
                    </a:prstGeom>
                  </pic:spPr>
                </pic:pic>
              </a:graphicData>
            </a:graphic>
          </wp:inline>
        </w:drawing>
      </w:r>
      <w:r w:rsidRPr="000F0EDE">
        <w:rPr>
          <w:noProof/>
        </w:rPr>
        <w:t xml:space="preserve"> </w:t>
      </w:r>
    </w:p>
    <w:p w14:paraId="764D0F49" w14:textId="558C2343"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proofErr w:type="spellStart"/>
      <w:r w:rsidR="008B4070" w:rsidRPr="008B4070">
        <w:t>Sociaal</w:t>
      </w:r>
      <w:proofErr w:type="spellEnd"/>
      <w:r w:rsidR="008B4070" w:rsidRPr="008B4070">
        <w:t xml:space="preserve"> </w:t>
      </w:r>
      <w:proofErr w:type="spellStart"/>
      <w:r w:rsidR="008B4070" w:rsidRPr="008B4070">
        <w:t>en</w:t>
      </w:r>
      <w:proofErr w:type="spellEnd"/>
      <w:r w:rsidR="008B4070" w:rsidRPr="008B4070">
        <w:t xml:space="preserve"> </w:t>
      </w:r>
      <w:proofErr w:type="spellStart"/>
      <w:r w:rsidR="008B4070" w:rsidRPr="008B4070">
        <w:t>Cultureel</w:t>
      </w:r>
      <w:proofErr w:type="spellEnd"/>
      <w:r w:rsidR="008B4070" w:rsidRPr="008B4070">
        <w:t xml:space="preserve"> </w:t>
      </w:r>
      <w:proofErr w:type="spellStart"/>
      <w:r w:rsidR="008B4070" w:rsidRPr="008B4070">
        <w:t>Planbureau</w:t>
      </w:r>
      <w:proofErr w:type="spellEnd"/>
      <w:r w:rsidR="008B4070" w:rsidRPr="008B4070">
        <w:t xml:space="preserve">, </w:t>
      </w:r>
      <w:proofErr w:type="spellStart"/>
      <w:r w:rsidR="008B4070" w:rsidRPr="008B4070">
        <w:t>Planbureau</w:t>
      </w:r>
      <w:proofErr w:type="spellEnd"/>
      <w:r w:rsidR="008B4070" w:rsidRPr="008B4070">
        <w:t xml:space="preserve"> </w:t>
      </w:r>
      <w:proofErr w:type="spellStart"/>
      <w:r w:rsidR="008B4070" w:rsidRPr="008B4070">
        <w:t>voor</w:t>
      </w:r>
      <w:proofErr w:type="spellEnd"/>
      <w:r w:rsidR="008B4070" w:rsidRPr="008B4070">
        <w:t xml:space="preserve"> de </w:t>
      </w:r>
      <w:proofErr w:type="spellStart"/>
      <w:r w:rsidR="008B4070" w:rsidRPr="008B4070">
        <w:t>Leefomgeving</w:t>
      </w:r>
      <w:proofErr w:type="spellEnd"/>
      <w:r w:rsidR="008B4070" w:rsidRPr="008B4070">
        <w:t xml:space="preserve"> &amp; </w:t>
      </w:r>
      <w:proofErr w:type="spellStart"/>
      <w:r w:rsidR="008B4070" w:rsidRPr="008B4070">
        <w:t>Centraal</w:t>
      </w:r>
      <w:proofErr w:type="spellEnd"/>
      <w:r w:rsidR="008B4070" w:rsidRPr="008B4070">
        <w:t xml:space="preserve"> </w:t>
      </w:r>
      <w:proofErr w:type="spellStart"/>
      <w:r w:rsidR="008B4070" w:rsidRPr="008B4070">
        <w:t>Planbureau</w:t>
      </w:r>
      <w:proofErr w:type="spellEnd"/>
      <w:r w:rsidR="008B4070" w:rsidRPr="0055099C">
        <w:rPr>
          <w:color w:val="000000"/>
          <w:shd w:val="clear" w:color="auto" w:fill="FFFFFF"/>
        </w:rPr>
        <w:t xml:space="preserve"> </w:t>
      </w:r>
      <w:r>
        <w:t>(2020)</w:t>
      </w:r>
      <w:r w:rsidR="0097172B">
        <w:t xml:space="preserve">. </w:t>
      </w:r>
    </w:p>
    <w:p w14:paraId="699DA5B0" w14:textId="77777777" w:rsidR="001E635A" w:rsidRPr="00D71721" w:rsidRDefault="001E635A" w:rsidP="001E635A">
      <w:pPr>
        <w:jc w:val="both"/>
        <w:rPr>
          <w:lang w:val="en-US"/>
        </w:rPr>
      </w:pPr>
    </w:p>
    <w:p w14:paraId="1F451CDB" w14:textId="1D76822F" w:rsidR="00ED74B1" w:rsidRPr="000778AD" w:rsidRDefault="00ED74B1" w:rsidP="00ED74B1">
      <w:pPr>
        <w:rPr>
          <w:color w:val="000000" w:themeColor="text1"/>
          <w:sz w:val="20"/>
          <w:szCs w:val="20"/>
        </w:rPr>
      </w:pPr>
    </w:p>
    <w:tbl>
      <w:tblPr>
        <w:tblStyle w:val="TableGrid"/>
        <w:tblW w:w="9067" w:type="dxa"/>
        <w:tblLook w:val="04A0" w:firstRow="1" w:lastRow="0" w:firstColumn="1" w:lastColumn="0" w:noHBand="0" w:noVBand="1"/>
      </w:tblPr>
      <w:tblGrid>
        <w:gridCol w:w="416"/>
        <w:gridCol w:w="627"/>
        <w:gridCol w:w="4339"/>
        <w:gridCol w:w="3685"/>
      </w:tblGrid>
      <w:tr w:rsidR="000778AD" w:rsidRPr="000778AD" w14:paraId="05798EE6" w14:textId="77777777" w:rsidTr="00AC625C">
        <w:tc>
          <w:tcPr>
            <w:tcW w:w="416" w:type="dxa"/>
          </w:tcPr>
          <w:p w14:paraId="0136E07B" w14:textId="7A8CE0A9" w:rsidR="005109D3" w:rsidRPr="000778AD" w:rsidRDefault="005109D3" w:rsidP="000778AD">
            <w:pPr>
              <w:jc w:val="center"/>
              <w:rPr>
                <w:b/>
                <w:bCs/>
                <w:color w:val="000000" w:themeColor="text1"/>
                <w:sz w:val="20"/>
                <w:szCs w:val="20"/>
              </w:rPr>
            </w:pPr>
            <w:r w:rsidRPr="000778AD">
              <w:rPr>
                <w:b/>
                <w:bCs/>
                <w:color w:val="000000" w:themeColor="text1"/>
                <w:sz w:val="20"/>
                <w:szCs w:val="20"/>
              </w:rPr>
              <w:t>N.</w:t>
            </w:r>
          </w:p>
        </w:tc>
        <w:tc>
          <w:tcPr>
            <w:tcW w:w="627" w:type="dxa"/>
          </w:tcPr>
          <w:p w14:paraId="314E78B8" w14:textId="16925E9A" w:rsidR="005109D3" w:rsidRPr="000778AD" w:rsidRDefault="005109D3" w:rsidP="000778AD">
            <w:pPr>
              <w:jc w:val="center"/>
              <w:rPr>
                <w:b/>
                <w:bCs/>
                <w:color w:val="000000" w:themeColor="text1"/>
                <w:sz w:val="20"/>
                <w:szCs w:val="20"/>
              </w:rPr>
            </w:pPr>
            <w:r w:rsidRPr="000778AD">
              <w:rPr>
                <w:b/>
                <w:bCs/>
                <w:color w:val="000000" w:themeColor="text1"/>
                <w:sz w:val="20"/>
                <w:szCs w:val="20"/>
              </w:rPr>
              <w:t>Page</w:t>
            </w:r>
          </w:p>
        </w:tc>
        <w:tc>
          <w:tcPr>
            <w:tcW w:w="4339" w:type="dxa"/>
          </w:tcPr>
          <w:p w14:paraId="2A7A00DD"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Quote</w:t>
            </w:r>
          </w:p>
        </w:tc>
        <w:tc>
          <w:tcPr>
            <w:tcW w:w="3685" w:type="dxa"/>
          </w:tcPr>
          <w:p w14:paraId="257FF158"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Causal link</w:t>
            </w:r>
          </w:p>
        </w:tc>
      </w:tr>
      <w:tr w:rsidR="000778AD" w:rsidRPr="000778AD" w14:paraId="49861D0A" w14:textId="77777777" w:rsidTr="00AC625C">
        <w:tc>
          <w:tcPr>
            <w:tcW w:w="416" w:type="dxa"/>
          </w:tcPr>
          <w:p w14:paraId="1F85FD86" w14:textId="08F73D43" w:rsidR="005109D3" w:rsidRPr="00AA2CBC" w:rsidRDefault="001A0451" w:rsidP="00AA2CBC">
            <w:pPr>
              <w:rPr>
                <w:sz w:val="20"/>
                <w:szCs w:val="20"/>
                <w:lang w:val="en-US"/>
              </w:rPr>
            </w:pPr>
            <w:r w:rsidRPr="00AA2CBC">
              <w:rPr>
                <w:sz w:val="20"/>
                <w:szCs w:val="20"/>
                <w:lang w:val="en-US"/>
              </w:rPr>
              <w:t>1</w:t>
            </w:r>
          </w:p>
        </w:tc>
        <w:tc>
          <w:tcPr>
            <w:tcW w:w="627" w:type="dxa"/>
          </w:tcPr>
          <w:p w14:paraId="725BB832" w14:textId="1E9E8912" w:rsidR="005109D3" w:rsidRPr="00AA2CBC" w:rsidRDefault="00AA2CBC" w:rsidP="00AA2CBC">
            <w:pPr>
              <w:rPr>
                <w:sz w:val="20"/>
                <w:szCs w:val="20"/>
                <w:lang w:val="en-US"/>
              </w:rPr>
            </w:pPr>
            <w:r w:rsidRPr="00AA2CBC">
              <w:rPr>
                <w:sz w:val="20"/>
                <w:szCs w:val="20"/>
                <w:lang w:val="en-US"/>
              </w:rPr>
              <w:t>3</w:t>
            </w:r>
          </w:p>
        </w:tc>
        <w:tc>
          <w:tcPr>
            <w:tcW w:w="4339" w:type="dxa"/>
          </w:tcPr>
          <w:p w14:paraId="43B6510C" w14:textId="32D26A9A" w:rsidR="005109D3" w:rsidRPr="00AA2CBC" w:rsidRDefault="00AA2CBC" w:rsidP="00AA2CBC">
            <w:pPr>
              <w:pStyle w:val="NormalWeb"/>
              <w:rPr>
                <w:color w:val="auto"/>
                <w:sz w:val="20"/>
                <w:szCs w:val="20"/>
              </w:rPr>
            </w:pPr>
            <w:r w:rsidRPr="00AA2CBC">
              <w:rPr>
                <w:color w:val="auto"/>
                <w:sz w:val="20"/>
                <w:szCs w:val="20"/>
              </w:rPr>
              <w:t>At the same time, tensions can arise between short and long-term effects</w:t>
            </w:r>
          </w:p>
        </w:tc>
        <w:tc>
          <w:tcPr>
            <w:tcW w:w="3685" w:type="dxa"/>
          </w:tcPr>
          <w:p w14:paraId="44500F01" w14:textId="292D2585" w:rsidR="005109D3" w:rsidRPr="00AA2CBC" w:rsidRDefault="00AA2CBC" w:rsidP="00AA2CBC">
            <w:pPr>
              <w:pStyle w:val="NormalWeb"/>
              <w:spacing w:before="0" w:beforeAutospacing="0" w:after="0" w:afterAutospacing="0"/>
              <w:rPr>
                <w:color w:val="auto"/>
                <w:sz w:val="20"/>
                <w:szCs w:val="20"/>
                <w:lang w:val="en-US"/>
              </w:rPr>
            </w:pPr>
            <w:r w:rsidRPr="00AA2CBC">
              <w:rPr>
                <w:color w:val="auto"/>
                <w:sz w:val="20"/>
                <w:szCs w:val="20"/>
                <w:lang w:val="en-US"/>
              </w:rPr>
              <w:t>Narrow short-term policy -&gt; Long term policy implementation -&gt; Broad short</w:t>
            </w:r>
            <w:r>
              <w:rPr>
                <w:color w:val="auto"/>
                <w:sz w:val="20"/>
                <w:szCs w:val="20"/>
                <w:lang w:val="en-US"/>
              </w:rPr>
              <w:t>-</w:t>
            </w:r>
            <w:r w:rsidRPr="00AA2CBC">
              <w:rPr>
                <w:color w:val="auto"/>
                <w:sz w:val="20"/>
                <w:szCs w:val="20"/>
                <w:lang w:val="en-US"/>
              </w:rPr>
              <w:t>term policy</w:t>
            </w:r>
          </w:p>
        </w:tc>
      </w:tr>
      <w:tr w:rsidR="000778AD" w:rsidRPr="000778AD" w14:paraId="568F6E9A" w14:textId="77777777" w:rsidTr="00AC625C">
        <w:tc>
          <w:tcPr>
            <w:tcW w:w="416" w:type="dxa"/>
          </w:tcPr>
          <w:p w14:paraId="3914E83E" w14:textId="65406D24" w:rsidR="005109D3" w:rsidRPr="00AA2CBC" w:rsidRDefault="001A0451" w:rsidP="00AA2CBC">
            <w:pPr>
              <w:rPr>
                <w:sz w:val="20"/>
                <w:szCs w:val="20"/>
                <w:lang w:val="en-US"/>
              </w:rPr>
            </w:pPr>
            <w:r w:rsidRPr="00AA2CBC">
              <w:rPr>
                <w:sz w:val="20"/>
                <w:szCs w:val="20"/>
                <w:lang w:val="en-US"/>
              </w:rPr>
              <w:t>2</w:t>
            </w:r>
          </w:p>
        </w:tc>
        <w:tc>
          <w:tcPr>
            <w:tcW w:w="627" w:type="dxa"/>
          </w:tcPr>
          <w:p w14:paraId="721E63AB" w14:textId="77FA9603" w:rsidR="005109D3" w:rsidRPr="00AA2CBC" w:rsidRDefault="00E716C7" w:rsidP="00AA2CBC">
            <w:pPr>
              <w:rPr>
                <w:sz w:val="20"/>
                <w:szCs w:val="20"/>
                <w:lang w:val="en-US"/>
              </w:rPr>
            </w:pPr>
            <w:r w:rsidRPr="00AA2CBC">
              <w:rPr>
                <w:sz w:val="20"/>
                <w:szCs w:val="20"/>
                <w:lang w:val="en-US"/>
              </w:rPr>
              <w:t>2</w:t>
            </w:r>
          </w:p>
        </w:tc>
        <w:tc>
          <w:tcPr>
            <w:tcW w:w="4339" w:type="dxa"/>
          </w:tcPr>
          <w:p w14:paraId="4022DD8D" w14:textId="77777777" w:rsidR="00AA2CBC" w:rsidRPr="00AA2CBC" w:rsidRDefault="00AA2CBC" w:rsidP="00AA2CBC">
            <w:pPr>
              <w:rPr>
                <w:sz w:val="20"/>
                <w:szCs w:val="20"/>
              </w:rPr>
            </w:pPr>
            <w:r w:rsidRPr="00AA2CBC">
              <w:rPr>
                <w:sz w:val="20"/>
                <w:szCs w:val="20"/>
              </w:rPr>
              <w:t>More than ever, it is relevant to apply a broad prosperity perspective when assessing measures.</w:t>
            </w:r>
          </w:p>
          <w:p w14:paraId="12E28C76" w14:textId="253A1420" w:rsidR="005109D3" w:rsidRPr="00AA2CBC" w:rsidRDefault="005109D3" w:rsidP="00AA2CBC">
            <w:pPr>
              <w:pStyle w:val="NormalWeb"/>
              <w:rPr>
                <w:color w:val="auto"/>
                <w:sz w:val="20"/>
                <w:szCs w:val="20"/>
              </w:rPr>
            </w:pPr>
          </w:p>
        </w:tc>
        <w:tc>
          <w:tcPr>
            <w:tcW w:w="3685" w:type="dxa"/>
          </w:tcPr>
          <w:p w14:paraId="18334FBB" w14:textId="771966A4" w:rsidR="007B6E62" w:rsidRPr="00AA2CBC" w:rsidRDefault="00AA2CBC" w:rsidP="00AA2CBC">
            <w:pPr>
              <w:rPr>
                <w:sz w:val="20"/>
                <w:szCs w:val="20"/>
                <w:lang w:val="en-US"/>
              </w:rPr>
            </w:pPr>
            <w:r w:rsidRPr="00AA2CBC">
              <w:rPr>
                <w:sz w:val="20"/>
                <w:szCs w:val="20"/>
                <w:lang w:val="en-US"/>
              </w:rPr>
              <w:t>Broad short-term policy -&gt; Quality of life -&gt; Broad short-term policy</w:t>
            </w:r>
          </w:p>
        </w:tc>
      </w:tr>
      <w:tr w:rsidR="004B0639" w:rsidRPr="000778AD" w14:paraId="2E7917E1" w14:textId="77777777" w:rsidTr="00AC625C">
        <w:tc>
          <w:tcPr>
            <w:tcW w:w="416" w:type="dxa"/>
          </w:tcPr>
          <w:p w14:paraId="26D4E113" w14:textId="7A9D4C8F" w:rsidR="004B0639" w:rsidRPr="00AA2CBC" w:rsidRDefault="004B0639" w:rsidP="00AA2CBC">
            <w:pPr>
              <w:rPr>
                <w:sz w:val="20"/>
                <w:szCs w:val="20"/>
                <w:lang w:val="en-US"/>
              </w:rPr>
            </w:pPr>
            <w:r w:rsidRPr="00AA2CBC">
              <w:rPr>
                <w:sz w:val="20"/>
                <w:szCs w:val="20"/>
                <w:lang w:val="en-US"/>
              </w:rPr>
              <w:t>3</w:t>
            </w:r>
          </w:p>
        </w:tc>
        <w:tc>
          <w:tcPr>
            <w:tcW w:w="627" w:type="dxa"/>
          </w:tcPr>
          <w:p w14:paraId="4FCB6ED7" w14:textId="24D843E7" w:rsidR="004B0639" w:rsidRPr="00AA2CBC" w:rsidRDefault="00AA2CBC" w:rsidP="00AA2CBC">
            <w:pPr>
              <w:rPr>
                <w:sz w:val="20"/>
                <w:szCs w:val="20"/>
                <w:lang w:val="en-US"/>
              </w:rPr>
            </w:pPr>
            <w:r w:rsidRPr="00AA2CBC">
              <w:rPr>
                <w:sz w:val="20"/>
                <w:szCs w:val="20"/>
                <w:lang w:val="en-US"/>
              </w:rPr>
              <w:t>6</w:t>
            </w:r>
          </w:p>
        </w:tc>
        <w:tc>
          <w:tcPr>
            <w:tcW w:w="4339" w:type="dxa"/>
          </w:tcPr>
          <w:p w14:paraId="6F8B8135" w14:textId="77777777" w:rsidR="00AA2CBC" w:rsidRPr="00AA2CBC" w:rsidRDefault="00AA2CBC" w:rsidP="00AA2CBC">
            <w:pPr>
              <w:rPr>
                <w:sz w:val="20"/>
                <w:szCs w:val="20"/>
              </w:rPr>
            </w:pPr>
            <w:r w:rsidRPr="00AA2CBC">
              <w:rPr>
                <w:sz w:val="20"/>
                <w:szCs w:val="20"/>
              </w:rPr>
              <w:t>The planning offices therefore advise not to emphasize a necessary situation for the short term, but rather the desirable long-term perspective of a healthy, resilient and sustainable society.</w:t>
            </w:r>
          </w:p>
          <w:p w14:paraId="4A681F3F" w14:textId="6766D879" w:rsidR="004B0639" w:rsidRPr="00AA2CBC" w:rsidRDefault="004B0639" w:rsidP="00AA2CBC">
            <w:pPr>
              <w:rPr>
                <w:sz w:val="20"/>
                <w:szCs w:val="20"/>
              </w:rPr>
            </w:pPr>
          </w:p>
        </w:tc>
        <w:tc>
          <w:tcPr>
            <w:tcW w:w="3685" w:type="dxa"/>
          </w:tcPr>
          <w:p w14:paraId="1783985E" w14:textId="168C7103" w:rsidR="004B0639" w:rsidRPr="00AA2CBC" w:rsidRDefault="00AA2CBC" w:rsidP="00AA2CBC">
            <w:pPr>
              <w:rPr>
                <w:sz w:val="20"/>
                <w:szCs w:val="20"/>
                <w:lang w:val="en-US"/>
              </w:rPr>
            </w:pPr>
            <w:r w:rsidRPr="00AA2CBC">
              <w:rPr>
                <w:sz w:val="20"/>
                <w:szCs w:val="20"/>
                <w:lang w:val="en-US"/>
              </w:rPr>
              <w:t>Narrow short-term policy -&gt; Quality of life -&gt; Narrow short-term policy</w:t>
            </w:r>
          </w:p>
        </w:tc>
      </w:tr>
    </w:tbl>
    <w:p w14:paraId="75375EA9" w14:textId="17CC42E4" w:rsidR="00551B3B" w:rsidRDefault="00ED74B1" w:rsidP="00851F6F">
      <w:pPr>
        <w:pStyle w:val="Caption"/>
      </w:pPr>
      <w:r w:rsidRPr="00AC625C">
        <w:t xml:space="preserve">Table </w:t>
      </w:r>
      <w:r w:rsidR="00AA2CBC">
        <w:t>1</w:t>
      </w:r>
      <w:r w:rsidRPr="00AC625C">
        <w:t xml:space="preserve">. Causal links found within </w:t>
      </w:r>
      <w:proofErr w:type="spellStart"/>
      <w:r w:rsidR="008B4070" w:rsidRPr="008B4070">
        <w:t>Sociaal</w:t>
      </w:r>
      <w:proofErr w:type="spellEnd"/>
      <w:r w:rsidR="008B4070" w:rsidRPr="008B4070">
        <w:t xml:space="preserve"> </w:t>
      </w:r>
      <w:proofErr w:type="spellStart"/>
      <w:r w:rsidR="008B4070" w:rsidRPr="008B4070">
        <w:t>en</w:t>
      </w:r>
      <w:proofErr w:type="spellEnd"/>
      <w:r w:rsidR="008B4070" w:rsidRPr="008B4070">
        <w:t xml:space="preserve"> </w:t>
      </w:r>
      <w:proofErr w:type="spellStart"/>
      <w:r w:rsidR="008B4070" w:rsidRPr="008B4070">
        <w:t>Cultureel</w:t>
      </w:r>
      <w:proofErr w:type="spellEnd"/>
      <w:r w:rsidR="008B4070" w:rsidRPr="008B4070">
        <w:t xml:space="preserve"> </w:t>
      </w:r>
      <w:proofErr w:type="spellStart"/>
      <w:r w:rsidR="008B4070" w:rsidRPr="008B4070">
        <w:t>Planbureau</w:t>
      </w:r>
      <w:proofErr w:type="spellEnd"/>
      <w:r w:rsidR="008B4070" w:rsidRPr="008B4070">
        <w:t xml:space="preserve">, </w:t>
      </w:r>
      <w:proofErr w:type="spellStart"/>
      <w:r w:rsidR="008B4070" w:rsidRPr="008B4070">
        <w:t>Planbureau</w:t>
      </w:r>
      <w:proofErr w:type="spellEnd"/>
      <w:r w:rsidR="008B4070" w:rsidRPr="008B4070">
        <w:t xml:space="preserve"> </w:t>
      </w:r>
      <w:proofErr w:type="spellStart"/>
      <w:r w:rsidR="008B4070" w:rsidRPr="008B4070">
        <w:t>voor</w:t>
      </w:r>
      <w:proofErr w:type="spellEnd"/>
      <w:r w:rsidR="008B4070" w:rsidRPr="008B4070">
        <w:t xml:space="preserve"> de </w:t>
      </w:r>
      <w:proofErr w:type="spellStart"/>
      <w:r w:rsidR="008B4070" w:rsidRPr="008B4070">
        <w:t>Leefomgeving</w:t>
      </w:r>
      <w:proofErr w:type="spellEnd"/>
      <w:r w:rsidR="008B4070" w:rsidRPr="008B4070">
        <w:t xml:space="preserve"> &amp; </w:t>
      </w:r>
      <w:proofErr w:type="spellStart"/>
      <w:r w:rsidR="008B4070" w:rsidRPr="008B4070">
        <w:t>Centraal</w:t>
      </w:r>
      <w:proofErr w:type="spellEnd"/>
      <w:r w:rsidR="008B4070" w:rsidRPr="008B4070">
        <w:t xml:space="preserve"> </w:t>
      </w:r>
      <w:proofErr w:type="spellStart"/>
      <w:r w:rsidR="008B4070" w:rsidRPr="008B4070">
        <w:t>Planbureau</w:t>
      </w:r>
      <w:proofErr w:type="spellEnd"/>
      <w:r w:rsidR="00AC625C" w:rsidRPr="00AC625C">
        <w:t xml:space="preserve"> </w:t>
      </w:r>
      <w:r w:rsidRPr="00AC625C">
        <w:t>(2020)</w:t>
      </w:r>
    </w:p>
    <w:p w14:paraId="39675499" w14:textId="77777777" w:rsidR="0097172B" w:rsidRDefault="0097172B" w:rsidP="00551B3B">
      <w:pPr>
        <w:rPr>
          <w:b/>
          <w:bCs/>
        </w:rPr>
      </w:pPr>
    </w:p>
    <w:p w14:paraId="300A9951" w14:textId="63867C9C" w:rsidR="00551B3B" w:rsidRPr="00551B3B" w:rsidRDefault="00551B3B" w:rsidP="00551B3B">
      <w:pPr>
        <w:rPr>
          <w:b/>
          <w:bCs/>
        </w:rPr>
      </w:pPr>
      <w:r w:rsidRPr="00551B3B">
        <w:rPr>
          <w:b/>
          <w:bCs/>
        </w:rPr>
        <w:t>References</w:t>
      </w:r>
    </w:p>
    <w:p w14:paraId="5E5451FC" w14:textId="3F7EAA5D" w:rsidR="0055099C" w:rsidRDefault="008B4070" w:rsidP="0055099C">
      <w:r w:rsidRPr="008B4070">
        <w:t>Sociaal en Cultureel Planbureau, Planbureau voor de Leefomgeving &amp; Centraal Planbureau</w:t>
      </w:r>
      <w:r w:rsidR="0055099C" w:rsidRPr="0055099C">
        <w:rPr>
          <w:color w:val="000000"/>
          <w:shd w:val="clear" w:color="auto" w:fill="FFFFFF"/>
        </w:rPr>
        <w:t xml:space="preserve"> </w:t>
      </w:r>
      <w:r w:rsidR="0055099C" w:rsidRPr="0055099C">
        <w:t xml:space="preserve">(2020) </w:t>
      </w:r>
      <w:r w:rsidRPr="008B4070">
        <w:t>Aandachtspunten voor een herstelbeleid: Briefadvies Covid-19 Overleg Planbureaus</w:t>
      </w:r>
      <w:r w:rsidR="0055099C" w:rsidRPr="0055099C">
        <w:rPr>
          <w:i/>
        </w:rPr>
        <w:t>.</w:t>
      </w:r>
      <w:r w:rsidR="0055099C" w:rsidRPr="0055099C">
        <w:t xml:space="preserve"> </w:t>
      </w:r>
      <w:r w:rsidRPr="008B4070">
        <w:t>https://www.scp.nl/publicaties/publicaties/2020/05/28/aandachtspunten-voor-een-herstelbeleid-briefadvies-covid-19-overleg-planbureaus</w:t>
      </w:r>
      <w:r w:rsidR="0055099C" w:rsidRPr="0055099C">
        <w:t xml:space="preserve">, accessed on </w:t>
      </w:r>
      <w:r>
        <w:rPr>
          <w:lang w:val="en-US"/>
        </w:rPr>
        <w:t>26</w:t>
      </w:r>
      <w:r w:rsidR="0055099C" w:rsidRPr="0055099C">
        <w:t xml:space="preserve"> October 2020.</w:t>
      </w:r>
    </w:p>
    <w:p w14:paraId="795A9151" w14:textId="2285C0F8" w:rsidR="00F12305" w:rsidRDefault="00F12305" w:rsidP="0055099C"/>
    <w:p w14:paraId="0048BD58" w14:textId="27E6F03D" w:rsidR="00F12305" w:rsidRPr="00F12305" w:rsidRDefault="00F12305" w:rsidP="0055099C">
      <w:pPr>
        <w:rPr>
          <w:lang w:val="en-US"/>
        </w:rPr>
      </w:pPr>
      <w:proofErr w:type="spellStart"/>
      <w:r>
        <w:rPr>
          <w:lang w:val="en-US"/>
        </w:rPr>
        <w:t>Marike</w:t>
      </w:r>
      <w:proofErr w:type="spellEnd"/>
      <w:r>
        <w:rPr>
          <w:lang w:val="en-US"/>
        </w:rPr>
        <w:t xml:space="preserve"> </w:t>
      </w:r>
      <w:proofErr w:type="spellStart"/>
      <w:r>
        <w:rPr>
          <w:lang w:val="en-US"/>
        </w:rPr>
        <w:t>Stellinga</w:t>
      </w:r>
      <w:proofErr w:type="spellEnd"/>
      <w:r>
        <w:rPr>
          <w:lang w:val="en-US"/>
        </w:rPr>
        <w:t xml:space="preserve"> (2020, October 8) </w:t>
      </w:r>
      <w:r w:rsidRPr="00F12305">
        <w:rPr>
          <w:lang w:val="en-US"/>
        </w:rPr>
        <w:t>Planning bureaus to cabinet: 'just extinguishing the corona fire is not enough',</w:t>
      </w:r>
      <w:r>
        <w:rPr>
          <w:i/>
          <w:iCs/>
          <w:lang w:val="en-US"/>
        </w:rPr>
        <w:t xml:space="preserve"> </w:t>
      </w:r>
      <w:r w:rsidRPr="00F12305">
        <w:rPr>
          <w:i/>
          <w:iCs/>
          <w:lang w:val="en-US"/>
        </w:rPr>
        <w:t>NRC</w:t>
      </w:r>
      <w:r>
        <w:rPr>
          <w:i/>
          <w:iCs/>
          <w:lang w:val="en-US"/>
        </w:rPr>
        <w:t xml:space="preserve">. </w:t>
      </w:r>
      <w:r>
        <w:rPr>
          <w:lang w:val="en-US"/>
        </w:rPr>
        <w:t xml:space="preserve">Retrieved from </w:t>
      </w:r>
      <w:r w:rsidRPr="00F12305">
        <w:rPr>
          <w:lang w:val="en-US"/>
        </w:rPr>
        <w:t>https://www.nrc.nl/nieuws/2020/10/08/kabinet-alleen-de-coronabrand-blussen-is-niet-genoeg-a4015277</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35F5B"/>
    <w:multiLevelType w:val="hybridMultilevel"/>
    <w:tmpl w:val="D69A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094EBF"/>
    <w:rsid w:val="000F0EDE"/>
    <w:rsid w:val="001A0451"/>
    <w:rsid w:val="001C2693"/>
    <w:rsid w:val="001E635A"/>
    <w:rsid w:val="00313434"/>
    <w:rsid w:val="0039501B"/>
    <w:rsid w:val="00407800"/>
    <w:rsid w:val="00451284"/>
    <w:rsid w:val="004845CC"/>
    <w:rsid w:val="004A19B3"/>
    <w:rsid w:val="004A7DAC"/>
    <w:rsid w:val="004B0639"/>
    <w:rsid w:val="004B4301"/>
    <w:rsid w:val="004F28DE"/>
    <w:rsid w:val="005109D3"/>
    <w:rsid w:val="0055099C"/>
    <w:rsid w:val="00551B3B"/>
    <w:rsid w:val="00555F9D"/>
    <w:rsid w:val="005D340D"/>
    <w:rsid w:val="0060512C"/>
    <w:rsid w:val="006213F0"/>
    <w:rsid w:val="00626184"/>
    <w:rsid w:val="006344D0"/>
    <w:rsid w:val="006E444C"/>
    <w:rsid w:val="00741D9D"/>
    <w:rsid w:val="007A742E"/>
    <w:rsid w:val="007B6E62"/>
    <w:rsid w:val="007E1B21"/>
    <w:rsid w:val="007E7175"/>
    <w:rsid w:val="00851F6F"/>
    <w:rsid w:val="008A1A62"/>
    <w:rsid w:val="008B4070"/>
    <w:rsid w:val="008D14B7"/>
    <w:rsid w:val="0097172B"/>
    <w:rsid w:val="00AA2CBC"/>
    <w:rsid w:val="00AC43CE"/>
    <w:rsid w:val="00AC625C"/>
    <w:rsid w:val="00BB0057"/>
    <w:rsid w:val="00BD41CE"/>
    <w:rsid w:val="00BD7C26"/>
    <w:rsid w:val="00BF12D6"/>
    <w:rsid w:val="00C558C6"/>
    <w:rsid w:val="00D22190"/>
    <w:rsid w:val="00D71721"/>
    <w:rsid w:val="00D722C3"/>
    <w:rsid w:val="00E02FE8"/>
    <w:rsid w:val="00E1272B"/>
    <w:rsid w:val="00E716C7"/>
    <w:rsid w:val="00EA3DBE"/>
    <w:rsid w:val="00ED74B1"/>
    <w:rsid w:val="00EE6037"/>
    <w:rsid w:val="00F12305"/>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 w:type="paragraph" w:styleId="ListParagraph">
    <w:name w:val="List Paragraph"/>
    <w:basedOn w:val="Normal"/>
    <w:uiPriority w:val="34"/>
    <w:qFormat/>
    <w:rsid w:val="0055099C"/>
    <w:pPr>
      <w:spacing w:line="276" w:lineRule="auto"/>
      <w:ind w:left="720"/>
      <w:contextualSpacing/>
      <w:jc w:val="both"/>
    </w:pPr>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784081858">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5</cp:revision>
  <dcterms:created xsi:type="dcterms:W3CDTF">2020-10-26T11:30:00Z</dcterms:created>
  <dcterms:modified xsi:type="dcterms:W3CDTF">2020-10-28T14:25:00Z</dcterms:modified>
</cp:coreProperties>
</file>