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CD09DA" w14:textId="1F39A524" w:rsidR="007E7175" w:rsidRDefault="007E7175" w:rsidP="00BB0057">
      <w:pPr>
        <w:jc w:val="center"/>
      </w:pPr>
      <w:r w:rsidRPr="00BB0057">
        <w:rPr>
          <w:sz w:val="28"/>
          <w:szCs w:val="28"/>
        </w:rPr>
        <w:t xml:space="preserve">Summary of </w:t>
      </w:r>
      <w:r w:rsidR="00575977">
        <w:rPr>
          <w:color w:val="000000"/>
          <w:sz w:val="28"/>
          <w:szCs w:val="28"/>
          <w:shd w:val="clear" w:color="auto" w:fill="FFFFFF"/>
          <w:lang w:val="en-US"/>
        </w:rPr>
        <w:t>International Energy Agency</w:t>
      </w:r>
      <w:r w:rsidR="007B6E62" w:rsidRPr="007B6E62">
        <w:rPr>
          <w:color w:val="000000"/>
          <w:sz w:val="28"/>
          <w:szCs w:val="28"/>
          <w:shd w:val="clear" w:color="auto" w:fill="FFFFFF"/>
          <w:lang w:val="en-US"/>
        </w:rPr>
        <w:t xml:space="preserve"> </w:t>
      </w:r>
      <w:r w:rsidRPr="00BB0057">
        <w:rPr>
          <w:sz w:val="28"/>
          <w:szCs w:val="28"/>
        </w:rPr>
        <w:t>(2020)</w:t>
      </w:r>
      <w:r w:rsidRPr="007E7175">
        <w:rPr>
          <w:sz w:val="28"/>
          <w:szCs w:val="28"/>
        </w:rPr>
        <w:br/>
      </w:r>
      <w:r w:rsidRPr="007E7175">
        <w:t>Author: Ema Gusheva</w:t>
      </w:r>
    </w:p>
    <w:p w14:paraId="41B8AE51" w14:textId="77777777" w:rsidR="00BB0057" w:rsidRPr="00BB0057" w:rsidRDefault="00BB0057" w:rsidP="00BB0057">
      <w:pPr>
        <w:jc w:val="center"/>
        <w:rPr>
          <w:sz w:val="28"/>
          <w:szCs w:val="28"/>
        </w:rPr>
      </w:pPr>
    </w:p>
    <w:p w14:paraId="32E00A2E" w14:textId="07472E6F" w:rsidR="007E7175" w:rsidRPr="007E7175" w:rsidRDefault="007E7175" w:rsidP="00ED74B1">
      <w:pPr>
        <w:spacing w:line="276" w:lineRule="auto"/>
        <w:jc w:val="both"/>
        <w:rPr>
          <w:b/>
          <w:bCs/>
        </w:rPr>
      </w:pPr>
      <w:r w:rsidRPr="007E7175">
        <w:rPr>
          <w:b/>
          <w:bCs/>
        </w:rPr>
        <w:t>Summary</w:t>
      </w:r>
    </w:p>
    <w:p w14:paraId="33D7B802" w14:textId="1C79A101" w:rsidR="005D340D" w:rsidRPr="00055486" w:rsidRDefault="00055486" w:rsidP="00055486">
      <w:pPr>
        <w:spacing w:line="276" w:lineRule="auto"/>
        <w:jc w:val="both"/>
        <w:rPr>
          <w:lang w:val="en-US"/>
        </w:rPr>
      </w:pPr>
      <w:r w:rsidRPr="00055486">
        <w:rPr>
          <w:lang w:val="en-US"/>
        </w:rPr>
        <w:t xml:space="preserve">The </w:t>
      </w:r>
      <w:r>
        <w:rPr>
          <w:lang w:val="en-US"/>
        </w:rPr>
        <w:t>I</w:t>
      </w:r>
      <w:r w:rsidRPr="00055486">
        <w:rPr>
          <w:lang w:val="en-US"/>
        </w:rPr>
        <w:t xml:space="preserve">nternational Energy Agency has created a detailed report in collaboration with the International Monetary Fund on suggestions for what governments can do to mitigate this and future crises. </w:t>
      </w:r>
      <w:r>
        <w:rPr>
          <w:lang w:val="en-US"/>
        </w:rPr>
        <w:t xml:space="preserve">The report is focused on economic growth, job creation and resilience and sustainability of energy systems. </w:t>
      </w:r>
    </w:p>
    <w:p w14:paraId="7DB6A41C" w14:textId="77777777" w:rsidR="00055486" w:rsidRPr="005D340D" w:rsidRDefault="00055486" w:rsidP="007E7175">
      <w:pPr>
        <w:rPr>
          <w:b/>
          <w:bCs/>
          <w:lang w:val="en-US"/>
        </w:rPr>
      </w:pPr>
    </w:p>
    <w:p w14:paraId="75C10E1D" w14:textId="326903DC" w:rsidR="005109D3" w:rsidRPr="00055486" w:rsidRDefault="005109D3" w:rsidP="007E7175">
      <w:pPr>
        <w:spacing w:line="276" w:lineRule="auto"/>
        <w:jc w:val="both"/>
        <w:rPr>
          <w:lang w:val="en-US"/>
        </w:rPr>
      </w:pPr>
      <w:r>
        <w:rPr>
          <w:b/>
          <w:bCs/>
          <w:lang w:val="en-US"/>
        </w:rPr>
        <w:t>Implications for infrastructure</w:t>
      </w:r>
      <w:r w:rsidR="007E7175" w:rsidRPr="007E7175">
        <w:rPr>
          <w:b/>
          <w:bCs/>
        </w:rPr>
        <w:t xml:space="preserve"> </w:t>
      </w:r>
      <w:r w:rsidR="007E7175" w:rsidRPr="007E7175">
        <w:rPr>
          <w:b/>
          <w:bCs/>
        </w:rPr>
        <w:tab/>
      </w:r>
      <w:r w:rsidR="007E7175">
        <w:br/>
      </w:r>
      <w:r w:rsidR="00055486">
        <w:rPr>
          <w:lang w:val="en-US"/>
        </w:rPr>
        <w:t xml:space="preserve">The report gives specific recommendations for measures in six key sectors, which may be of interest to infrastructure companies: electricity, transport, industry, buildings, fuels and emerging low-carbon technologies. </w:t>
      </w:r>
    </w:p>
    <w:p w14:paraId="02D96421" w14:textId="77777777" w:rsidR="005109D3" w:rsidRDefault="005109D3" w:rsidP="007E7175">
      <w:pPr>
        <w:spacing w:line="276" w:lineRule="auto"/>
        <w:jc w:val="both"/>
        <w:rPr>
          <w:lang w:val="en-US"/>
        </w:rPr>
      </w:pPr>
    </w:p>
    <w:p w14:paraId="1E24BFF3" w14:textId="01C5CE04" w:rsidR="005109D3" w:rsidRDefault="005109D3" w:rsidP="005109D3">
      <w:pPr>
        <w:rPr>
          <w:b/>
          <w:bCs/>
          <w:lang w:val="en-US"/>
        </w:rPr>
      </w:pPr>
      <w:r>
        <w:rPr>
          <w:b/>
          <w:bCs/>
          <w:lang w:val="en-US"/>
        </w:rPr>
        <w:t>Stock-and-flow diagram</w:t>
      </w:r>
    </w:p>
    <w:p w14:paraId="1C7D20AF" w14:textId="00BA9681" w:rsidR="00055486" w:rsidRDefault="00055486" w:rsidP="00055486">
      <w:pPr>
        <w:spacing w:line="276" w:lineRule="auto"/>
        <w:jc w:val="both"/>
        <w:rPr>
          <w:lang w:val="en-US"/>
        </w:rPr>
      </w:pPr>
      <w:r>
        <w:rPr>
          <w:lang w:val="en-US"/>
        </w:rPr>
        <w:t xml:space="preserve">Both a ‘quick recovery’ and a ‘green recovery’ will be beneficial to jobs (see Figure 1). While a ‘quick recovery’ may focus on preventing job loss, a green recovery is focused on job creating in the short term, which comes at an initial cost of job loss but is followed </w:t>
      </w:r>
      <w:r w:rsidR="00F15F65">
        <w:rPr>
          <w:lang w:val="en-US"/>
        </w:rPr>
        <w:t xml:space="preserve">with balancing out job loss in the long term through increases resilience in the energy sector. </w:t>
      </w:r>
    </w:p>
    <w:p w14:paraId="112C90AF" w14:textId="75B7376E" w:rsidR="00F15F65" w:rsidRDefault="00F15F65" w:rsidP="00055486">
      <w:pPr>
        <w:spacing w:line="276" w:lineRule="auto"/>
        <w:jc w:val="both"/>
        <w:rPr>
          <w:lang w:val="en-US"/>
        </w:rPr>
      </w:pPr>
    </w:p>
    <w:p w14:paraId="10D66299" w14:textId="745F6790" w:rsidR="00F15F65" w:rsidRDefault="00F15F65" w:rsidP="00055486">
      <w:pPr>
        <w:spacing w:line="276" w:lineRule="auto"/>
        <w:jc w:val="both"/>
        <w:rPr>
          <w:lang w:val="en-US"/>
        </w:rPr>
      </w:pPr>
      <w:r>
        <w:rPr>
          <w:lang w:val="en-US"/>
        </w:rPr>
        <w:t xml:space="preserve">The sustainability transition is tightly dependent on infrastructure investments as they are the main factor for energy use, affecting renewable energy adoption. The government, as well as private actors, have a key role to play in the transition. IEA (2020) reports that the biggest impact for 2021-2023 investments will be in energy efficiency, which would create jobs and positive affect climate goals. </w:t>
      </w:r>
    </w:p>
    <w:p w14:paraId="0B14E4D8" w14:textId="3B9BEABE" w:rsidR="00F15F65" w:rsidRDefault="00F15F65" w:rsidP="00055486">
      <w:pPr>
        <w:spacing w:line="276" w:lineRule="auto"/>
        <w:jc w:val="both"/>
        <w:rPr>
          <w:lang w:val="en-US"/>
        </w:rPr>
      </w:pPr>
    </w:p>
    <w:p w14:paraId="67893E4F" w14:textId="390928E9" w:rsidR="00F15F65" w:rsidRPr="00055486" w:rsidRDefault="00F15F65" w:rsidP="00055486">
      <w:pPr>
        <w:spacing w:line="276" w:lineRule="auto"/>
        <w:jc w:val="both"/>
        <w:rPr>
          <w:lang w:val="en-US"/>
        </w:rPr>
      </w:pPr>
      <w:r>
        <w:rPr>
          <w:lang w:val="en-US"/>
        </w:rPr>
        <w:t xml:space="preserve">The key message from the report is that, despite temporary reductions in energy demand, renewable energy sources have fared better during this crisis. Hence, the main focus should be on improving the resilience of energy systems because of the inevitable incoming climate change shocks and instabilities. For the moment investing in the sustainability transition is the </w:t>
      </w:r>
      <w:proofErr w:type="gramStart"/>
      <w:r>
        <w:rPr>
          <w:lang w:val="en-US"/>
        </w:rPr>
        <w:t>best known</w:t>
      </w:r>
      <w:proofErr w:type="gramEnd"/>
      <w:r>
        <w:rPr>
          <w:lang w:val="en-US"/>
        </w:rPr>
        <w:t xml:space="preserve"> way to improve resilience and it is the subject of a call to action in the report.  </w:t>
      </w:r>
    </w:p>
    <w:p w14:paraId="58A20538" w14:textId="5C029FED" w:rsidR="005109D3" w:rsidRDefault="009D61CE" w:rsidP="005109D3">
      <w:pPr>
        <w:spacing w:line="276" w:lineRule="auto"/>
        <w:jc w:val="center"/>
      </w:pPr>
      <w:r w:rsidRPr="009D61CE">
        <w:rPr>
          <w:noProof/>
        </w:rPr>
        <w:lastRenderedPageBreak/>
        <w:drawing>
          <wp:inline distT="0" distB="0" distL="0" distR="0" wp14:anchorId="6BBE3338" wp14:editId="59AABC52">
            <wp:extent cx="5727700" cy="41040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27700" cy="4104005"/>
                    </a:xfrm>
                    <a:prstGeom prst="rect">
                      <a:avLst/>
                    </a:prstGeom>
                  </pic:spPr>
                </pic:pic>
              </a:graphicData>
            </a:graphic>
          </wp:inline>
        </w:drawing>
      </w:r>
      <w:r w:rsidR="00B568F0" w:rsidRPr="00B568F0">
        <w:rPr>
          <w:noProof/>
        </w:rPr>
        <w:t xml:space="preserve"> </w:t>
      </w:r>
    </w:p>
    <w:p w14:paraId="764D0F49" w14:textId="08AF08B2" w:rsidR="00555F9D" w:rsidRDefault="005109D3" w:rsidP="000778AD">
      <w:pPr>
        <w:pStyle w:val="Caption"/>
        <w:jc w:val="center"/>
      </w:pPr>
      <w:r>
        <w:t xml:space="preserve">Figure </w:t>
      </w:r>
      <w:r>
        <w:fldChar w:fldCharType="begin"/>
      </w:r>
      <w:r>
        <w:instrText xml:space="preserve"> SEQ Figure \* ARABIC </w:instrText>
      </w:r>
      <w:r>
        <w:fldChar w:fldCharType="separate"/>
      </w:r>
      <w:r>
        <w:rPr>
          <w:noProof/>
        </w:rPr>
        <w:t>1</w:t>
      </w:r>
      <w:r>
        <w:fldChar w:fldCharType="end"/>
      </w:r>
      <w:r>
        <w:t xml:space="preserve">. Stock-and-flow diagram based on </w:t>
      </w:r>
      <w:r w:rsidR="00575977">
        <w:t>International Energy Agency</w:t>
      </w:r>
      <w:r w:rsidR="00851F6F" w:rsidRPr="00AC625C">
        <w:t xml:space="preserve"> </w:t>
      </w:r>
      <w:r>
        <w:t>(2020)</w:t>
      </w:r>
      <w:r w:rsidR="0097172B">
        <w:t>. The dotted arrow</w:t>
      </w:r>
      <w:r w:rsidR="005D340D">
        <w:t xml:space="preserve"> is an</w:t>
      </w:r>
      <w:r w:rsidR="0097172B">
        <w:t xml:space="preserve"> assumptio</w:t>
      </w:r>
      <w:r w:rsidR="005D340D">
        <w:t>n</w:t>
      </w:r>
      <w:r w:rsidR="0097172B">
        <w:t xml:space="preserve"> induced from the document.</w:t>
      </w:r>
    </w:p>
    <w:p w14:paraId="39675499" w14:textId="77777777" w:rsidR="0097172B" w:rsidRDefault="0097172B" w:rsidP="00551B3B">
      <w:pPr>
        <w:rPr>
          <w:b/>
          <w:bCs/>
        </w:rPr>
      </w:pPr>
    </w:p>
    <w:p w14:paraId="300A9951" w14:textId="63867C9C" w:rsidR="00551B3B" w:rsidRPr="00551B3B" w:rsidRDefault="00551B3B" w:rsidP="00551B3B">
      <w:pPr>
        <w:rPr>
          <w:b/>
          <w:bCs/>
        </w:rPr>
      </w:pPr>
      <w:r w:rsidRPr="00551B3B">
        <w:rPr>
          <w:b/>
          <w:bCs/>
        </w:rPr>
        <w:t>References</w:t>
      </w:r>
    </w:p>
    <w:p w14:paraId="5E5451FC" w14:textId="124D7E5F" w:rsidR="0055099C" w:rsidRPr="0055099C" w:rsidRDefault="00575977" w:rsidP="0055099C">
      <w:r>
        <w:rPr>
          <w:lang w:val="en-US"/>
        </w:rPr>
        <w:t>International Energy Agency</w:t>
      </w:r>
      <w:r w:rsidR="0055099C" w:rsidRPr="0055099C">
        <w:rPr>
          <w:color w:val="000000"/>
          <w:shd w:val="clear" w:color="auto" w:fill="FFFFFF"/>
        </w:rPr>
        <w:t xml:space="preserve"> </w:t>
      </w:r>
      <w:r w:rsidR="0055099C" w:rsidRPr="0055099C">
        <w:t xml:space="preserve">(2020) </w:t>
      </w:r>
      <w:r>
        <w:rPr>
          <w:i/>
          <w:lang w:val="en-US"/>
        </w:rPr>
        <w:t>Sustainable recovery</w:t>
      </w:r>
      <w:r w:rsidR="0055099C" w:rsidRPr="0055099C">
        <w:rPr>
          <w:i/>
        </w:rPr>
        <w:t>.</w:t>
      </w:r>
      <w:r>
        <w:rPr>
          <w:lang w:val="en-US"/>
        </w:rPr>
        <w:t xml:space="preserve"> </w:t>
      </w:r>
      <w:r w:rsidRPr="00575977">
        <w:t xml:space="preserve">https://www.iea.org/reports/sustainable-recovery </w:t>
      </w:r>
      <w:r w:rsidR="0055099C" w:rsidRPr="0055099C">
        <w:t xml:space="preserve">accessed on </w:t>
      </w:r>
      <w:r>
        <w:rPr>
          <w:lang w:val="en-US"/>
        </w:rPr>
        <w:t>26th of</w:t>
      </w:r>
      <w:r w:rsidR="0055099C" w:rsidRPr="0055099C">
        <w:t xml:space="preserve"> October 2020.</w:t>
      </w:r>
    </w:p>
    <w:p w14:paraId="69C648E9" w14:textId="77777777" w:rsidR="00ED74B1" w:rsidRDefault="00ED74B1" w:rsidP="00ED74B1">
      <w:pPr>
        <w:spacing w:line="360" w:lineRule="auto"/>
        <w:jc w:val="both"/>
      </w:pPr>
    </w:p>
    <w:sectPr w:rsidR="00ED74B1" w:rsidSect="00D22190">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035F5B"/>
    <w:multiLevelType w:val="hybridMultilevel"/>
    <w:tmpl w:val="D69A4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335D8A"/>
    <w:multiLevelType w:val="multilevel"/>
    <w:tmpl w:val="9522E2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C24600A"/>
    <w:multiLevelType w:val="multilevel"/>
    <w:tmpl w:val="67802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3EC3360"/>
    <w:multiLevelType w:val="multilevel"/>
    <w:tmpl w:val="5ECC2B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4B1"/>
    <w:rsid w:val="00055486"/>
    <w:rsid w:val="000778AD"/>
    <w:rsid w:val="00094EBF"/>
    <w:rsid w:val="001A0451"/>
    <w:rsid w:val="001C2693"/>
    <w:rsid w:val="001E635A"/>
    <w:rsid w:val="00313434"/>
    <w:rsid w:val="0039501B"/>
    <w:rsid w:val="00407800"/>
    <w:rsid w:val="00451284"/>
    <w:rsid w:val="004845CC"/>
    <w:rsid w:val="004A19B3"/>
    <w:rsid w:val="004A7DAC"/>
    <w:rsid w:val="004B0639"/>
    <w:rsid w:val="004B4301"/>
    <w:rsid w:val="004F28DE"/>
    <w:rsid w:val="005109D3"/>
    <w:rsid w:val="0055099C"/>
    <w:rsid w:val="00551B3B"/>
    <w:rsid w:val="00555F9D"/>
    <w:rsid w:val="00575977"/>
    <w:rsid w:val="005D340D"/>
    <w:rsid w:val="0060512C"/>
    <w:rsid w:val="006213F0"/>
    <w:rsid w:val="00626184"/>
    <w:rsid w:val="006344D0"/>
    <w:rsid w:val="006E444C"/>
    <w:rsid w:val="00741D9D"/>
    <w:rsid w:val="007A742E"/>
    <w:rsid w:val="007B6E62"/>
    <w:rsid w:val="007E7175"/>
    <w:rsid w:val="00851F6F"/>
    <w:rsid w:val="008A1A62"/>
    <w:rsid w:val="0097172B"/>
    <w:rsid w:val="009D61CE"/>
    <w:rsid w:val="00AC43CE"/>
    <w:rsid w:val="00AC625C"/>
    <w:rsid w:val="00B568F0"/>
    <w:rsid w:val="00BB0057"/>
    <w:rsid w:val="00BD41CE"/>
    <w:rsid w:val="00BD7C26"/>
    <w:rsid w:val="00BF12D6"/>
    <w:rsid w:val="00C558C6"/>
    <w:rsid w:val="00D22190"/>
    <w:rsid w:val="00D71721"/>
    <w:rsid w:val="00D722C3"/>
    <w:rsid w:val="00E02FE8"/>
    <w:rsid w:val="00E716C7"/>
    <w:rsid w:val="00EA3DBE"/>
    <w:rsid w:val="00ED74B1"/>
    <w:rsid w:val="00EE6037"/>
    <w:rsid w:val="00F15F65"/>
  </w:rsids>
  <m:mathPr>
    <m:mathFont m:val="Cambria Math"/>
    <m:brkBin m:val="before"/>
    <m:brkBinSub m:val="--"/>
    <m:smallFrac m:val="0"/>
    <m:dispDef/>
    <m:lMargin m:val="0"/>
    <m:rMargin m:val="0"/>
    <m:defJc m:val="centerGroup"/>
    <m:wrapIndent m:val="1440"/>
    <m:intLim m:val="subSup"/>
    <m:naryLim m:val="undOvr"/>
  </m:mathPr>
  <w:themeFontLang w:val="en-M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D4104"/>
  <w15:chartTrackingRefBased/>
  <w15:docId w15:val="{0835A1D0-4D85-0D4A-B883-6F36C6392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M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FE8"/>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74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D74B1"/>
    <w:pPr>
      <w:shd w:val="clear" w:color="auto" w:fill="FFFFFF"/>
      <w:spacing w:before="100" w:beforeAutospacing="1" w:after="100" w:afterAutospacing="1"/>
    </w:pPr>
    <w:rPr>
      <w:color w:val="000000" w:themeColor="text1"/>
    </w:rPr>
  </w:style>
  <w:style w:type="paragraph" w:styleId="Caption">
    <w:name w:val="caption"/>
    <w:basedOn w:val="Normal"/>
    <w:next w:val="Normal"/>
    <w:uiPriority w:val="35"/>
    <w:unhideWhenUsed/>
    <w:qFormat/>
    <w:rsid w:val="00ED74B1"/>
    <w:pPr>
      <w:spacing w:after="200"/>
    </w:pPr>
    <w:rPr>
      <w:rFonts w:eastAsiaTheme="minorHAnsi"/>
      <w:i/>
      <w:iCs/>
      <w:color w:val="44546A" w:themeColor="text2"/>
      <w:sz w:val="18"/>
      <w:szCs w:val="18"/>
      <w:lang w:val="en-US"/>
    </w:rPr>
  </w:style>
  <w:style w:type="character" w:styleId="Hyperlink">
    <w:name w:val="Hyperlink"/>
    <w:basedOn w:val="DefaultParagraphFont"/>
    <w:uiPriority w:val="99"/>
    <w:unhideWhenUsed/>
    <w:rsid w:val="00551B3B"/>
    <w:rPr>
      <w:color w:val="0563C1" w:themeColor="hyperlink"/>
      <w:u w:val="single"/>
    </w:rPr>
  </w:style>
  <w:style w:type="paragraph" w:styleId="ListParagraph">
    <w:name w:val="List Paragraph"/>
    <w:basedOn w:val="Normal"/>
    <w:uiPriority w:val="34"/>
    <w:qFormat/>
    <w:rsid w:val="0055099C"/>
    <w:pPr>
      <w:spacing w:line="276" w:lineRule="auto"/>
      <w:ind w:left="720"/>
      <w:contextualSpacing/>
      <w:jc w:val="both"/>
    </w:pPr>
    <w:rPr>
      <w:rFonts w:eastAsiaTheme="minorHAns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0015072">
      <w:bodyDiv w:val="1"/>
      <w:marLeft w:val="0"/>
      <w:marRight w:val="0"/>
      <w:marTop w:val="0"/>
      <w:marBottom w:val="0"/>
      <w:divBdr>
        <w:top w:val="none" w:sz="0" w:space="0" w:color="auto"/>
        <w:left w:val="none" w:sz="0" w:space="0" w:color="auto"/>
        <w:bottom w:val="none" w:sz="0" w:space="0" w:color="auto"/>
        <w:right w:val="none" w:sz="0" w:space="0" w:color="auto"/>
      </w:divBdr>
      <w:divsChild>
        <w:div w:id="106510580">
          <w:marLeft w:val="0"/>
          <w:marRight w:val="0"/>
          <w:marTop w:val="0"/>
          <w:marBottom w:val="0"/>
          <w:divBdr>
            <w:top w:val="none" w:sz="0" w:space="0" w:color="auto"/>
            <w:left w:val="none" w:sz="0" w:space="0" w:color="auto"/>
            <w:bottom w:val="none" w:sz="0" w:space="0" w:color="auto"/>
            <w:right w:val="none" w:sz="0" w:space="0" w:color="auto"/>
          </w:divBdr>
          <w:divsChild>
            <w:div w:id="1565481343">
              <w:marLeft w:val="0"/>
              <w:marRight w:val="0"/>
              <w:marTop w:val="0"/>
              <w:marBottom w:val="0"/>
              <w:divBdr>
                <w:top w:val="none" w:sz="0" w:space="0" w:color="auto"/>
                <w:left w:val="none" w:sz="0" w:space="0" w:color="auto"/>
                <w:bottom w:val="none" w:sz="0" w:space="0" w:color="auto"/>
                <w:right w:val="none" w:sz="0" w:space="0" w:color="auto"/>
              </w:divBdr>
              <w:divsChild>
                <w:div w:id="552808617">
                  <w:marLeft w:val="0"/>
                  <w:marRight w:val="0"/>
                  <w:marTop w:val="0"/>
                  <w:marBottom w:val="0"/>
                  <w:divBdr>
                    <w:top w:val="none" w:sz="0" w:space="0" w:color="auto"/>
                    <w:left w:val="none" w:sz="0" w:space="0" w:color="auto"/>
                    <w:bottom w:val="none" w:sz="0" w:space="0" w:color="auto"/>
                    <w:right w:val="none" w:sz="0" w:space="0" w:color="auto"/>
                  </w:divBdr>
                  <w:divsChild>
                    <w:div w:id="5859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2491800">
      <w:bodyDiv w:val="1"/>
      <w:marLeft w:val="0"/>
      <w:marRight w:val="0"/>
      <w:marTop w:val="0"/>
      <w:marBottom w:val="0"/>
      <w:divBdr>
        <w:top w:val="none" w:sz="0" w:space="0" w:color="auto"/>
        <w:left w:val="none" w:sz="0" w:space="0" w:color="auto"/>
        <w:bottom w:val="none" w:sz="0" w:space="0" w:color="auto"/>
        <w:right w:val="none" w:sz="0" w:space="0" w:color="auto"/>
      </w:divBdr>
    </w:div>
    <w:div w:id="911083243">
      <w:bodyDiv w:val="1"/>
      <w:marLeft w:val="0"/>
      <w:marRight w:val="0"/>
      <w:marTop w:val="0"/>
      <w:marBottom w:val="0"/>
      <w:divBdr>
        <w:top w:val="none" w:sz="0" w:space="0" w:color="auto"/>
        <w:left w:val="none" w:sz="0" w:space="0" w:color="auto"/>
        <w:bottom w:val="none" w:sz="0" w:space="0" w:color="auto"/>
        <w:right w:val="none" w:sz="0" w:space="0" w:color="auto"/>
      </w:divBdr>
    </w:div>
    <w:div w:id="1063483438">
      <w:bodyDiv w:val="1"/>
      <w:marLeft w:val="0"/>
      <w:marRight w:val="0"/>
      <w:marTop w:val="0"/>
      <w:marBottom w:val="0"/>
      <w:divBdr>
        <w:top w:val="none" w:sz="0" w:space="0" w:color="auto"/>
        <w:left w:val="none" w:sz="0" w:space="0" w:color="auto"/>
        <w:bottom w:val="none" w:sz="0" w:space="0" w:color="auto"/>
        <w:right w:val="none" w:sz="0" w:space="0" w:color="auto"/>
      </w:divBdr>
      <w:divsChild>
        <w:div w:id="1448743475">
          <w:marLeft w:val="0"/>
          <w:marRight w:val="0"/>
          <w:marTop w:val="0"/>
          <w:marBottom w:val="0"/>
          <w:divBdr>
            <w:top w:val="none" w:sz="0" w:space="0" w:color="auto"/>
            <w:left w:val="none" w:sz="0" w:space="0" w:color="auto"/>
            <w:bottom w:val="none" w:sz="0" w:space="0" w:color="auto"/>
            <w:right w:val="none" w:sz="0" w:space="0" w:color="auto"/>
          </w:divBdr>
          <w:divsChild>
            <w:div w:id="232786350">
              <w:marLeft w:val="0"/>
              <w:marRight w:val="0"/>
              <w:marTop w:val="0"/>
              <w:marBottom w:val="0"/>
              <w:divBdr>
                <w:top w:val="none" w:sz="0" w:space="0" w:color="auto"/>
                <w:left w:val="none" w:sz="0" w:space="0" w:color="auto"/>
                <w:bottom w:val="none" w:sz="0" w:space="0" w:color="auto"/>
                <w:right w:val="none" w:sz="0" w:space="0" w:color="auto"/>
              </w:divBdr>
              <w:divsChild>
                <w:div w:id="1992248652">
                  <w:marLeft w:val="0"/>
                  <w:marRight w:val="0"/>
                  <w:marTop w:val="0"/>
                  <w:marBottom w:val="0"/>
                  <w:divBdr>
                    <w:top w:val="none" w:sz="0" w:space="0" w:color="auto"/>
                    <w:left w:val="none" w:sz="0" w:space="0" w:color="auto"/>
                    <w:bottom w:val="none" w:sz="0" w:space="0" w:color="auto"/>
                    <w:right w:val="none" w:sz="0" w:space="0" w:color="auto"/>
                  </w:divBdr>
                  <w:divsChild>
                    <w:div w:id="72379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246289">
      <w:bodyDiv w:val="1"/>
      <w:marLeft w:val="0"/>
      <w:marRight w:val="0"/>
      <w:marTop w:val="0"/>
      <w:marBottom w:val="0"/>
      <w:divBdr>
        <w:top w:val="none" w:sz="0" w:space="0" w:color="auto"/>
        <w:left w:val="none" w:sz="0" w:space="0" w:color="auto"/>
        <w:bottom w:val="none" w:sz="0" w:space="0" w:color="auto"/>
        <w:right w:val="none" w:sz="0" w:space="0" w:color="auto"/>
      </w:divBdr>
      <w:divsChild>
        <w:div w:id="1186485496">
          <w:marLeft w:val="0"/>
          <w:marRight w:val="0"/>
          <w:marTop w:val="0"/>
          <w:marBottom w:val="0"/>
          <w:divBdr>
            <w:top w:val="none" w:sz="0" w:space="0" w:color="auto"/>
            <w:left w:val="none" w:sz="0" w:space="0" w:color="auto"/>
            <w:bottom w:val="none" w:sz="0" w:space="0" w:color="auto"/>
            <w:right w:val="none" w:sz="0" w:space="0" w:color="auto"/>
          </w:divBdr>
          <w:divsChild>
            <w:div w:id="1255166820">
              <w:marLeft w:val="0"/>
              <w:marRight w:val="0"/>
              <w:marTop w:val="0"/>
              <w:marBottom w:val="0"/>
              <w:divBdr>
                <w:top w:val="none" w:sz="0" w:space="0" w:color="auto"/>
                <w:left w:val="none" w:sz="0" w:space="0" w:color="auto"/>
                <w:bottom w:val="none" w:sz="0" w:space="0" w:color="auto"/>
                <w:right w:val="none" w:sz="0" w:space="0" w:color="auto"/>
              </w:divBdr>
              <w:divsChild>
                <w:div w:id="2069183968">
                  <w:marLeft w:val="0"/>
                  <w:marRight w:val="0"/>
                  <w:marTop w:val="0"/>
                  <w:marBottom w:val="0"/>
                  <w:divBdr>
                    <w:top w:val="none" w:sz="0" w:space="0" w:color="auto"/>
                    <w:left w:val="none" w:sz="0" w:space="0" w:color="auto"/>
                    <w:bottom w:val="none" w:sz="0" w:space="0" w:color="auto"/>
                    <w:right w:val="none" w:sz="0" w:space="0" w:color="auto"/>
                  </w:divBdr>
                  <w:divsChild>
                    <w:div w:id="43556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948265">
      <w:bodyDiv w:val="1"/>
      <w:marLeft w:val="0"/>
      <w:marRight w:val="0"/>
      <w:marTop w:val="0"/>
      <w:marBottom w:val="0"/>
      <w:divBdr>
        <w:top w:val="none" w:sz="0" w:space="0" w:color="auto"/>
        <w:left w:val="none" w:sz="0" w:space="0" w:color="auto"/>
        <w:bottom w:val="none" w:sz="0" w:space="0" w:color="auto"/>
        <w:right w:val="none" w:sz="0" w:space="0" w:color="auto"/>
      </w:divBdr>
    </w:div>
    <w:div w:id="1763640817">
      <w:bodyDiv w:val="1"/>
      <w:marLeft w:val="0"/>
      <w:marRight w:val="0"/>
      <w:marTop w:val="0"/>
      <w:marBottom w:val="0"/>
      <w:divBdr>
        <w:top w:val="none" w:sz="0" w:space="0" w:color="auto"/>
        <w:left w:val="none" w:sz="0" w:space="0" w:color="auto"/>
        <w:bottom w:val="none" w:sz="0" w:space="0" w:color="auto"/>
        <w:right w:val="none" w:sz="0" w:space="0" w:color="auto"/>
      </w:divBdr>
      <w:divsChild>
        <w:div w:id="554700253">
          <w:marLeft w:val="0"/>
          <w:marRight w:val="0"/>
          <w:marTop w:val="0"/>
          <w:marBottom w:val="0"/>
          <w:divBdr>
            <w:top w:val="none" w:sz="0" w:space="0" w:color="auto"/>
            <w:left w:val="none" w:sz="0" w:space="0" w:color="auto"/>
            <w:bottom w:val="none" w:sz="0" w:space="0" w:color="auto"/>
            <w:right w:val="none" w:sz="0" w:space="0" w:color="auto"/>
          </w:divBdr>
          <w:divsChild>
            <w:div w:id="1345012241">
              <w:marLeft w:val="0"/>
              <w:marRight w:val="0"/>
              <w:marTop w:val="0"/>
              <w:marBottom w:val="0"/>
              <w:divBdr>
                <w:top w:val="none" w:sz="0" w:space="0" w:color="auto"/>
                <w:left w:val="none" w:sz="0" w:space="0" w:color="auto"/>
                <w:bottom w:val="none" w:sz="0" w:space="0" w:color="auto"/>
                <w:right w:val="none" w:sz="0" w:space="0" w:color="auto"/>
              </w:divBdr>
              <w:divsChild>
                <w:div w:id="1495606680">
                  <w:marLeft w:val="0"/>
                  <w:marRight w:val="0"/>
                  <w:marTop w:val="0"/>
                  <w:marBottom w:val="0"/>
                  <w:divBdr>
                    <w:top w:val="none" w:sz="0" w:space="0" w:color="auto"/>
                    <w:left w:val="none" w:sz="0" w:space="0" w:color="auto"/>
                    <w:bottom w:val="none" w:sz="0" w:space="0" w:color="auto"/>
                    <w:right w:val="none" w:sz="0" w:space="0" w:color="auto"/>
                  </w:divBdr>
                  <w:divsChild>
                    <w:div w:id="71758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3548477">
      <w:bodyDiv w:val="1"/>
      <w:marLeft w:val="0"/>
      <w:marRight w:val="0"/>
      <w:marTop w:val="0"/>
      <w:marBottom w:val="0"/>
      <w:divBdr>
        <w:top w:val="none" w:sz="0" w:space="0" w:color="auto"/>
        <w:left w:val="none" w:sz="0" w:space="0" w:color="auto"/>
        <w:bottom w:val="none" w:sz="0" w:space="0" w:color="auto"/>
        <w:right w:val="none" w:sz="0" w:space="0" w:color="auto"/>
      </w:divBdr>
      <w:divsChild>
        <w:div w:id="1994748909">
          <w:marLeft w:val="0"/>
          <w:marRight w:val="0"/>
          <w:marTop w:val="0"/>
          <w:marBottom w:val="0"/>
          <w:divBdr>
            <w:top w:val="none" w:sz="0" w:space="0" w:color="auto"/>
            <w:left w:val="none" w:sz="0" w:space="0" w:color="auto"/>
            <w:bottom w:val="none" w:sz="0" w:space="0" w:color="auto"/>
            <w:right w:val="none" w:sz="0" w:space="0" w:color="auto"/>
          </w:divBdr>
          <w:divsChild>
            <w:div w:id="2086412960">
              <w:marLeft w:val="0"/>
              <w:marRight w:val="0"/>
              <w:marTop w:val="0"/>
              <w:marBottom w:val="0"/>
              <w:divBdr>
                <w:top w:val="none" w:sz="0" w:space="0" w:color="auto"/>
                <w:left w:val="none" w:sz="0" w:space="0" w:color="auto"/>
                <w:bottom w:val="none" w:sz="0" w:space="0" w:color="auto"/>
                <w:right w:val="none" w:sz="0" w:space="0" w:color="auto"/>
              </w:divBdr>
              <w:divsChild>
                <w:div w:id="637535943">
                  <w:marLeft w:val="0"/>
                  <w:marRight w:val="0"/>
                  <w:marTop w:val="0"/>
                  <w:marBottom w:val="0"/>
                  <w:divBdr>
                    <w:top w:val="none" w:sz="0" w:space="0" w:color="auto"/>
                    <w:left w:val="none" w:sz="0" w:space="0" w:color="auto"/>
                    <w:bottom w:val="none" w:sz="0" w:space="0" w:color="auto"/>
                    <w:right w:val="none" w:sz="0" w:space="0" w:color="auto"/>
                  </w:divBdr>
                  <w:divsChild>
                    <w:div w:id="2071073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8555929">
      <w:bodyDiv w:val="1"/>
      <w:marLeft w:val="0"/>
      <w:marRight w:val="0"/>
      <w:marTop w:val="0"/>
      <w:marBottom w:val="0"/>
      <w:divBdr>
        <w:top w:val="none" w:sz="0" w:space="0" w:color="auto"/>
        <w:left w:val="none" w:sz="0" w:space="0" w:color="auto"/>
        <w:bottom w:val="none" w:sz="0" w:space="0" w:color="auto"/>
        <w:right w:val="none" w:sz="0" w:space="0" w:color="auto"/>
      </w:divBdr>
      <w:divsChild>
        <w:div w:id="1472599298">
          <w:marLeft w:val="0"/>
          <w:marRight w:val="0"/>
          <w:marTop w:val="0"/>
          <w:marBottom w:val="0"/>
          <w:divBdr>
            <w:top w:val="none" w:sz="0" w:space="0" w:color="auto"/>
            <w:left w:val="none" w:sz="0" w:space="0" w:color="auto"/>
            <w:bottom w:val="none" w:sz="0" w:space="0" w:color="auto"/>
            <w:right w:val="none" w:sz="0" w:space="0" w:color="auto"/>
          </w:divBdr>
          <w:divsChild>
            <w:div w:id="2115250998">
              <w:marLeft w:val="0"/>
              <w:marRight w:val="0"/>
              <w:marTop w:val="0"/>
              <w:marBottom w:val="0"/>
              <w:divBdr>
                <w:top w:val="none" w:sz="0" w:space="0" w:color="auto"/>
                <w:left w:val="none" w:sz="0" w:space="0" w:color="auto"/>
                <w:bottom w:val="none" w:sz="0" w:space="0" w:color="auto"/>
                <w:right w:val="none" w:sz="0" w:space="0" w:color="auto"/>
              </w:divBdr>
              <w:divsChild>
                <w:div w:id="1916431881">
                  <w:marLeft w:val="0"/>
                  <w:marRight w:val="0"/>
                  <w:marTop w:val="0"/>
                  <w:marBottom w:val="0"/>
                  <w:divBdr>
                    <w:top w:val="none" w:sz="0" w:space="0" w:color="auto"/>
                    <w:left w:val="none" w:sz="0" w:space="0" w:color="auto"/>
                    <w:bottom w:val="none" w:sz="0" w:space="0" w:color="auto"/>
                    <w:right w:val="none" w:sz="0" w:space="0" w:color="auto"/>
                  </w:divBdr>
                  <w:divsChild>
                    <w:div w:id="84640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331</Words>
  <Characters>1889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 Guseva</dc:creator>
  <cp:keywords/>
  <dc:description/>
  <cp:lastModifiedBy>Ema Guseva</cp:lastModifiedBy>
  <cp:revision>5</cp:revision>
  <dcterms:created xsi:type="dcterms:W3CDTF">2020-10-26T08:29:00Z</dcterms:created>
  <dcterms:modified xsi:type="dcterms:W3CDTF">2020-10-28T14:21:00Z</dcterms:modified>
</cp:coreProperties>
</file>