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CD09DA" w14:textId="4CDFA7D7" w:rsidR="007E7175" w:rsidRDefault="007E7175" w:rsidP="00BB0057">
      <w:pPr>
        <w:jc w:val="center"/>
      </w:pPr>
      <w:r w:rsidRPr="00BB0057">
        <w:rPr>
          <w:sz w:val="28"/>
          <w:szCs w:val="28"/>
        </w:rPr>
        <w:t xml:space="preserve">Summary of </w:t>
      </w:r>
      <w:r w:rsidR="005D340D">
        <w:rPr>
          <w:color w:val="000000"/>
          <w:sz w:val="28"/>
          <w:szCs w:val="28"/>
          <w:shd w:val="clear" w:color="auto" w:fill="FFFFFF"/>
          <w:lang w:val="en-US"/>
        </w:rPr>
        <w:t>Deloitte</w:t>
      </w:r>
      <w:r w:rsidR="007B6E62" w:rsidRPr="007B6E62">
        <w:rPr>
          <w:color w:val="000000"/>
          <w:sz w:val="28"/>
          <w:szCs w:val="28"/>
          <w:shd w:val="clear" w:color="auto" w:fill="FFFFFF"/>
          <w:lang w:val="en-US"/>
        </w:rPr>
        <w:t xml:space="preserve"> </w:t>
      </w:r>
      <w:r w:rsidRPr="00BB0057">
        <w:rPr>
          <w:sz w:val="28"/>
          <w:szCs w:val="28"/>
        </w:rPr>
        <w:t>(2020)</w:t>
      </w:r>
      <w:r w:rsidRPr="007E7175">
        <w:rPr>
          <w:sz w:val="28"/>
          <w:szCs w:val="28"/>
        </w:rPr>
        <w:br/>
      </w:r>
      <w:r w:rsidRPr="007E7175">
        <w:t>Author: Ema Gusheva</w:t>
      </w:r>
    </w:p>
    <w:p w14:paraId="41B8AE51" w14:textId="77777777" w:rsidR="00BB0057" w:rsidRPr="00BB0057" w:rsidRDefault="00BB0057" w:rsidP="00BB0057">
      <w:pPr>
        <w:jc w:val="center"/>
        <w:rPr>
          <w:sz w:val="28"/>
          <w:szCs w:val="28"/>
        </w:rPr>
      </w:pPr>
    </w:p>
    <w:p w14:paraId="32E00A2E" w14:textId="07472E6F" w:rsidR="007E7175" w:rsidRPr="007E7175" w:rsidRDefault="007E7175" w:rsidP="00ED74B1">
      <w:pPr>
        <w:spacing w:line="276" w:lineRule="auto"/>
        <w:jc w:val="both"/>
        <w:rPr>
          <w:b/>
          <w:bCs/>
        </w:rPr>
      </w:pPr>
      <w:r w:rsidRPr="007E7175">
        <w:rPr>
          <w:b/>
          <w:bCs/>
        </w:rPr>
        <w:t>Summary</w:t>
      </w:r>
    </w:p>
    <w:p w14:paraId="6B2CE21F" w14:textId="6AA070A1" w:rsidR="007E7175" w:rsidRPr="005D340D" w:rsidRDefault="005D340D" w:rsidP="00451284">
      <w:pPr>
        <w:jc w:val="both"/>
        <w:rPr>
          <w:lang w:val="en-US"/>
        </w:rPr>
      </w:pPr>
      <w:r>
        <w:rPr>
          <w:lang w:val="en-US"/>
        </w:rPr>
        <w:t xml:space="preserve">Deloitte (2020) presents the challenges that face infrastructure companies as a result of </w:t>
      </w:r>
      <w:r w:rsidR="00451284">
        <w:rPr>
          <w:lang w:val="en-US"/>
        </w:rPr>
        <w:t>COVID-19. Specifically, the pandemic has caused many development contracts to be dropped or slowed, leaving infrastructure companies in a liquidity crisis and creating funding gaps. Other than this, a major challenge is the unexpected drop in demand for and usage of certain types of infrastructure assets, such as transportation. The report projects a</w:t>
      </w:r>
      <w:r w:rsidR="00626184">
        <w:rPr>
          <w:lang w:val="en-US"/>
        </w:rPr>
        <w:t>n overall</w:t>
      </w:r>
      <w:r w:rsidR="00451284">
        <w:rPr>
          <w:lang w:val="en-US"/>
        </w:rPr>
        <w:t xml:space="preserve"> decrease in infrastructure investment in the short to medium term </w:t>
      </w:r>
      <w:r w:rsidR="00626184">
        <w:rPr>
          <w:lang w:val="en-US"/>
        </w:rPr>
        <w:t>and a portfolio diversification trend.</w:t>
      </w:r>
    </w:p>
    <w:p w14:paraId="33D7B802" w14:textId="77777777" w:rsidR="005D340D" w:rsidRPr="005D340D" w:rsidRDefault="005D340D" w:rsidP="007E7175">
      <w:pPr>
        <w:rPr>
          <w:b/>
          <w:bCs/>
          <w:lang w:val="en-US"/>
        </w:rPr>
      </w:pPr>
    </w:p>
    <w:p w14:paraId="75C10E1D" w14:textId="00F0651F" w:rsidR="005109D3" w:rsidRPr="005D340D" w:rsidRDefault="005109D3" w:rsidP="007E7175">
      <w:pPr>
        <w:spacing w:line="276" w:lineRule="auto"/>
        <w:jc w:val="both"/>
      </w:pPr>
      <w:r>
        <w:rPr>
          <w:b/>
          <w:bCs/>
          <w:lang w:val="en-US"/>
        </w:rPr>
        <w:t>Implications for infrastructure</w:t>
      </w:r>
      <w:r w:rsidR="007E7175" w:rsidRPr="007E7175">
        <w:rPr>
          <w:b/>
          <w:bCs/>
        </w:rPr>
        <w:t xml:space="preserve"> </w:t>
      </w:r>
      <w:r w:rsidR="007E7175" w:rsidRPr="007E7175">
        <w:rPr>
          <w:b/>
          <w:bCs/>
        </w:rPr>
        <w:tab/>
      </w:r>
      <w:r w:rsidR="007E7175">
        <w:br/>
      </w:r>
      <w:r w:rsidR="005D340D">
        <w:rPr>
          <w:lang w:val="en-US"/>
        </w:rPr>
        <w:t>This report presents the ongoing pandemic as “an opportunity for infrastructure investors to acquire valuable hard assets from a valuation perspective (which is typical during an economic downturn) and reposition for the longer term when various initiatives have stabilized and there is an economic rebound</w:t>
      </w:r>
      <w:r w:rsidR="00451284">
        <w:rPr>
          <w:lang w:val="en-US"/>
        </w:rPr>
        <w:t>” (p. 2)</w:t>
      </w:r>
      <w:r w:rsidR="005D340D">
        <w:rPr>
          <w:lang w:val="en-US"/>
        </w:rPr>
        <w:t>.</w:t>
      </w:r>
      <w:r w:rsidR="00451284">
        <w:rPr>
          <w:lang w:val="en-US"/>
        </w:rPr>
        <w:t xml:space="preserve"> In addition to this, a list of key considerations for infrastructure companies is presented. </w:t>
      </w:r>
    </w:p>
    <w:p w14:paraId="02D96421" w14:textId="77777777" w:rsidR="005109D3" w:rsidRDefault="005109D3" w:rsidP="007E7175">
      <w:pPr>
        <w:spacing w:line="276" w:lineRule="auto"/>
        <w:jc w:val="both"/>
        <w:rPr>
          <w:lang w:val="en-US"/>
        </w:rPr>
      </w:pPr>
    </w:p>
    <w:p w14:paraId="1E24BFF3" w14:textId="280DC454" w:rsidR="005109D3" w:rsidRDefault="005109D3" w:rsidP="005109D3">
      <w:pPr>
        <w:rPr>
          <w:b/>
          <w:bCs/>
          <w:lang w:val="en-US"/>
        </w:rPr>
      </w:pPr>
      <w:r>
        <w:rPr>
          <w:b/>
          <w:bCs/>
          <w:lang w:val="en-US"/>
        </w:rPr>
        <w:t>Stock-and-flow diagram</w:t>
      </w:r>
    </w:p>
    <w:p w14:paraId="172FE59B" w14:textId="2E06A0B9" w:rsidR="00626184" w:rsidRDefault="00626184" w:rsidP="00626184">
      <w:pPr>
        <w:jc w:val="both"/>
        <w:rPr>
          <w:lang w:val="en-US"/>
        </w:rPr>
      </w:pPr>
      <w:r>
        <w:rPr>
          <w:lang w:val="en-US"/>
        </w:rPr>
        <w:t xml:space="preserve">Infrastructure assets are modeled according to three phases: development, construction and operations. Each asset is found in one of these phases. Assets under construction or in operation are said to have suffered the largest impact due to COVID-19 as many contractors have declared force majeure or the demand for usage of certain assets (e.g. airplanes) has decreased due to virus containment measures. </w:t>
      </w:r>
    </w:p>
    <w:p w14:paraId="4F509D3E" w14:textId="62AD2AAA" w:rsidR="00626184" w:rsidRDefault="00626184" w:rsidP="00626184">
      <w:pPr>
        <w:jc w:val="both"/>
        <w:rPr>
          <w:lang w:val="en-US"/>
        </w:rPr>
      </w:pPr>
    </w:p>
    <w:p w14:paraId="284A9F1D" w14:textId="129373A2" w:rsidR="00626184" w:rsidRDefault="00626184" w:rsidP="00626184">
      <w:pPr>
        <w:jc w:val="both"/>
        <w:rPr>
          <w:lang w:val="en-US"/>
        </w:rPr>
      </w:pPr>
      <w:r>
        <w:rPr>
          <w:lang w:val="en-US"/>
        </w:rPr>
        <w:t xml:space="preserve">Companies receive income from operation activities, so, naturally, these two challenges have adversely impacted company income, lowering the financial resources of the companies and posing a challenge for expenditures. This unexpected decrease of income has challenged liquidity and thus future investments, widening the infrastructure gap even further (the gap between Money needed to be invested in infrastructure and Money invested in infrastructure). </w:t>
      </w:r>
    </w:p>
    <w:p w14:paraId="3DC7DBC7" w14:textId="37473789" w:rsidR="00626184" w:rsidRDefault="00626184" w:rsidP="00626184">
      <w:pPr>
        <w:jc w:val="both"/>
        <w:rPr>
          <w:lang w:val="en-US"/>
        </w:rPr>
      </w:pPr>
    </w:p>
    <w:p w14:paraId="422A5F3B" w14:textId="49891DAD" w:rsidR="00626184" w:rsidRDefault="00626184" w:rsidP="00626184">
      <w:pPr>
        <w:jc w:val="both"/>
        <w:rPr>
          <w:lang w:val="en-US"/>
        </w:rPr>
      </w:pPr>
      <w:r>
        <w:rPr>
          <w:lang w:val="en-US"/>
        </w:rPr>
        <w:t xml:space="preserve">This cycle might improve the financial situation in the short term, but ultimately comes back to debilitate future earnings as investments drive the potential for future income through new infrastructure development. This problem echoes in construction as well as development as companies are faced with a </w:t>
      </w:r>
      <w:r w:rsidR="00E716C7">
        <w:rPr>
          <w:lang w:val="en-US"/>
        </w:rPr>
        <w:t xml:space="preserve">funding gap resulting from low liquidity which prevents them from finishing certain construction activities. </w:t>
      </w:r>
    </w:p>
    <w:p w14:paraId="2C446412" w14:textId="56BFC16F" w:rsidR="00E716C7" w:rsidRDefault="00E716C7" w:rsidP="00626184">
      <w:pPr>
        <w:jc w:val="both"/>
        <w:rPr>
          <w:lang w:val="en-US"/>
        </w:rPr>
      </w:pPr>
    </w:p>
    <w:p w14:paraId="156C9053" w14:textId="532CA6D1" w:rsidR="00E716C7" w:rsidRPr="00626184" w:rsidRDefault="00094EBF" w:rsidP="00626184">
      <w:pPr>
        <w:jc w:val="both"/>
        <w:rPr>
          <w:lang w:val="en-US"/>
        </w:rPr>
      </w:pPr>
      <w:r>
        <w:rPr>
          <w:lang w:val="en-US"/>
        </w:rPr>
        <w:t xml:space="preserve">The main stocks in the model are described in Table 1, while the causal links are the subject of Table 2. </w:t>
      </w:r>
    </w:p>
    <w:p w14:paraId="58A20538" w14:textId="13D7B4C4" w:rsidR="005109D3" w:rsidRDefault="005D340D" w:rsidP="005109D3">
      <w:pPr>
        <w:spacing w:line="276" w:lineRule="auto"/>
        <w:jc w:val="center"/>
      </w:pPr>
      <w:r w:rsidRPr="005D340D">
        <w:rPr>
          <w:noProof/>
        </w:rPr>
        <w:lastRenderedPageBreak/>
        <w:drawing>
          <wp:inline distT="0" distB="0" distL="0" distR="0" wp14:anchorId="553E8703" wp14:editId="740B772E">
            <wp:extent cx="8679134" cy="54316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rot="16200000">
                      <a:off x="0" y="0"/>
                      <a:ext cx="8694577" cy="5441340"/>
                    </a:xfrm>
                    <a:prstGeom prst="rect">
                      <a:avLst/>
                    </a:prstGeom>
                  </pic:spPr>
                </pic:pic>
              </a:graphicData>
            </a:graphic>
          </wp:inline>
        </w:drawing>
      </w:r>
    </w:p>
    <w:p w14:paraId="764D0F49" w14:textId="04B445F2" w:rsidR="00555F9D" w:rsidRDefault="005109D3" w:rsidP="000778AD">
      <w:pPr>
        <w:pStyle w:val="Caption"/>
        <w:jc w:val="center"/>
      </w:pPr>
      <w:r>
        <w:t xml:space="preserve">Figure </w:t>
      </w:r>
      <w:r>
        <w:fldChar w:fldCharType="begin"/>
      </w:r>
      <w:r>
        <w:instrText xml:space="preserve"> SEQ Figure \* ARABIC </w:instrText>
      </w:r>
      <w:r>
        <w:fldChar w:fldCharType="separate"/>
      </w:r>
      <w:r>
        <w:rPr>
          <w:noProof/>
        </w:rPr>
        <w:t>1</w:t>
      </w:r>
      <w:r>
        <w:fldChar w:fldCharType="end"/>
      </w:r>
      <w:r>
        <w:t xml:space="preserve">. Stock-and-flow diagram based on </w:t>
      </w:r>
      <w:r w:rsidR="005D340D">
        <w:t>Deloitte</w:t>
      </w:r>
      <w:r w:rsidR="00851F6F" w:rsidRPr="00AC625C">
        <w:t xml:space="preserve"> </w:t>
      </w:r>
      <w:r>
        <w:t>(2020)</w:t>
      </w:r>
      <w:r w:rsidR="0097172B">
        <w:t>. The dotted arrow</w:t>
      </w:r>
      <w:r w:rsidR="005D340D">
        <w:t xml:space="preserve"> is an</w:t>
      </w:r>
      <w:r w:rsidR="0097172B">
        <w:t xml:space="preserve"> assumptio</w:t>
      </w:r>
      <w:r w:rsidR="005D340D">
        <w:t>n</w:t>
      </w:r>
      <w:r w:rsidR="0097172B">
        <w:t xml:space="preserve"> induced from the document.</w:t>
      </w:r>
    </w:p>
    <w:p w14:paraId="699DA5B0" w14:textId="77777777" w:rsidR="001E635A" w:rsidRPr="00D71721" w:rsidRDefault="001E635A" w:rsidP="001E635A">
      <w:pPr>
        <w:jc w:val="both"/>
        <w:rPr>
          <w:lang w:val="en-US"/>
        </w:rPr>
      </w:pPr>
    </w:p>
    <w:tbl>
      <w:tblPr>
        <w:tblStyle w:val="TableGrid"/>
        <w:tblW w:w="0" w:type="auto"/>
        <w:tblLook w:val="04A0" w:firstRow="1" w:lastRow="0" w:firstColumn="1" w:lastColumn="0" w:noHBand="0" w:noVBand="1"/>
      </w:tblPr>
      <w:tblGrid>
        <w:gridCol w:w="1838"/>
        <w:gridCol w:w="2268"/>
        <w:gridCol w:w="4253"/>
        <w:gridCol w:w="651"/>
      </w:tblGrid>
      <w:tr w:rsidR="000778AD" w:rsidRPr="000778AD" w14:paraId="09FE6DCA" w14:textId="77777777" w:rsidTr="00851F6F">
        <w:tc>
          <w:tcPr>
            <w:tcW w:w="1838" w:type="dxa"/>
          </w:tcPr>
          <w:p w14:paraId="5327A819" w14:textId="47025884" w:rsidR="00555F9D" w:rsidRPr="000778AD" w:rsidRDefault="00555F9D" w:rsidP="000778AD">
            <w:pPr>
              <w:spacing w:line="276" w:lineRule="auto"/>
              <w:jc w:val="center"/>
              <w:rPr>
                <w:b/>
                <w:bCs/>
                <w:color w:val="000000" w:themeColor="text1"/>
                <w:sz w:val="20"/>
                <w:szCs w:val="20"/>
                <w:lang w:val="en-US"/>
              </w:rPr>
            </w:pPr>
            <w:r w:rsidRPr="000778AD">
              <w:rPr>
                <w:b/>
                <w:bCs/>
                <w:color w:val="000000" w:themeColor="text1"/>
                <w:sz w:val="20"/>
                <w:szCs w:val="20"/>
                <w:lang w:val="en-US"/>
              </w:rPr>
              <w:t>Variable name</w:t>
            </w:r>
          </w:p>
        </w:tc>
        <w:tc>
          <w:tcPr>
            <w:tcW w:w="2268" w:type="dxa"/>
          </w:tcPr>
          <w:p w14:paraId="3368A80A" w14:textId="6623BBD2" w:rsidR="00555F9D" w:rsidRPr="000778AD" w:rsidRDefault="00555F9D" w:rsidP="000778AD">
            <w:pPr>
              <w:spacing w:line="276" w:lineRule="auto"/>
              <w:jc w:val="center"/>
              <w:rPr>
                <w:b/>
                <w:bCs/>
                <w:color w:val="000000" w:themeColor="text1"/>
                <w:sz w:val="20"/>
                <w:szCs w:val="20"/>
                <w:lang w:val="en-US"/>
              </w:rPr>
            </w:pPr>
            <w:r w:rsidRPr="000778AD">
              <w:rPr>
                <w:b/>
                <w:bCs/>
                <w:color w:val="000000" w:themeColor="text1"/>
                <w:sz w:val="20"/>
                <w:szCs w:val="20"/>
                <w:lang w:val="en-US"/>
              </w:rPr>
              <w:t>Description</w:t>
            </w:r>
          </w:p>
        </w:tc>
        <w:tc>
          <w:tcPr>
            <w:tcW w:w="4253" w:type="dxa"/>
          </w:tcPr>
          <w:p w14:paraId="4290E0E8" w14:textId="6453AFBB" w:rsidR="00555F9D" w:rsidRPr="000778AD" w:rsidRDefault="00555F9D" w:rsidP="000778AD">
            <w:pPr>
              <w:spacing w:line="276" w:lineRule="auto"/>
              <w:jc w:val="center"/>
              <w:rPr>
                <w:b/>
                <w:bCs/>
                <w:color w:val="000000" w:themeColor="text1"/>
                <w:sz w:val="20"/>
                <w:szCs w:val="20"/>
                <w:lang w:val="en-US"/>
              </w:rPr>
            </w:pPr>
            <w:r w:rsidRPr="000778AD">
              <w:rPr>
                <w:b/>
                <w:bCs/>
                <w:color w:val="000000" w:themeColor="text1"/>
                <w:sz w:val="20"/>
                <w:szCs w:val="20"/>
                <w:lang w:val="en-US"/>
              </w:rPr>
              <w:t>Quote</w:t>
            </w:r>
          </w:p>
        </w:tc>
        <w:tc>
          <w:tcPr>
            <w:tcW w:w="651" w:type="dxa"/>
          </w:tcPr>
          <w:p w14:paraId="5103631F" w14:textId="151E32D5" w:rsidR="00555F9D" w:rsidRPr="000778AD" w:rsidRDefault="00555F9D" w:rsidP="000778AD">
            <w:pPr>
              <w:spacing w:line="276" w:lineRule="auto"/>
              <w:rPr>
                <w:b/>
                <w:bCs/>
                <w:color w:val="000000" w:themeColor="text1"/>
                <w:sz w:val="20"/>
                <w:szCs w:val="20"/>
                <w:lang w:val="en-US"/>
              </w:rPr>
            </w:pPr>
            <w:r w:rsidRPr="000778AD">
              <w:rPr>
                <w:b/>
                <w:bCs/>
                <w:color w:val="000000" w:themeColor="text1"/>
                <w:sz w:val="20"/>
                <w:szCs w:val="20"/>
                <w:lang w:val="en-US"/>
              </w:rPr>
              <w:t>Page</w:t>
            </w:r>
          </w:p>
        </w:tc>
      </w:tr>
      <w:tr w:rsidR="000778AD" w:rsidRPr="000778AD" w14:paraId="0B19D96F" w14:textId="77777777" w:rsidTr="00851F6F">
        <w:tc>
          <w:tcPr>
            <w:tcW w:w="1838" w:type="dxa"/>
          </w:tcPr>
          <w:p w14:paraId="00C6837A" w14:textId="4818920C" w:rsidR="00555F9D" w:rsidRPr="004B0639" w:rsidRDefault="00E716C7" w:rsidP="000778AD">
            <w:pPr>
              <w:spacing w:line="276" w:lineRule="auto"/>
              <w:rPr>
                <w:color w:val="000000" w:themeColor="text1"/>
                <w:sz w:val="20"/>
                <w:szCs w:val="20"/>
                <w:lang w:val="en-US"/>
              </w:rPr>
            </w:pPr>
            <w:r w:rsidRPr="004B0639">
              <w:rPr>
                <w:color w:val="000000" w:themeColor="text1"/>
                <w:sz w:val="20"/>
                <w:szCs w:val="20"/>
                <w:lang w:val="en-US"/>
              </w:rPr>
              <w:t xml:space="preserve">Assets </w:t>
            </w:r>
            <w:r w:rsidR="004B0639" w:rsidRPr="004B0639">
              <w:rPr>
                <w:color w:val="000000" w:themeColor="text1"/>
                <w:sz w:val="20"/>
                <w:szCs w:val="20"/>
                <w:lang w:val="en-US"/>
              </w:rPr>
              <w:t xml:space="preserve">under </w:t>
            </w:r>
            <w:r w:rsidRPr="004B0639">
              <w:rPr>
                <w:color w:val="000000" w:themeColor="text1"/>
                <w:sz w:val="20"/>
                <w:szCs w:val="20"/>
                <w:lang w:val="en-US"/>
              </w:rPr>
              <w:t>development</w:t>
            </w:r>
          </w:p>
        </w:tc>
        <w:tc>
          <w:tcPr>
            <w:tcW w:w="2268" w:type="dxa"/>
          </w:tcPr>
          <w:p w14:paraId="5AAE8F6C" w14:textId="085B6659" w:rsidR="00555F9D" w:rsidRPr="004B0639" w:rsidRDefault="00E716C7" w:rsidP="000778AD">
            <w:pPr>
              <w:spacing w:line="276" w:lineRule="auto"/>
              <w:rPr>
                <w:color w:val="000000" w:themeColor="text1"/>
                <w:sz w:val="20"/>
                <w:szCs w:val="20"/>
                <w:lang w:val="en-US"/>
              </w:rPr>
            </w:pPr>
            <w:r w:rsidRPr="004B0639">
              <w:rPr>
                <w:color w:val="000000" w:themeColor="text1"/>
                <w:sz w:val="20"/>
                <w:szCs w:val="20"/>
                <w:lang w:val="en-US"/>
              </w:rPr>
              <w:t>The number of ongoing infrastructure development projects</w:t>
            </w:r>
          </w:p>
        </w:tc>
        <w:tc>
          <w:tcPr>
            <w:tcW w:w="4253" w:type="dxa"/>
          </w:tcPr>
          <w:p w14:paraId="667BB6B9" w14:textId="58D7DC53" w:rsidR="00555F9D" w:rsidRPr="004B0639" w:rsidRDefault="00E716C7" w:rsidP="00E716C7">
            <w:pPr>
              <w:pStyle w:val="NormalWeb"/>
              <w:rPr>
                <w:sz w:val="20"/>
                <w:szCs w:val="20"/>
              </w:rPr>
            </w:pPr>
            <w:r w:rsidRPr="004B0639">
              <w:rPr>
                <w:sz w:val="20"/>
                <w:szCs w:val="20"/>
              </w:rPr>
              <w:t xml:space="preserve">The impact on infrastructure companies can be assessed during any of the following phases: development, construction and operations </w:t>
            </w:r>
          </w:p>
        </w:tc>
        <w:tc>
          <w:tcPr>
            <w:tcW w:w="651" w:type="dxa"/>
          </w:tcPr>
          <w:p w14:paraId="75C11399" w14:textId="5EC31D6E" w:rsidR="00555F9D" w:rsidRPr="004B0639" w:rsidRDefault="00E716C7" w:rsidP="000778AD">
            <w:pPr>
              <w:spacing w:line="276" w:lineRule="auto"/>
              <w:rPr>
                <w:color w:val="000000" w:themeColor="text1"/>
                <w:sz w:val="20"/>
                <w:szCs w:val="20"/>
                <w:lang w:val="en-US"/>
              </w:rPr>
            </w:pPr>
            <w:r w:rsidRPr="004B0639">
              <w:rPr>
                <w:color w:val="000000" w:themeColor="text1"/>
                <w:sz w:val="20"/>
                <w:szCs w:val="20"/>
                <w:lang w:val="en-US"/>
              </w:rPr>
              <w:t>2</w:t>
            </w:r>
          </w:p>
        </w:tc>
      </w:tr>
      <w:tr w:rsidR="000778AD" w:rsidRPr="000778AD" w14:paraId="08E85EE2" w14:textId="77777777" w:rsidTr="00851F6F">
        <w:tc>
          <w:tcPr>
            <w:tcW w:w="1838" w:type="dxa"/>
          </w:tcPr>
          <w:p w14:paraId="79B72CBF" w14:textId="2E5509C5" w:rsidR="00555F9D" w:rsidRPr="004B0639" w:rsidRDefault="00E716C7" w:rsidP="000778AD">
            <w:pPr>
              <w:spacing w:line="276" w:lineRule="auto"/>
              <w:rPr>
                <w:color w:val="000000" w:themeColor="text1"/>
                <w:sz w:val="20"/>
                <w:szCs w:val="20"/>
                <w:lang w:val="en-US"/>
              </w:rPr>
            </w:pPr>
            <w:r w:rsidRPr="004B0639">
              <w:rPr>
                <w:color w:val="000000" w:themeColor="text1"/>
                <w:sz w:val="20"/>
                <w:szCs w:val="20"/>
                <w:lang w:val="en-US"/>
              </w:rPr>
              <w:t xml:space="preserve">Assets </w:t>
            </w:r>
            <w:r w:rsidR="004B0639" w:rsidRPr="004B0639">
              <w:rPr>
                <w:color w:val="000000" w:themeColor="text1"/>
                <w:sz w:val="20"/>
                <w:szCs w:val="20"/>
                <w:lang w:val="en-US"/>
              </w:rPr>
              <w:t>under construction</w:t>
            </w:r>
          </w:p>
        </w:tc>
        <w:tc>
          <w:tcPr>
            <w:tcW w:w="2268" w:type="dxa"/>
          </w:tcPr>
          <w:p w14:paraId="033C88C9" w14:textId="61A73F50" w:rsidR="00555F9D" w:rsidRPr="004B0639" w:rsidRDefault="00E716C7" w:rsidP="000778AD">
            <w:pPr>
              <w:spacing w:line="276" w:lineRule="auto"/>
              <w:rPr>
                <w:color w:val="000000" w:themeColor="text1"/>
                <w:sz w:val="20"/>
                <w:szCs w:val="20"/>
                <w:lang w:val="en-US"/>
              </w:rPr>
            </w:pPr>
            <w:r w:rsidRPr="004B0639">
              <w:rPr>
                <w:color w:val="000000" w:themeColor="text1"/>
                <w:sz w:val="20"/>
                <w:szCs w:val="20"/>
                <w:lang w:val="en-US"/>
              </w:rPr>
              <w:t>The number of ongoing infrastructure construction projects</w:t>
            </w:r>
          </w:p>
        </w:tc>
        <w:tc>
          <w:tcPr>
            <w:tcW w:w="4253" w:type="dxa"/>
          </w:tcPr>
          <w:p w14:paraId="19E673F1" w14:textId="375AA828" w:rsidR="00555F9D" w:rsidRPr="004B0639" w:rsidRDefault="00E716C7" w:rsidP="000778AD">
            <w:pPr>
              <w:rPr>
                <w:color w:val="000000" w:themeColor="text1"/>
                <w:sz w:val="20"/>
                <w:szCs w:val="20"/>
                <w:lang w:val="en-US"/>
              </w:rPr>
            </w:pPr>
            <w:r w:rsidRPr="004B0639">
              <w:rPr>
                <w:color w:val="000000" w:themeColor="text1"/>
                <w:sz w:val="20"/>
                <w:szCs w:val="20"/>
              </w:rPr>
              <w:t>The impact on infrastructure companies can be assessed during any of the following phases: development, construction and operations</w:t>
            </w:r>
          </w:p>
        </w:tc>
        <w:tc>
          <w:tcPr>
            <w:tcW w:w="651" w:type="dxa"/>
          </w:tcPr>
          <w:p w14:paraId="445841FD" w14:textId="66C9E79B" w:rsidR="00555F9D" w:rsidRPr="004B0639" w:rsidRDefault="00E716C7" w:rsidP="000778AD">
            <w:pPr>
              <w:spacing w:line="276" w:lineRule="auto"/>
              <w:rPr>
                <w:color w:val="000000" w:themeColor="text1"/>
                <w:sz w:val="20"/>
                <w:szCs w:val="20"/>
                <w:lang w:val="en-US"/>
              </w:rPr>
            </w:pPr>
            <w:r w:rsidRPr="004B0639">
              <w:rPr>
                <w:color w:val="000000" w:themeColor="text1"/>
                <w:sz w:val="20"/>
                <w:szCs w:val="20"/>
                <w:lang w:val="en-US"/>
              </w:rPr>
              <w:t>2</w:t>
            </w:r>
          </w:p>
        </w:tc>
      </w:tr>
      <w:tr w:rsidR="000778AD" w:rsidRPr="000778AD" w14:paraId="2BC7B179" w14:textId="77777777" w:rsidTr="00851F6F">
        <w:tc>
          <w:tcPr>
            <w:tcW w:w="1838" w:type="dxa"/>
          </w:tcPr>
          <w:p w14:paraId="558CB1A8" w14:textId="236E246D" w:rsidR="00555F9D" w:rsidRPr="004B0639" w:rsidRDefault="004B0639" w:rsidP="000778AD">
            <w:pPr>
              <w:spacing w:line="276" w:lineRule="auto"/>
              <w:rPr>
                <w:color w:val="000000" w:themeColor="text1"/>
                <w:sz w:val="20"/>
                <w:szCs w:val="20"/>
                <w:lang w:val="en-US"/>
              </w:rPr>
            </w:pPr>
            <w:r w:rsidRPr="004B0639">
              <w:rPr>
                <w:color w:val="000000" w:themeColor="text1"/>
                <w:sz w:val="20"/>
                <w:szCs w:val="20"/>
                <w:lang w:val="en-US"/>
              </w:rPr>
              <w:t>Assets in operation</w:t>
            </w:r>
          </w:p>
        </w:tc>
        <w:tc>
          <w:tcPr>
            <w:tcW w:w="2268" w:type="dxa"/>
          </w:tcPr>
          <w:p w14:paraId="118864A8" w14:textId="44625A30" w:rsidR="00555F9D" w:rsidRPr="004B0639" w:rsidRDefault="00E716C7" w:rsidP="000778AD">
            <w:pPr>
              <w:spacing w:line="276" w:lineRule="auto"/>
              <w:rPr>
                <w:color w:val="000000" w:themeColor="text1"/>
                <w:sz w:val="20"/>
                <w:szCs w:val="20"/>
                <w:lang w:val="en-US"/>
              </w:rPr>
            </w:pPr>
            <w:r w:rsidRPr="004B0639">
              <w:rPr>
                <w:color w:val="000000" w:themeColor="text1"/>
                <w:sz w:val="20"/>
                <w:szCs w:val="20"/>
                <w:lang w:val="en-US"/>
              </w:rPr>
              <w:t>The number of operating infrastructure assets</w:t>
            </w:r>
          </w:p>
        </w:tc>
        <w:tc>
          <w:tcPr>
            <w:tcW w:w="4253" w:type="dxa"/>
          </w:tcPr>
          <w:p w14:paraId="01F48738" w14:textId="796A4BFB" w:rsidR="00555F9D" w:rsidRPr="004B0639" w:rsidRDefault="00E716C7" w:rsidP="000778AD">
            <w:pPr>
              <w:spacing w:line="276" w:lineRule="auto"/>
              <w:rPr>
                <w:color w:val="000000" w:themeColor="text1"/>
                <w:sz w:val="20"/>
                <w:szCs w:val="20"/>
                <w:lang w:val="en-US"/>
              </w:rPr>
            </w:pPr>
            <w:r w:rsidRPr="004B0639">
              <w:rPr>
                <w:color w:val="000000" w:themeColor="text1"/>
                <w:sz w:val="20"/>
                <w:szCs w:val="20"/>
              </w:rPr>
              <w:t>The impact on infrastructure companies can be assessed during any of the following phases: development, construction and operations</w:t>
            </w:r>
          </w:p>
        </w:tc>
        <w:tc>
          <w:tcPr>
            <w:tcW w:w="651" w:type="dxa"/>
          </w:tcPr>
          <w:p w14:paraId="388A46B7" w14:textId="74616AFC" w:rsidR="00555F9D" w:rsidRPr="004B0639" w:rsidRDefault="00E716C7" w:rsidP="000778AD">
            <w:pPr>
              <w:spacing w:line="276" w:lineRule="auto"/>
              <w:rPr>
                <w:color w:val="000000" w:themeColor="text1"/>
                <w:sz w:val="20"/>
                <w:szCs w:val="20"/>
                <w:lang w:val="en-US"/>
              </w:rPr>
            </w:pPr>
            <w:r w:rsidRPr="004B0639">
              <w:rPr>
                <w:color w:val="000000" w:themeColor="text1"/>
                <w:sz w:val="20"/>
                <w:szCs w:val="20"/>
                <w:lang w:val="en-US"/>
              </w:rPr>
              <w:t>2</w:t>
            </w:r>
          </w:p>
        </w:tc>
      </w:tr>
    </w:tbl>
    <w:p w14:paraId="296D28DA" w14:textId="5352B156" w:rsidR="007E7175" w:rsidRDefault="000778AD" w:rsidP="000778AD">
      <w:pPr>
        <w:pStyle w:val="Caption"/>
      </w:pPr>
      <w:r>
        <w:t xml:space="preserve">Table </w:t>
      </w:r>
      <w:r>
        <w:fldChar w:fldCharType="begin"/>
      </w:r>
      <w:r>
        <w:instrText xml:space="preserve"> SEQ Table \* ARABIC </w:instrText>
      </w:r>
      <w:r>
        <w:fldChar w:fldCharType="separate"/>
      </w:r>
      <w:r>
        <w:rPr>
          <w:noProof/>
        </w:rPr>
        <w:t>1</w:t>
      </w:r>
      <w:r>
        <w:fldChar w:fldCharType="end"/>
      </w:r>
      <w:r>
        <w:t>. A description of the most important variables in the model.</w:t>
      </w:r>
    </w:p>
    <w:p w14:paraId="1F451CDB" w14:textId="1D76822F" w:rsidR="00ED74B1" w:rsidRPr="000778AD" w:rsidRDefault="00ED74B1" w:rsidP="00ED74B1">
      <w:pPr>
        <w:rPr>
          <w:color w:val="000000" w:themeColor="text1"/>
          <w:sz w:val="20"/>
          <w:szCs w:val="20"/>
        </w:rPr>
      </w:pPr>
    </w:p>
    <w:tbl>
      <w:tblPr>
        <w:tblStyle w:val="TableGrid"/>
        <w:tblW w:w="9067" w:type="dxa"/>
        <w:tblLook w:val="04A0" w:firstRow="1" w:lastRow="0" w:firstColumn="1" w:lastColumn="0" w:noHBand="0" w:noVBand="1"/>
      </w:tblPr>
      <w:tblGrid>
        <w:gridCol w:w="416"/>
        <w:gridCol w:w="627"/>
        <w:gridCol w:w="4339"/>
        <w:gridCol w:w="3685"/>
      </w:tblGrid>
      <w:tr w:rsidR="000778AD" w:rsidRPr="000778AD" w14:paraId="05798EE6" w14:textId="77777777" w:rsidTr="00AC625C">
        <w:tc>
          <w:tcPr>
            <w:tcW w:w="416" w:type="dxa"/>
          </w:tcPr>
          <w:p w14:paraId="0136E07B" w14:textId="7A8CE0A9" w:rsidR="005109D3" w:rsidRPr="000778AD" w:rsidRDefault="005109D3" w:rsidP="000778AD">
            <w:pPr>
              <w:jc w:val="center"/>
              <w:rPr>
                <w:b/>
                <w:bCs/>
                <w:color w:val="000000" w:themeColor="text1"/>
                <w:sz w:val="20"/>
                <w:szCs w:val="20"/>
              </w:rPr>
            </w:pPr>
            <w:r w:rsidRPr="000778AD">
              <w:rPr>
                <w:b/>
                <w:bCs/>
                <w:color w:val="000000" w:themeColor="text1"/>
                <w:sz w:val="20"/>
                <w:szCs w:val="20"/>
              </w:rPr>
              <w:t>N.</w:t>
            </w:r>
          </w:p>
        </w:tc>
        <w:tc>
          <w:tcPr>
            <w:tcW w:w="627" w:type="dxa"/>
          </w:tcPr>
          <w:p w14:paraId="314E78B8" w14:textId="16925E9A" w:rsidR="005109D3" w:rsidRPr="000778AD" w:rsidRDefault="005109D3" w:rsidP="000778AD">
            <w:pPr>
              <w:jc w:val="center"/>
              <w:rPr>
                <w:b/>
                <w:bCs/>
                <w:color w:val="000000" w:themeColor="text1"/>
                <w:sz w:val="20"/>
                <w:szCs w:val="20"/>
              </w:rPr>
            </w:pPr>
            <w:r w:rsidRPr="000778AD">
              <w:rPr>
                <w:b/>
                <w:bCs/>
                <w:color w:val="000000" w:themeColor="text1"/>
                <w:sz w:val="20"/>
                <w:szCs w:val="20"/>
              </w:rPr>
              <w:t>Page</w:t>
            </w:r>
          </w:p>
        </w:tc>
        <w:tc>
          <w:tcPr>
            <w:tcW w:w="4339" w:type="dxa"/>
          </w:tcPr>
          <w:p w14:paraId="2A7A00DD" w14:textId="77777777" w:rsidR="005109D3" w:rsidRPr="000778AD" w:rsidRDefault="005109D3" w:rsidP="000778AD">
            <w:pPr>
              <w:jc w:val="center"/>
              <w:rPr>
                <w:b/>
                <w:bCs/>
                <w:color w:val="000000" w:themeColor="text1"/>
                <w:sz w:val="20"/>
                <w:szCs w:val="20"/>
              </w:rPr>
            </w:pPr>
            <w:r w:rsidRPr="000778AD">
              <w:rPr>
                <w:b/>
                <w:bCs/>
                <w:color w:val="000000" w:themeColor="text1"/>
                <w:sz w:val="20"/>
                <w:szCs w:val="20"/>
              </w:rPr>
              <w:t>Quote</w:t>
            </w:r>
          </w:p>
        </w:tc>
        <w:tc>
          <w:tcPr>
            <w:tcW w:w="3685" w:type="dxa"/>
          </w:tcPr>
          <w:p w14:paraId="257FF158" w14:textId="77777777" w:rsidR="005109D3" w:rsidRPr="000778AD" w:rsidRDefault="005109D3" w:rsidP="000778AD">
            <w:pPr>
              <w:jc w:val="center"/>
              <w:rPr>
                <w:b/>
                <w:bCs/>
                <w:color w:val="000000" w:themeColor="text1"/>
                <w:sz w:val="20"/>
                <w:szCs w:val="20"/>
              </w:rPr>
            </w:pPr>
            <w:r w:rsidRPr="000778AD">
              <w:rPr>
                <w:b/>
                <w:bCs/>
                <w:color w:val="000000" w:themeColor="text1"/>
                <w:sz w:val="20"/>
                <w:szCs w:val="20"/>
              </w:rPr>
              <w:t>Causal link</w:t>
            </w:r>
          </w:p>
        </w:tc>
      </w:tr>
      <w:tr w:rsidR="000778AD" w:rsidRPr="000778AD" w14:paraId="49861D0A" w14:textId="77777777" w:rsidTr="00AC625C">
        <w:tc>
          <w:tcPr>
            <w:tcW w:w="416" w:type="dxa"/>
          </w:tcPr>
          <w:p w14:paraId="1F85FD86" w14:textId="08F73D43" w:rsidR="005109D3" w:rsidRPr="004B0639" w:rsidRDefault="001A0451" w:rsidP="00ED74B1">
            <w:pPr>
              <w:rPr>
                <w:color w:val="000000" w:themeColor="text1"/>
                <w:sz w:val="20"/>
                <w:szCs w:val="20"/>
                <w:lang w:val="en-US"/>
              </w:rPr>
            </w:pPr>
            <w:r w:rsidRPr="004B0639">
              <w:rPr>
                <w:color w:val="000000" w:themeColor="text1"/>
                <w:sz w:val="20"/>
                <w:szCs w:val="20"/>
                <w:lang w:val="en-US"/>
              </w:rPr>
              <w:t>1</w:t>
            </w:r>
          </w:p>
        </w:tc>
        <w:tc>
          <w:tcPr>
            <w:tcW w:w="627" w:type="dxa"/>
          </w:tcPr>
          <w:p w14:paraId="725BB832" w14:textId="438F290D" w:rsidR="005109D3" w:rsidRPr="004B0639" w:rsidRDefault="00E716C7" w:rsidP="00ED74B1">
            <w:pPr>
              <w:rPr>
                <w:color w:val="000000" w:themeColor="text1"/>
                <w:sz w:val="20"/>
                <w:szCs w:val="20"/>
                <w:lang w:val="en-US"/>
              </w:rPr>
            </w:pPr>
            <w:r w:rsidRPr="004B0639">
              <w:rPr>
                <w:color w:val="000000" w:themeColor="text1"/>
                <w:sz w:val="20"/>
                <w:szCs w:val="20"/>
                <w:lang w:val="en-US"/>
              </w:rPr>
              <w:t>2</w:t>
            </w:r>
          </w:p>
        </w:tc>
        <w:tc>
          <w:tcPr>
            <w:tcW w:w="4339" w:type="dxa"/>
          </w:tcPr>
          <w:p w14:paraId="43B6510C" w14:textId="6CCBDF14" w:rsidR="005109D3" w:rsidRPr="004B0639" w:rsidRDefault="00E716C7" w:rsidP="004B0639">
            <w:pPr>
              <w:pStyle w:val="NormalWeb"/>
              <w:rPr>
                <w:sz w:val="20"/>
                <w:szCs w:val="20"/>
              </w:rPr>
            </w:pPr>
            <w:r w:rsidRPr="004B0639">
              <w:rPr>
                <w:sz w:val="20"/>
                <w:szCs w:val="20"/>
              </w:rPr>
              <w:t xml:space="preserve">This is creating liquidity challenges resulting in funding gaps. </w:t>
            </w:r>
          </w:p>
        </w:tc>
        <w:tc>
          <w:tcPr>
            <w:tcW w:w="3685" w:type="dxa"/>
          </w:tcPr>
          <w:p w14:paraId="44500F01" w14:textId="2882083F" w:rsidR="005109D3" w:rsidRPr="004B0639" w:rsidRDefault="00E716C7" w:rsidP="007B6E62">
            <w:pPr>
              <w:pStyle w:val="NormalWeb"/>
              <w:spacing w:before="0" w:beforeAutospacing="0" w:after="0" w:afterAutospacing="0"/>
              <w:rPr>
                <w:sz w:val="20"/>
                <w:szCs w:val="20"/>
                <w:lang w:val="en-US"/>
              </w:rPr>
            </w:pPr>
            <w:r w:rsidRPr="004B0639">
              <w:rPr>
                <w:sz w:val="20"/>
                <w:szCs w:val="20"/>
                <w:lang w:val="en-US"/>
              </w:rPr>
              <w:t>Development rate -&gt; Expected financial income -&gt; Funding gap</w:t>
            </w:r>
            <w:r w:rsidRPr="004B0639">
              <w:rPr>
                <w:sz w:val="20"/>
                <w:szCs w:val="20"/>
                <w:lang w:val="en-US"/>
              </w:rPr>
              <w:br/>
              <w:t>Income -&gt; Funding gap</w:t>
            </w:r>
          </w:p>
        </w:tc>
      </w:tr>
      <w:tr w:rsidR="000778AD" w:rsidRPr="000778AD" w14:paraId="568F6E9A" w14:textId="77777777" w:rsidTr="00AC625C">
        <w:tc>
          <w:tcPr>
            <w:tcW w:w="416" w:type="dxa"/>
          </w:tcPr>
          <w:p w14:paraId="3914E83E" w14:textId="65406D24" w:rsidR="005109D3" w:rsidRPr="004B0639" w:rsidRDefault="001A0451" w:rsidP="00ED74B1">
            <w:pPr>
              <w:rPr>
                <w:color w:val="000000" w:themeColor="text1"/>
                <w:sz w:val="20"/>
                <w:szCs w:val="20"/>
                <w:lang w:val="en-US"/>
              </w:rPr>
            </w:pPr>
            <w:r w:rsidRPr="004B0639">
              <w:rPr>
                <w:color w:val="000000" w:themeColor="text1"/>
                <w:sz w:val="20"/>
                <w:szCs w:val="20"/>
                <w:lang w:val="en-US"/>
              </w:rPr>
              <w:t>2</w:t>
            </w:r>
          </w:p>
        </w:tc>
        <w:tc>
          <w:tcPr>
            <w:tcW w:w="627" w:type="dxa"/>
          </w:tcPr>
          <w:p w14:paraId="721E63AB" w14:textId="77FA9603" w:rsidR="005109D3" w:rsidRPr="004B0639" w:rsidRDefault="00E716C7" w:rsidP="00ED74B1">
            <w:pPr>
              <w:rPr>
                <w:color w:val="000000" w:themeColor="text1"/>
                <w:sz w:val="20"/>
                <w:szCs w:val="20"/>
                <w:lang w:val="en-US"/>
              </w:rPr>
            </w:pPr>
            <w:r w:rsidRPr="004B0639">
              <w:rPr>
                <w:color w:val="000000" w:themeColor="text1"/>
                <w:sz w:val="20"/>
                <w:szCs w:val="20"/>
                <w:lang w:val="en-US"/>
              </w:rPr>
              <w:t>2</w:t>
            </w:r>
          </w:p>
        </w:tc>
        <w:tc>
          <w:tcPr>
            <w:tcW w:w="4339" w:type="dxa"/>
          </w:tcPr>
          <w:p w14:paraId="12E28C76" w14:textId="33D1C0FA" w:rsidR="005109D3" w:rsidRPr="004B0639" w:rsidRDefault="00E716C7" w:rsidP="00E716C7">
            <w:pPr>
              <w:pStyle w:val="NormalWeb"/>
              <w:rPr>
                <w:sz w:val="20"/>
                <w:szCs w:val="20"/>
              </w:rPr>
            </w:pPr>
            <w:r w:rsidRPr="004B0639">
              <w:rPr>
                <w:sz w:val="20"/>
                <w:szCs w:val="20"/>
              </w:rPr>
              <w:t xml:space="preserve">The Government might prioritize its spending commitment in light of the pandemic, with a revised budget for 2020 focused more on recurrent expenditure, this could impact the annual gap in infrastructure investment in the short to medium term, except with interventions. </w:t>
            </w:r>
          </w:p>
        </w:tc>
        <w:tc>
          <w:tcPr>
            <w:tcW w:w="3685" w:type="dxa"/>
          </w:tcPr>
          <w:p w14:paraId="18334FBB" w14:textId="2E41305B" w:rsidR="007B6E62" w:rsidRPr="004B0639" w:rsidRDefault="00E716C7" w:rsidP="00ED74B1">
            <w:pPr>
              <w:rPr>
                <w:color w:val="000000" w:themeColor="text1"/>
                <w:sz w:val="20"/>
                <w:szCs w:val="20"/>
                <w:lang w:val="en-US"/>
              </w:rPr>
            </w:pPr>
            <w:r w:rsidRPr="004B0639">
              <w:rPr>
                <w:color w:val="000000" w:themeColor="text1"/>
                <w:sz w:val="20"/>
                <w:szCs w:val="20"/>
                <w:lang w:val="en-US"/>
              </w:rPr>
              <w:t>Expenditures -&gt; Money invested in new infrastructure development -&gt; Infrastructure gap</w:t>
            </w:r>
            <w:r w:rsidRPr="004B0639">
              <w:rPr>
                <w:color w:val="000000" w:themeColor="text1"/>
                <w:sz w:val="20"/>
                <w:szCs w:val="20"/>
                <w:lang w:val="en-US"/>
              </w:rPr>
              <w:br/>
              <w:t>Money needed to be invested in new infrastructure development -&gt; Infrastructure gap</w:t>
            </w:r>
            <w:r w:rsidR="007B6E62" w:rsidRPr="004B0639">
              <w:rPr>
                <w:color w:val="000000" w:themeColor="text1"/>
                <w:sz w:val="20"/>
                <w:szCs w:val="20"/>
                <w:lang w:val="en-US"/>
              </w:rPr>
              <w:t xml:space="preserve"> </w:t>
            </w:r>
          </w:p>
        </w:tc>
      </w:tr>
      <w:tr w:rsidR="004B0639" w:rsidRPr="000778AD" w14:paraId="2E7917E1" w14:textId="77777777" w:rsidTr="00AC625C">
        <w:tc>
          <w:tcPr>
            <w:tcW w:w="416" w:type="dxa"/>
          </w:tcPr>
          <w:p w14:paraId="26D4E113" w14:textId="7A9D4C8F" w:rsidR="004B0639" w:rsidRPr="004B0639" w:rsidRDefault="004B0639" w:rsidP="00ED74B1">
            <w:pPr>
              <w:rPr>
                <w:color w:val="000000" w:themeColor="text1"/>
                <w:sz w:val="20"/>
                <w:szCs w:val="20"/>
                <w:lang w:val="en-US"/>
              </w:rPr>
            </w:pPr>
            <w:r>
              <w:rPr>
                <w:color w:val="000000" w:themeColor="text1"/>
                <w:sz w:val="20"/>
                <w:szCs w:val="20"/>
                <w:lang w:val="en-US"/>
              </w:rPr>
              <w:t>3</w:t>
            </w:r>
          </w:p>
        </w:tc>
        <w:tc>
          <w:tcPr>
            <w:tcW w:w="627" w:type="dxa"/>
          </w:tcPr>
          <w:p w14:paraId="4FCB6ED7" w14:textId="77777777" w:rsidR="004B0639" w:rsidRPr="004B0639" w:rsidRDefault="004B0639" w:rsidP="00ED74B1">
            <w:pPr>
              <w:rPr>
                <w:color w:val="000000" w:themeColor="text1"/>
                <w:sz w:val="20"/>
                <w:szCs w:val="20"/>
                <w:lang w:val="en-US"/>
              </w:rPr>
            </w:pPr>
          </w:p>
        </w:tc>
        <w:tc>
          <w:tcPr>
            <w:tcW w:w="4339" w:type="dxa"/>
          </w:tcPr>
          <w:p w14:paraId="4A681F3F" w14:textId="6F1ACD06" w:rsidR="004B0639" w:rsidRPr="004B0639" w:rsidRDefault="004B0639" w:rsidP="004B0639">
            <w:pPr>
              <w:rPr>
                <w:color w:val="000000" w:themeColor="text1"/>
                <w:sz w:val="20"/>
                <w:szCs w:val="20"/>
              </w:rPr>
            </w:pPr>
            <w:r w:rsidRPr="004B0639">
              <w:rPr>
                <w:color w:val="000000" w:themeColor="text1"/>
                <w:sz w:val="20"/>
                <w:szCs w:val="20"/>
              </w:rPr>
              <w:t>The infrastructure sector utilises people and equipment (largely fixed costs), thus compa nies and contractors with high levels of debt and low cash reserves may face a liquidity crisis.</w:t>
            </w:r>
          </w:p>
        </w:tc>
        <w:tc>
          <w:tcPr>
            <w:tcW w:w="3685" w:type="dxa"/>
          </w:tcPr>
          <w:p w14:paraId="1783985E" w14:textId="56874912" w:rsidR="004B0639" w:rsidRPr="004B0639" w:rsidRDefault="004B0639" w:rsidP="00ED74B1">
            <w:pPr>
              <w:rPr>
                <w:color w:val="000000" w:themeColor="text1"/>
                <w:sz w:val="20"/>
                <w:szCs w:val="20"/>
                <w:lang w:val="en-US"/>
              </w:rPr>
            </w:pPr>
            <w:r w:rsidRPr="004B0639">
              <w:rPr>
                <w:color w:val="000000" w:themeColor="text1"/>
                <w:sz w:val="20"/>
                <w:szCs w:val="20"/>
                <w:lang w:val="en-US"/>
              </w:rPr>
              <w:t>Income -&gt; Financial resources -&gt; Expenditures</w:t>
            </w:r>
          </w:p>
        </w:tc>
      </w:tr>
      <w:tr w:rsidR="004B0639" w:rsidRPr="000778AD" w14:paraId="070E57B4" w14:textId="77777777" w:rsidTr="00AC625C">
        <w:tc>
          <w:tcPr>
            <w:tcW w:w="416" w:type="dxa"/>
          </w:tcPr>
          <w:p w14:paraId="12CEE03B" w14:textId="1CC33121" w:rsidR="004B0639" w:rsidRDefault="004B0639" w:rsidP="00ED74B1">
            <w:pPr>
              <w:rPr>
                <w:color w:val="000000" w:themeColor="text1"/>
                <w:sz w:val="20"/>
                <w:szCs w:val="20"/>
                <w:lang w:val="en-US"/>
              </w:rPr>
            </w:pPr>
            <w:r>
              <w:rPr>
                <w:color w:val="000000" w:themeColor="text1"/>
                <w:sz w:val="20"/>
                <w:szCs w:val="20"/>
                <w:lang w:val="en-US"/>
              </w:rPr>
              <w:t>4</w:t>
            </w:r>
          </w:p>
        </w:tc>
        <w:tc>
          <w:tcPr>
            <w:tcW w:w="627" w:type="dxa"/>
          </w:tcPr>
          <w:p w14:paraId="257CE418" w14:textId="2E054F62" w:rsidR="004B0639" w:rsidRPr="004B0639" w:rsidRDefault="004B0639" w:rsidP="00ED74B1">
            <w:pPr>
              <w:rPr>
                <w:color w:val="000000" w:themeColor="text1"/>
                <w:sz w:val="20"/>
                <w:szCs w:val="20"/>
                <w:lang w:val="en-US"/>
              </w:rPr>
            </w:pPr>
            <w:r>
              <w:rPr>
                <w:color w:val="000000" w:themeColor="text1"/>
                <w:sz w:val="20"/>
                <w:szCs w:val="20"/>
                <w:lang w:val="en-US"/>
              </w:rPr>
              <w:t>2</w:t>
            </w:r>
          </w:p>
        </w:tc>
        <w:tc>
          <w:tcPr>
            <w:tcW w:w="4339" w:type="dxa"/>
          </w:tcPr>
          <w:p w14:paraId="43472A16" w14:textId="07408041" w:rsidR="004B0639" w:rsidRPr="004B0639" w:rsidRDefault="004B0639" w:rsidP="004B0639">
            <w:pPr>
              <w:rPr>
                <w:color w:val="000000" w:themeColor="text1"/>
                <w:sz w:val="20"/>
                <w:szCs w:val="20"/>
                <w:lang w:val="en-US"/>
              </w:rPr>
            </w:pPr>
            <w:r>
              <w:rPr>
                <w:color w:val="000000" w:themeColor="text1"/>
                <w:sz w:val="20"/>
                <w:szCs w:val="20"/>
                <w:lang w:val="en-US"/>
              </w:rPr>
              <w:t>Supply chain interruptions will likely continue, affecting the availability of parts and equipment, and eventually impact projects.</w:t>
            </w:r>
          </w:p>
        </w:tc>
        <w:tc>
          <w:tcPr>
            <w:tcW w:w="3685" w:type="dxa"/>
          </w:tcPr>
          <w:p w14:paraId="1C265EC4" w14:textId="408AF5D2" w:rsidR="004B0639" w:rsidRPr="004B0639" w:rsidRDefault="004B0639" w:rsidP="00ED74B1">
            <w:pPr>
              <w:rPr>
                <w:color w:val="000000" w:themeColor="text1"/>
                <w:sz w:val="20"/>
                <w:szCs w:val="20"/>
                <w:lang w:val="en-US"/>
              </w:rPr>
            </w:pPr>
            <w:r w:rsidRPr="004B0639">
              <w:rPr>
                <w:color w:val="000000" w:themeColor="text1"/>
                <w:sz w:val="20"/>
                <w:szCs w:val="20"/>
                <w:lang w:val="en-US"/>
              </w:rPr>
              <w:t xml:space="preserve">Supply chain interruption -&gt; Construction rate  </w:t>
            </w:r>
          </w:p>
        </w:tc>
      </w:tr>
      <w:tr w:rsidR="000778AD" w:rsidRPr="000778AD" w14:paraId="24B9238E" w14:textId="77777777" w:rsidTr="00AC625C">
        <w:tc>
          <w:tcPr>
            <w:tcW w:w="416" w:type="dxa"/>
          </w:tcPr>
          <w:p w14:paraId="066CD1B2" w14:textId="7C1DCAF2" w:rsidR="005109D3" w:rsidRPr="004B0639" w:rsidRDefault="001A0451" w:rsidP="00ED74B1">
            <w:pPr>
              <w:rPr>
                <w:color w:val="000000" w:themeColor="text1"/>
                <w:sz w:val="20"/>
                <w:szCs w:val="20"/>
                <w:lang w:val="en-US"/>
              </w:rPr>
            </w:pPr>
            <w:r w:rsidRPr="004B0639">
              <w:rPr>
                <w:color w:val="000000" w:themeColor="text1"/>
                <w:sz w:val="20"/>
                <w:szCs w:val="20"/>
                <w:lang w:val="en-US"/>
              </w:rPr>
              <w:t>5</w:t>
            </w:r>
          </w:p>
        </w:tc>
        <w:tc>
          <w:tcPr>
            <w:tcW w:w="627" w:type="dxa"/>
          </w:tcPr>
          <w:p w14:paraId="17B56053" w14:textId="4242BCA9" w:rsidR="005109D3" w:rsidRPr="004B0639" w:rsidRDefault="00D722C3" w:rsidP="00ED74B1">
            <w:pPr>
              <w:rPr>
                <w:color w:val="000000" w:themeColor="text1"/>
                <w:sz w:val="20"/>
                <w:szCs w:val="20"/>
                <w:lang w:val="en-US"/>
              </w:rPr>
            </w:pPr>
            <w:r w:rsidRPr="004B0639">
              <w:rPr>
                <w:color w:val="000000" w:themeColor="text1"/>
                <w:sz w:val="20"/>
                <w:szCs w:val="20"/>
                <w:lang w:val="en-US"/>
              </w:rPr>
              <w:t>2</w:t>
            </w:r>
          </w:p>
        </w:tc>
        <w:tc>
          <w:tcPr>
            <w:tcW w:w="4339" w:type="dxa"/>
          </w:tcPr>
          <w:p w14:paraId="243D0EA5" w14:textId="61350C40" w:rsidR="005109D3" w:rsidRPr="004B0639" w:rsidRDefault="00E716C7" w:rsidP="00ED74B1">
            <w:pPr>
              <w:rPr>
                <w:color w:val="000000" w:themeColor="text1"/>
                <w:sz w:val="20"/>
                <w:szCs w:val="20"/>
                <w:lang w:val="en-US"/>
              </w:rPr>
            </w:pPr>
            <w:r w:rsidRPr="004B0639">
              <w:rPr>
                <w:color w:val="000000" w:themeColor="text1"/>
                <w:sz w:val="20"/>
                <w:szCs w:val="20"/>
              </w:rPr>
              <w:t>The impact on infrastructure companies can be assessed during any of the following phases: development, construction and operations</w:t>
            </w:r>
          </w:p>
        </w:tc>
        <w:tc>
          <w:tcPr>
            <w:tcW w:w="3685" w:type="dxa"/>
          </w:tcPr>
          <w:p w14:paraId="55679626" w14:textId="6223BC9C" w:rsidR="005109D3" w:rsidRPr="004B0639" w:rsidRDefault="00E716C7" w:rsidP="00ED74B1">
            <w:pPr>
              <w:rPr>
                <w:color w:val="000000" w:themeColor="text1"/>
                <w:sz w:val="20"/>
                <w:szCs w:val="20"/>
                <w:lang w:val="en-US"/>
              </w:rPr>
            </w:pPr>
            <w:r w:rsidRPr="004B0639">
              <w:rPr>
                <w:color w:val="000000" w:themeColor="text1"/>
                <w:sz w:val="20"/>
                <w:szCs w:val="20"/>
                <w:lang w:val="en-US"/>
              </w:rPr>
              <w:t xml:space="preserve">Planning rate -&gt; </w:t>
            </w:r>
            <w:r w:rsidR="004B0639" w:rsidRPr="004B0639">
              <w:rPr>
                <w:color w:val="000000" w:themeColor="text1"/>
                <w:sz w:val="20"/>
                <w:szCs w:val="20"/>
                <w:lang w:val="en-US"/>
              </w:rPr>
              <w:t>Assets under d</w:t>
            </w:r>
            <w:r w:rsidRPr="004B0639">
              <w:rPr>
                <w:color w:val="000000" w:themeColor="text1"/>
                <w:sz w:val="20"/>
                <w:szCs w:val="20"/>
                <w:lang w:val="en-US"/>
              </w:rPr>
              <w:t>evelopment</w:t>
            </w:r>
            <w:r w:rsidR="004B0639" w:rsidRPr="004B0639">
              <w:rPr>
                <w:color w:val="000000" w:themeColor="text1"/>
                <w:sz w:val="20"/>
                <w:szCs w:val="20"/>
                <w:lang w:val="en-US"/>
              </w:rPr>
              <w:t xml:space="preserve"> -&gt; Development rate -&gt; Assets under construction -&gt; Construction rate -&gt; Assets in operation</w:t>
            </w:r>
            <w:r w:rsidRPr="004B0639">
              <w:rPr>
                <w:color w:val="000000" w:themeColor="text1"/>
                <w:sz w:val="20"/>
                <w:szCs w:val="20"/>
                <w:lang w:val="en-US"/>
              </w:rPr>
              <w:t xml:space="preserve">  </w:t>
            </w:r>
          </w:p>
        </w:tc>
      </w:tr>
      <w:tr w:rsidR="004B0639" w:rsidRPr="000778AD" w14:paraId="7AC3EE0D" w14:textId="77777777" w:rsidTr="00AC625C">
        <w:tc>
          <w:tcPr>
            <w:tcW w:w="416" w:type="dxa"/>
          </w:tcPr>
          <w:p w14:paraId="757767F4" w14:textId="6E9E2BB7" w:rsidR="004B0639" w:rsidRPr="004B0639" w:rsidRDefault="00094EBF" w:rsidP="00ED74B1">
            <w:pPr>
              <w:rPr>
                <w:color w:val="000000" w:themeColor="text1"/>
                <w:sz w:val="20"/>
                <w:szCs w:val="20"/>
                <w:lang w:val="en-US"/>
              </w:rPr>
            </w:pPr>
            <w:r>
              <w:rPr>
                <w:color w:val="000000" w:themeColor="text1"/>
                <w:sz w:val="20"/>
                <w:szCs w:val="20"/>
                <w:lang w:val="en-US"/>
              </w:rPr>
              <w:t>6</w:t>
            </w:r>
          </w:p>
        </w:tc>
        <w:tc>
          <w:tcPr>
            <w:tcW w:w="627" w:type="dxa"/>
          </w:tcPr>
          <w:p w14:paraId="00DC0271" w14:textId="44FFEEE9" w:rsidR="004B0639" w:rsidRPr="004B0639" w:rsidRDefault="00094EBF" w:rsidP="00ED74B1">
            <w:pPr>
              <w:rPr>
                <w:color w:val="000000" w:themeColor="text1"/>
                <w:sz w:val="20"/>
                <w:szCs w:val="20"/>
                <w:lang w:val="en-US"/>
              </w:rPr>
            </w:pPr>
            <w:r>
              <w:rPr>
                <w:color w:val="000000" w:themeColor="text1"/>
                <w:sz w:val="20"/>
                <w:szCs w:val="20"/>
                <w:lang w:val="en-US"/>
              </w:rPr>
              <w:t>2</w:t>
            </w:r>
          </w:p>
        </w:tc>
        <w:tc>
          <w:tcPr>
            <w:tcW w:w="4339" w:type="dxa"/>
          </w:tcPr>
          <w:p w14:paraId="135653D7" w14:textId="1175C89F" w:rsidR="004B0639" w:rsidRPr="004B0639" w:rsidRDefault="004B0639" w:rsidP="00ED74B1">
            <w:pPr>
              <w:rPr>
                <w:color w:val="000000" w:themeColor="text1"/>
                <w:sz w:val="20"/>
                <w:szCs w:val="20"/>
                <w:lang w:val="en-US"/>
              </w:rPr>
            </w:pPr>
            <w:r>
              <w:rPr>
                <w:color w:val="000000" w:themeColor="text1"/>
                <w:sz w:val="20"/>
                <w:szCs w:val="20"/>
                <w:lang w:val="en-US"/>
              </w:rPr>
              <w:t xml:space="preserve">There has been a downward spiral in demand and usage of </w:t>
            </w:r>
            <w:r w:rsidR="00094EBF">
              <w:rPr>
                <w:color w:val="000000" w:themeColor="text1"/>
                <w:sz w:val="20"/>
                <w:szCs w:val="20"/>
                <w:lang w:val="en-US"/>
              </w:rPr>
              <w:t xml:space="preserve">major infrastructure assets like transportation due to the lockdown. </w:t>
            </w:r>
          </w:p>
        </w:tc>
        <w:tc>
          <w:tcPr>
            <w:tcW w:w="3685" w:type="dxa"/>
          </w:tcPr>
          <w:p w14:paraId="71DB07B7" w14:textId="09594A0D" w:rsidR="004B0639" w:rsidRPr="004B0639" w:rsidRDefault="00094EBF" w:rsidP="00ED74B1">
            <w:pPr>
              <w:rPr>
                <w:color w:val="000000" w:themeColor="text1"/>
                <w:sz w:val="20"/>
                <w:szCs w:val="20"/>
                <w:lang w:val="en-US"/>
              </w:rPr>
            </w:pPr>
            <w:r w:rsidRPr="004B0639">
              <w:rPr>
                <w:color w:val="000000" w:themeColor="text1"/>
                <w:sz w:val="20"/>
                <w:szCs w:val="20"/>
                <w:lang w:val="en-US"/>
              </w:rPr>
              <w:t>Share of operations halted due to COVID-19 -&gt; Operation halt rate</w:t>
            </w:r>
          </w:p>
        </w:tc>
      </w:tr>
    </w:tbl>
    <w:p w14:paraId="75375EA9" w14:textId="24DA7BCB" w:rsidR="00551B3B" w:rsidRDefault="00ED74B1" w:rsidP="00851F6F">
      <w:pPr>
        <w:pStyle w:val="Caption"/>
      </w:pPr>
      <w:r w:rsidRPr="00AC625C">
        <w:t xml:space="preserve">Table </w:t>
      </w:r>
      <w:r w:rsidRPr="00AC625C">
        <w:fldChar w:fldCharType="begin"/>
      </w:r>
      <w:r w:rsidRPr="00AC625C">
        <w:instrText xml:space="preserve"> SEQ Table \* ARABIC </w:instrText>
      </w:r>
      <w:r w:rsidRPr="00AC625C">
        <w:fldChar w:fldCharType="separate"/>
      </w:r>
      <w:r w:rsidR="000778AD" w:rsidRPr="00AC625C">
        <w:t>2</w:t>
      </w:r>
      <w:r w:rsidRPr="00AC625C">
        <w:fldChar w:fldCharType="end"/>
      </w:r>
      <w:r w:rsidRPr="00AC625C">
        <w:t xml:space="preserve">. Causal links found within </w:t>
      </w:r>
      <w:r w:rsidR="004B0639">
        <w:t>Deloitte</w:t>
      </w:r>
      <w:r w:rsidR="00AC625C" w:rsidRPr="00AC625C">
        <w:t xml:space="preserve"> </w:t>
      </w:r>
      <w:r w:rsidRPr="00AC625C">
        <w:t>(2020)</w:t>
      </w:r>
    </w:p>
    <w:p w14:paraId="4B36C5A7" w14:textId="77777777" w:rsidR="00851F6F" w:rsidRPr="00851F6F" w:rsidRDefault="00851F6F" w:rsidP="00851F6F">
      <w:pPr>
        <w:rPr>
          <w:lang w:val="en-US"/>
        </w:rPr>
      </w:pPr>
    </w:p>
    <w:p w14:paraId="39675499" w14:textId="77777777" w:rsidR="0097172B" w:rsidRDefault="0097172B" w:rsidP="00551B3B">
      <w:pPr>
        <w:rPr>
          <w:b/>
          <w:bCs/>
        </w:rPr>
      </w:pPr>
    </w:p>
    <w:p w14:paraId="300A9951" w14:textId="63867C9C" w:rsidR="00551B3B" w:rsidRPr="00551B3B" w:rsidRDefault="00551B3B" w:rsidP="00551B3B">
      <w:pPr>
        <w:rPr>
          <w:b/>
          <w:bCs/>
        </w:rPr>
      </w:pPr>
      <w:r w:rsidRPr="00551B3B">
        <w:rPr>
          <w:b/>
          <w:bCs/>
        </w:rPr>
        <w:t>References</w:t>
      </w:r>
    </w:p>
    <w:p w14:paraId="5E5451FC" w14:textId="77777777" w:rsidR="0055099C" w:rsidRPr="0055099C" w:rsidRDefault="0055099C" w:rsidP="0055099C">
      <w:r w:rsidRPr="0055099C">
        <w:t>Deloitte</w:t>
      </w:r>
      <w:r w:rsidRPr="0055099C">
        <w:rPr>
          <w:color w:val="000000"/>
          <w:shd w:val="clear" w:color="auto" w:fill="FFFFFF"/>
        </w:rPr>
        <w:t xml:space="preserve"> </w:t>
      </w:r>
      <w:r w:rsidRPr="0055099C">
        <w:t xml:space="preserve">(2020) </w:t>
      </w:r>
      <w:r w:rsidRPr="0055099C">
        <w:rPr>
          <w:i/>
        </w:rPr>
        <w:t>The impact of COVID-19 on infrastructure projects and assets.</w:t>
      </w:r>
      <w:r w:rsidRPr="0055099C">
        <w:t xml:space="preserve"> https://www2.deloitte.com/ng/en/pages/finance/articles/the-impact-of-COVID-19-on-infrastructure-projects-and-assets.html#, accessed on 12 October 2020.</w:t>
      </w:r>
    </w:p>
    <w:p w14:paraId="69C648E9" w14:textId="77777777" w:rsidR="00ED74B1" w:rsidRDefault="00ED74B1" w:rsidP="00ED74B1">
      <w:pPr>
        <w:spacing w:line="360" w:lineRule="auto"/>
        <w:jc w:val="both"/>
      </w:pPr>
    </w:p>
    <w:sectPr w:rsidR="00ED74B1" w:rsidSect="00D22190">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035F5B"/>
    <w:multiLevelType w:val="hybridMultilevel"/>
    <w:tmpl w:val="D69A4C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335D8A"/>
    <w:multiLevelType w:val="multilevel"/>
    <w:tmpl w:val="9522E2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C24600A"/>
    <w:multiLevelType w:val="multilevel"/>
    <w:tmpl w:val="678027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3EC3360"/>
    <w:multiLevelType w:val="multilevel"/>
    <w:tmpl w:val="5ECC2B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74B1"/>
    <w:rsid w:val="000778AD"/>
    <w:rsid w:val="00094EBF"/>
    <w:rsid w:val="001A0451"/>
    <w:rsid w:val="001C2693"/>
    <w:rsid w:val="001E635A"/>
    <w:rsid w:val="00313434"/>
    <w:rsid w:val="0039501B"/>
    <w:rsid w:val="00407800"/>
    <w:rsid w:val="00451284"/>
    <w:rsid w:val="004845CC"/>
    <w:rsid w:val="004A19B3"/>
    <w:rsid w:val="004A7DAC"/>
    <w:rsid w:val="004B0639"/>
    <w:rsid w:val="004B4301"/>
    <w:rsid w:val="004F28DE"/>
    <w:rsid w:val="005109D3"/>
    <w:rsid w:val="0055099C"/>
    <w:rsid w:val="00551B3B"/>
    <w:rsid w:val="00555F9D"/>
    <w:rsid w:val="005D340D"/>
    <w:rsid w:val="0060512C"/>
    <w:rsid w:val="006213F0"/>
    <w:rsid w:val="00626184"/>
    <w:rsid w:val="006344D0"/>
    <w:rsid w:val="006E444C"/>
    <w:rsid w:val="00741D9D"/>
    <w:rsid w:val="007A742E"/>
    <w:rsid w:val="007B6E62"/>
    <w:rsid w:val="007E7175"/>
    <w:rsid w:val="00851F6F"/>
    <w:rsid w:val="008A1A62"/>
    <w:rsid w:val="0097172B"/>
    <w:rsid w:val="00AC43CE"/>
    <w:rsid w:val="00AC625C"/>
    <w:rsid w:val="00BB0057"/>
    <w:rsid w:val="00BD41CE"/>
    <w:rsid w:val="00BD7C26"/>
    <w:rsid w:val="00BF12D6"/>
    <w:rsid w:val="00C558C6"/>
    <w:rsid w:val="00D22190"/>
    <w:rsid w:val="00D71721"/>
    <w:rsid w:val="00D722C3"/>
    <w:rsid w:val="00E02FE8"/>
    <w:rsid w:val="00E716C7"/>
    <w:rsid w:val="00EA3DBE"/>
    <w:rsid w:val="00ED74B1"/>
    <w:rsid w:val="00EE6037"/>
  </w:rsids>
  <m:mathPr>
    <m:mathFont m:val="Cambria Math"/>
    <m:brkBin m:val="before"/>
    <m:brkBinSub m:val="--"/>
    <m:smallFrac m:val="0"/>
    <m:dispDef/>
    <m:lMargin m:val="0"/>
    <m:rMargin m:val="0"/>
    <m:defJc m:val="centerGroup"/>
    <m:wrapIndent m:val="1440"/>
    <m:intLim m:val="subSup"/>
    <m:naryLim m:val="undOvr"/>
  </m:mathPr>
  <w:themeFontLang w:val="en-M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D4104"/>
  <w15:chartTrackingRefBased/>
  <w15:docId w15:val="{0835A1D0-4D85-0D4A-B883-6F36C6392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M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2FE8"/>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D74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ED74B1"/>
    <w:pPr>
      <w:shd w:val="clear" w:color="auto" w:fill="FFFFFF"/>
      <w:spacing w:before="100" w:beforeAutospacing="1" w:after="100" w:afterAutospacing="1"/>
    </w:pPr>
    <w:rPr>
      <w:color w:val="000000" w:themeColor="text1"/>
    </w:rPr>
  </w:style>
  <w:style w:type="paragraph" w:styleId="Caption">
    <w:name w:val="caption"/>
    <w:basedOn w:val="Normal"/>
    <w:next w:val="Normal"/>
    <w:uiPriority w:val="35"/>
    <w:unhideWhenUsed/>
    <w:qFormat/>
    <w:rsid w:val="00ED74B1"/>
    <w:pPr>
      <w:spacing w:after="200"/>
    </w:pPr>
    <w:rPr>
      <w:rFonts w:eastAsiaTheme="minorHAnsi"/>
      <w:i/>
      <w:iCs/>
      <w:color w:val="44546A" w:themeColor="text2"/>
      <w:sz w:val="18"/>
      <w:szCs w:val="18"/>
      <w:lang w:val="en-US"/>
    </w:rPr>
  </w:style>
  <w:style w:type="character" w:styleId="Hyperlink">
    <w:name w:val="Hyperlink"/>
    <w:basedOn w:val="DefaultParagraphFont"/>
    <w:uiPriority w:val="99"/>
    <w:unhideWhenUsed/>
    <w:rsid w:val="00551B3B"/>
    <w:rPr>
      <w:color w:val="0563C1" w:themeColor="hyperlink"/>
      <w:u w:val="single"/>
    </w:rPr>
  </w:style>
  <w:style w:type="paragraph" w:styleId="ListParagraph">
    <w:name w:val="List Paragraph"/>
    <w:basedOn w:val="Normal"/>
    <w:uiPriority w:val="34"/>
    <w:qFormat/>
    <w:rsid w:val="0055099C"/>
    <w:pPr>
      <w:spacing w:line="276" w:lineRule="auto"/>
      <w:ind w:left="720"/>
      <w:contextualSpacing/>
      <w:jc w:val="both"/>
    </w:pPr>
    <w:rPr>
      <w:rFonts w:eastAsiaTheme="minorHAns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0015072">
      <w:bodyDiv w:val="1"/>
      <w:marLeft w:val="0"/>
      <w:marRight w:val="0"/>
      <w:marTop w:val="0"/>
      <w:marBottom w:val="0"/>
      <w:divBdr>
        <w:top w:val="none" w:sz="0" w:space="0" w:color="auto"/>
        <w:left w:val="none" w:sz="0" w:space="0" w:color="auto"/>
        <w:bottom w:val="none" w:sz="0" w:space="0" w:color="auto"/>
        <w:right w:val="none" w:sz="0" w:space="0" w:color="auto"/>
      </w:divBdr>
      <w:divsChild>
        <w:div w:id="106510580">
          <w:marLeft w:val="0"/>
          <w:marRight w:val="0"/>
          <w:marTop w:val="0"/>
          <w:marBottom w:val="0"/>
          <w:divBdr>
            <w:top w:val="none" w:sz="0" w:space="0" w:color="auto"/>
            <w:left w:val="none" w:sz="0" w:space="0" w:color="auto"/>
            <w:bottom w:val="none" w:sz="0" w:space="0" w:color="auto"/>
            <w:right w:val="none" w:sz="0" w:space="0" w:color="auto"/>
          </w:divBdr>
          <w:divsChild>
            <w:div w:id="1565481343">
              <w:marLeft w:val="0"/>
              <w:marRight w:val="0"/>
              <w:marTop w:val="0"/>
              <w:marBottom w:val="0"/>
              <w:divBdr>
                <w:top w:val="none" w:sz="0" w:space="0" w:color="auto"/>
                <w:left w:val="none" w:sz="0" w:space="0" w:color="auto"/>
                <w:bottom w:val="none" w:sz="0" w:space="0" w:color="auto"/>
                <w:right w:val="none" w:sz="0" w:space="0" w:color="auto"/>
              </w:divBdr>
              <w:divsChild>
                <w:div w:id="552808617">
                  <w:marLeft w:val="0"/>
                  <w:marRight w:val="0"/>
                  <w:marTop w:val="0"/>
                  <w:marBottom w:val="0"/>
                  <w:divBdr>
                    <w:top w:val="none" w:sz="0" w:space="0" w:color="auto"/>
                    <w:left w:val="none" w:sz="0" w:space="0" w:color="auto"/>
                    <w:bottom w:val="none" w:sz="0" w:space="0" w:color="auto"/>
                    <w:right w:val="none" w:sz="0" w:space="0" w:color="auto"/>
                  </w:divBdr>
                  <w:divsChild>
                    <w:div w:id="58596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2491800">
      <w:bodyDiv w:val="1"/>
      <w:marLeft w:val="0"/>
      <w:marRight w:val="0"/>
      <w:marTop w:val="0"/>
      <w:marBottom w:val="0"/>
      <w:divBdr>
        <w:top w:val="none" w:sz="0" w:space="0" w:color="auto"/>
        <w:left w:val="none" w:sz="0" w:space="0" w:color="auto"/>
        <w:bottom w:val="none" w:sz="0" w:space="0" w:color="auto"/>
        <w:right w:val="none" w:sz="0" w:space="0" w:color="auto"/>
      </w:divBdr>
    </w:div>
    <w:div w:id="911083243">
      <w:bodyDiv w:val="1"/>
      <w:marLeft w:val="0"/>
      <w:marRight w:val="0"/>
      <w:marTop w:val="0"/>
      <w:marBottom w:val="0"/>
      <w:divBdr>
        <w:top w:val="none" w:sz="0" w:space="0" w:color="auto"/>
        <w:left w:val="none" w:sz="0" w:space="0" w:color="auto"/>
        <w:bottom w:val="none" w:sz="0" w:space="0" w:color="auto"/>
        <w:right w:val="none" w:sz="0" w:space="0" w:color="auto"/>
      </w:divBdr>
    </w:div>
    <w:div w:id="1063483438">
      <w:bodyDiv w:val="1"/>
      <w:marLeft w:val="0"/>
      <w:marRight w:val="0"/>
      <w:marTop w:val="0"/>
      <w:marBottom w:val="0"/>
      <w:divBdr>
        <w:top w:val="none" w:sz="0" w:space="0" w:color="auto"/>
        <w:left w:val="none" w:sz="0" w:space="0" w:color="auto"/>
        <w:bottom w:val="none" w:sz="0" w:space="0" w:color="auto"/>
        <w:right w:val="none" w:sz="0" w:space="0" w:color="auto"/>
      </w:divBdr>
      <w:divsChild>
        <w:div w:id="1448743475">
          <w:marLeft w:val="0"/>
          <w:marRight w:val="0"/>
          <w:marTop w:val="0"/>
          <w:marBottom w:val="0"/>
          <w:divBdr>
            <w:top w:val="none" w:sz="0" w:space="0" w:color="auto"/>
            <w:left w:val="none" w:sz="0" w:space="0" w:color="auto"/>
            <w:bottom w:val="none" w:sz="0" w:space="0" w:color="auto"/>
            <w:right w:val="none" w:sz="0" w:space="0" w:color="auto"/>
          </w:divBdr>
          <w:divsChild>
            <w:div w:id="232786350">
              <w:marLeft w:val="0"/>
              <w:marRight w:val="0"/>
              <w:marTop w:val="0"/>
              <w:marBottom w:val="0"/>
              <w:divBdr>
                <w:top w:val="none" w:sz="0" w:space="0" w:color="auto"/>
                <w:left w:val="none" w:sz="0" w:space="0" w:color="auto"/>
                <w:bottom w:val="none" w:sz="0" w:space="0" w:color="auto"/>
                <w:right w:val="none" w:sz="0" w:space="0" w:color="auto"/>
              </w:divBdr>
              <w:divsChild>
                <w:div w:id="1992248652">
                  <w:marLeft w:val="0"/>
                  <w:marRight w:val="0"/>
                  <w:marTop w:val="0"/>
                  <w:marBottom w:val="0"/>
                  <w:divBdr>
                    <w:top w:val="none" w:sz="0" w:space="0" w:color="auto"/>
                    <w:left w:val="none" w:sz="0" w:space="0" w:color="auto"/>
                    <w:bottom w:val="none" w:sz="0" w:space="0" w:color="auto"/>
                    <w:right w:val="none" w:sz="0" w:space="0" w:color="auto"/>
                  </w:divBdr>
                  <w:divsChild>
                    <w:div w:id="723795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5246289">
      <w:bodyDiv w:val="1"/>
      <w:marLeft w:val="0"/>
      <w:marRight w:val="0"/>
      <w:marTop w:val="0"/>
      <w:marBottom w:val="0"/>
      <w:divBdr>
        <w:top w:val="none" w:sz="0" w:space="0" w:color="auto"/>
        <w:left w:val="none" w:sz="0" w:space="0" w:color="auto"/>
        <w:bottom w:val="none" w:sz="0" w:space="0" w:color="auto"/>
        <w:right w:val="none" w:sz="0" w:space="0" w:color="auto"/>
      </w:divBdr>
      <w:divsChild>
        <w:div w:id="1186485496">
          <w:marLeft w:val="0"/>
          <w:marRight w:val="0"/>
          <w:marTop w:val="0"/>
          <w:marBottom w:val="0"/>
          <w:divBdr>
            <w:top w:val="none" w:sz="0" w:space="0" w:color="auto"/>
            <w:left w:val="none" w:sz="0" w:space="0" w:color="auto"/>
            <w:bottom w:val="none" w:sz="0" w:space="0" w:color="auto"/>
            <w:right w:val="none" w:sz="0" w:space="0" w:color="auto"/>
          </w:divBdr>
          <w:divsChild>
            <w:div w:id="1255166820">
              <w:marLeft w:val="0"/>
              <w:marRight w:val="0"/>
              <w:marTop w:val="0"/>
              <w:marBottom w:val="0"/>
              <w:divBdr>
                <w:top w:val="none" w:sz="0" w:space="0" w:color="auto"/>
                <w:left w:val="none" w:sz="0" w:space="0" w:color="auto"/>
                <w:bottom w:val="none" w:sz="0" w:space="0" w:color="auto"/>
                <w:right w:val="none" w:sz="0" w:space="0" w:color="auto"/>
              </w:divBdr>
              <w:divsChild>
                <w:div w:id="2069183968">
                  <w:marLeft w:val="0"/>
                  <w:marRight w:val="0"/>
                  <w:marTop w:val="0"/>
                  <w:marBottom w:val="0"/>
                  <w:divBdr>
                    <w:top w:val="none" w:sz="0" w:space="0" w:color="auto"/>
                    <w:left w:val="none" w:sz="0" w:space="0" w:color="auto"/>
                    <w:bottom w:val="none" w:sz="0" w:space="0" w:color="auto"/>
                    <w:right w:val="none" w:sz="0" w:space="0" w:color="auto"/>
                  </w:divBdr>
                  <w:divsChild>
                    <w:div w:id="43556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5948265">
      <w:bodyDiv w:val="1"/>
      <w:marLeft w:val="0"/>
      <w:marRight w:val="0"/>
      <w:marTop w:val="0"/>
      <w:marBottom w:val="0"/>
      <w:divBdr>
        <w:top w:val="none" w:sz="0" w:space="0" w:color="auto"/>
        <w:left w:val="none" w:sz="0" w:space="0" w:color="auto"/>
        <w:bottom w:val="none" w:sz="0" w:space="0" w:color="auto"/>
        <w:right w:val="none" w:sz="0" w:space="0" w:color="auto"/>
      </w:divBdr>
    </w:div>
    <w:div w:id="1763640817">
      <w:bodyDiv w:val="1"/>
      <w:marLeft w:val="0"/>
      <w:marRight w:val="0"/>
      <w:marTop w:val="0"/>
      <w:marBottom w:val="0"/>
      <w:divBdr>
        <w:top w:val="none" w:sz="0" w:space="0" w:color="auto"/>
        <w:left w:val="none" w:sz="0" w:space="0" w:color="auto"/>
        <w:bottom w:val="none" w:sz="0" w:space="0" w:color="auto"/>
        <w:right w:val="none" w:sz="0" w:space="0" w:color="auto"/>
      </w:divBdr>
      <w:divsChild>
        <w:div w:id="554700253">
          <w:marLeft w:val="0"/>
          <w:marRight w:val="0"/>
          <w:marTop w:val="0"/>
          <w:marBottom w:val="0"/>
          <w:divBdr>
            <w:top w:val="none" w:sz="0" w:space="0" w:color="auto"/>
            <w:left w:val="none" w:sz="0" w:space="0" w:color="auto"/>
            <w:bottom w:val="none" w:sz="0" w:space="0" w:color="auto"/>
            <w:right w:val="none" w:sz="0" w:space="0" w:color="auto"/>
          </w:divBdr>
          <w:divsChild>
            <w:div w:id="1345012241">
              <w:marLeft w:val="0"/>
              <w:marRight w:val="0"/>
              <w:marTop w:val="0"/>
              <w:marBottom w:val="0"/>
              <w:divBdr>
                <w:top w:val="none" w:sz="0" w:space="0" w:color="auto"/>
                <w:left w:val="none" w:sz="0" w:space="0" w:color="auto"/>
                <w:bottom w:val="none" w:sz="0" w:space="0" w:color="auto"/>
                <w:right w:val="none" w:sz="0" w:space="0" w:color="auto"/>
              </w:divBdr>
              <w:divsChild>
                <w:div w:id="1495606680">
                  <w:marLeft w:val="0"/>
                  <w:marRight w:val="0"/>
                  <w:marTop w:val="0"/>
                  <w:marBottom w:val="0"/>
                  <w:divBdr>
                    <w:top w:val="none" w:sz="0" w:space="0" w:color="auto"/>
                    <w:left w:val="none" w:sz="0" w:space="0" w:color="auto"/>
                    <w:bottom w:val="none" w:sz="0" w:space="0" w:color="auto"/>
                    <w:right w:val="none" w:sz="0" w:space="0" w:color="auto"/>
                  </w:divBdr>
                  <w:divsChild>
                    <w:div w:id="71758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3548477">
      <w:bodyDiv w:val="1"/>
      <w:marLeft w:val="0"/>
      <w:marRight w:val="0"/>
      <w:marTop w:val="0"/>
      <w:marBottom w:val="0"/>
      <w:divBdr>
        <w:top w:val="none" w:sz="0" w:space="0" w:color="auto"/>
        <w:left w:val="none" w:sz="0" w:space="0" w:color="auto"/>
        <w:bottom w:val="none" w:sz="0" w:space="0" w:color="auto"/>
        <w:right w:val="none" w:sz="0" w:space="0" w:color="auto"/>
      </w:divBdr>
      <w:divsChild>
        <w:div w:id="1994748909">
          <w:marLeft w:val="0"/>
          <w:marRight w:val="0"/>
          <w:marTop w:val="0"/>
          <w:marBottom w:val="0"/>
          <w:divBdr>
            <w:top w:val="none" w:sz="0" w:space="0" w:color="auto"/>
            <w:left w:val="none" w:sz="0" w:space="0" w:color="auto"/>
            <w:bottom w:val="none" w:sz="0" w:space="0" w:color="auto"/>
            <w:right w:val="none" w:sz="0" w:space="0" w:color="auto"/>
          </w:divBdr>
          <w:divsChild>
            <w:div w:id="2086412960">
              <w:marLeft w:val="0"/>
              <w:marRight w:val="0"/>
              <w:marTop w:val="0"/>
              <w:marBottom w:val="0"/>
              <w:divBdr>
                <w:top w:val="none" w:sz="0" w:space="0" w:color="auto"/>
                <w:left w:val="none" w:sz="0" w:space="0" w:color="auto"/>
                <w:bottom w:val="none" w:sz="0" w:space="0" w:color="auto"/>
                <w:right w:val="none" w:sz="0" w:space="0" w:color="auto"/>
              </w:divBdr>
              <w:divsChild>
                <w:div w:id="637535943">
                  <w:marLeft w:val="0"/>
                  <w:marRight w:val="0"/>
                  <w:marTop w:val="0"/>
                  <w:marBottom w:val="0"/>
                  <w:divBdr>
                    <w:top w:val="none" w:sz="0" w:space="0" w:color="auto"/>
                    <w:left w:val="none" w:sz="0" w:space="0" w:color="auto"/>
                    <w:bottom w:val="none" w:sz="0" w:space="0" w:color="auto"/>
                    <w:right w:val="none" w:sz="0" w:space="0" w:color="auto"/>
                  </w:divBdr>
                  <w:divsChild>
                    <w:div w:id="2071073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8555929">
      <w:bodyDiv w:val="1"/>
      <w:marLeft w:val="0"/>
      <w:marRight w:val="0"/>
      <w:marTop w:val="0"/>
      <w:marBottom w:val="0"/>
      <w:divBdr>
        <w:top w:val="none" w:sz="0" w:space="0" w:color="auto"/>
        <w:left w:val="none" w:sz="0" w:space="0" w:color="auto"/>
        <w:bottom w:val="none" w:sz="0" w:space="0" w:color="auto"/>
        <w:right w:val="none" w:sz="0" w:space="0" w:color="auto"/>
      </w:divBdr>
      <w:divsChild>
        <w:div w:id="1472599298">
          <w:marLeft w:val="0"/>
          <w:marRight w:val="0"/>
          <w:marTop w:val="0"/>
          <w:marBottom w:val="0"/>
          <w:divBdr>
            <w:top w:val="none" w:sz="0" w:space="0" w:color="auto"/>
            <w:left w:val="none" w:sz="0" w:space="0" w:color="auto"/>
            <w:bottom w:val="none" w:sz="0" w:space="0" w:color="auto"/>
            <w:right w:val="none" w:sz="0" w:space="0" w:color="auto"/>
          </w:divBdr>
          <w:divsChild>
            <w:div w:id="2115250998">
              <w:marLeft w:val="0"/>
              <w:marRight w:val="0"/>
              <w:marTop w:val="0"/>
              <w:marBottom w:val="0"/>
              <w:divBdr>
                <w:top w:val="none" w:sz="0" w:space="0" w:color="auto"/>
                <w:left w:val="none" w:sz="0" w:space="0" w:color="auto"/>
                <w:bottom w:val="none" w:sz="0" w:space="0" w:color="auto"/>
                <w:right w:val="none" w:sz="0" w:space="0" w:color="auto"/>
              </w:divBdr>
              <w:divsChild>
                <w:div w:id="1916431881">
                  <w:marLeft w:val="0"/>
                  <w:marRight w:val="0"/>
                  <w:marTop w:val="0"/>
                  <w:marBottom w:val="0"/>
                  <w:divBdr>
                    <w:top w:val="none" w:sz="0" w:space="0" w:color="auto"/>
                    <w:left w:val="none" w:sz="0" w:space="0" w:color="auto"/>
                    <w:bottom w:val="none" w:sz="0" w:space="0" w:color="auto"/>
                    <w:right w:val="none" w:sz="0" w:space="0" w:color="auto"/>
                  </w:divBdr>
                  <w:divsChild>
                    <w:div w:id="846402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781</Words>
  <Characters>4452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 Guseva</dc:creator>
  <cp:keywords/>
  <dc:description/>
  <cp:lastModifiedBy>Ema Guseva</cp:lastModifiedBy>
  <cp:revision>4</cp:revision>
  <dcterms:created xsi:type="dcterms:W3CDTF">2020-10-12T15:14:00Z</dcterms:created>
  <dcterms:modified xsi:type="dcterms:W3CDTF">2020-10-16T11:43:00Z</dcterms:modified>
</cp:coreProperties>
</file>