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03D06D87" w:rsidR="007E7175" w:rsidRDefault="007E7175" w:rsidP="00BB0057">
      <w:pPr>
        <w:jc w:val="center"/>
      </w:pPr>
      <w:r w:rsidRPr="00BB0057">
        <w:rPr>
          <w:sz w:val="28"/>
          <w:szCs w:val="28"/>
        </w:rPr>
        <w:t xml:space="preserve">Summary of </w:t>
      </w:r>
      <w:proofErr w:type="spellStart"/>
      <w:r w:rsidR="00080B4C">
        <w:rPr>
          <w:color w:val="000000"/>
          <w:sz w:val="28"/>
          <w:szCs w:val="28"/>
          <w:shd w:val="clear" w:color="auto" w:fill="FFFFFF"/>
          <w:lang w:val="en-US"/>
        </w:rPr>
        <w:t>S</w:t>
      </w:r>
      <w:r w:rsidR="00080B4C" w:rsidRPr="00080B4C">
        <w:rPr>
          <w:color w:val="000000"/>
          <w:sz w:val="28"/>
          <w:szCs w:val="28"/>
          <w:shd w:val="clear" w:color="auto" w:fill="FFFFFF"/>
          <w:lang w:val="en-US"/>
        </w:rPr>
        <w:t>ociaal</w:t>
      </w:r>
      <w:proofErr w:type="spellEnd"/>
      <w:r w:rsidR="00080B4C" w:rsidRPr="00080B4C">
        <w:rPr>
          <w:color w:val="000000"/>
          <w:sz w:val="28"/>
          <w:szCs w:val="28"/>
          <w:shd w:val="clear" w:color="auto" w:fill="FFFFFF"/>
          <w:lang w:val="en-US"/>
        </w:rPr>
        <w:t xml:space="preserve"> </w:t>
      </w:r>
      <w:proofErr w:type="spellStart"/>
      <w:r w:rsidR="00080B4C" w:rsidRPr="00080B4C">
        <w:rPr>
          <w:color w:val="000000"/>
          <w:sz w:val="28"/>
          <w:szCs w:val="28"/>
          <w:shd w:val="clear" w:color="auto" w:fill="FFFFFF"/>
          <w:lang w:val="en-US"/>
        </w:rPr>
        <w:t>en</w:t>
      </w:r>
      <w:proofErr w:type="spellEnd"/>
      <w:r w:rsidR="00080B4C" w:rsidRPr="00080B4C">
        <w:rPr>
          <w:color w:val="000000"/>
          <w:sz w:val="28"/>
          <w:szCs w:val="28"/>
          <w:shd w:val="clear" w:color="auto" w:fill="FFFFFF"/>
          <w:lang w:val="en-US"/>
        </w:rPr>
        <w:t xml:space="preserve"> </w:t>
      </w:r>
      <w:proofErr w:type="spellStart"/>
      <w:r w:rsidR="00080B4C">
        <w:rPr>
          <w:color w:val="000000"/>
          <w:sz w:val="28"/>
          <w:szCs w:val="28"/>
          <w:shd w:val="clear" w:color="auto" w:fill="FFFFFF"/>
          <w:lang w:val="en-US"/>
        </w:rPr>
        <w:t>C</w:t>
      </w:r>
      <w:r w:rsidR="00080B4C" w:rsidRPr="00080B4C">
        <w:rPr>
          <w:color w:val="000000"/>
          <w:sz w:val="28"/>
          <w:szCs w:val="28"/>
          <w:shd w:val="clear" w:color="auto" w:fill="FFFFFF"/>
          <w:lang w:val="en-US"/>
        </w:rPr>
        <w:t>ultureel</w:t>
      </w:r>
      <w:proofErr w:type="spellEnd"/>
      <w:r w:rsidR="00080B4C" w:rsidRPr="00080B4C">
        <w:rPr>
          <w:color w:val="000000"/>
          <w:sz w:val="28"/>
          <w:szCs w:val="28"/>
          <w:shd w:val="clear" w:color="auto" w:fill="FFFFFF"/>
          <w:lang w:val="en-US"/>
        </w:rPr>
        <w:t xml:space="preserve"> </w:t>
      </w:r>
      <w:proofErr w:type="spellStart"/>
      <w:r w:rsidR="00080B4C">
        <w:rPr>
          <w:color w:val="000000"/>
          <w:sz w:val="28"/>
          <w:szCs w:val="28"/>
          <w:shd w:val="clear" w:color="auto" w:fill="FFFFFF"/>
          <w:lang w:val="en-US"/>
        </w:rPr>
        <w:t>P</w:t>
      </w:r>
      <w:r w:rsidR="00080B4C" w:rsidRPr="00080B4C">
        <w:rPr>
          <w:color w:val="000000"/>
          <w:sz w:val="28"/>
          <w:szCs w:val="28"/>
          <w:shd w:val="clear" w:color="auto" w:fill="FFFFFF"/>
          <w:lang w:val="en-US"/>
        </w:rPr>
        <w:t>lanbureau</w:t>
      </w:r>
      <w:proofErr w:type="spellEnd"/>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6B2CE21F" w14:textId="71DDB9DA" w:rsidR="007E7175" w:rsidRPr="005D340D" w:rsidRDefault="008F2C0B" w:rsidP="008F2C0B">
      <w:pPr>
        <w:spacing w:line="276" w:lineRule="auto"/>
        <w:jc w:val="both"/>
        <w:rPr>
          <w:lang w:val="en-US"/>
        </w:rPr>
      </w:pPr>
      <w:r>
        <w:rPr>
          <w:lang w:val="en-US"/>
        </w:rPr>
        <w:t xml:space="preserve">This research describes the developments of institutional trust, redistribution preferences, feelings of solidarity, social trust, discrimination and stigmatization among the Dutch during the pandemic. It draws from research on similar crises such as natural hazards (earthquakes), economic crises (2008 and 1930s) and security crises (MH17 and 9/11); and outlines probable future developments. In summary, the COVID-19 pandemic has increased institutional trust and preferences for redistributive politics since the vulnerable are seen to be especially unlucky during this crisis. Moreover, it has increased feelings of solidarity, which can be attributed to media messaging that the virus can only be battled collectively. However, it has also increased discrimination and stigmatization as people connected to COVID-19 hotspots have experienced more discrimination compared to pre-COVID-19. But the research points that these effects are likely to last only as long as the pandemic, however long that may be, after which they are bound to return to normal. The effects are deemed to be most durable for the youth which are going through their formative years during this crisis, affecting the political views of these generations in the long term. </w:t>
      </w:r>
    </w:p>
    <w:p w14:paraId="33D7B802" w14:textId="77777777" w:rsidR="005D340D" w:rsidRPr="005D340D" w:rsidRDefault="005D340D" w:rsidP="007E7175">
      <w:pPr>
        <w:rPr>
          <w:b/>
          <w:bCs/>
          <w:lang w:val="en-US"/>
        </w:rPr>
      </w:pPr>
    </w:p>
    <w:p w14:paraId="75C10E1D" w14:textId="0D65C86E"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69093C">
        <w:rPr>
          <w:lang w:val="en-US"/>
        </w:rPr>
        <w:t xml:space="preserve">Infrastructure companies should not pay too much attention to shifting public opinions as these are likely to last only as long as the ongoing health and economic crisis. Although, short-term increases in conservatism may affect immigration policy which can be important for labor supply. The only certainty is the aging population accompanied by varying intergenerational solidarity. Therefore, infrastructure policies should show sensitivity to these issues, ensuring that the way infrastructure is managed and built is friendly to all generations. </w:t>
      </w:r>
    </w:p>
    <w:p w14:paraId="02D96421" w14:textId="77777777" w:rsidR="005109D3" w:rsidRDefault="005109D3" w:rsidP="007E7175">
      <w:pPr>
        <w:spacing w:line="276" w:lineRule="auto"/>
        <w:jc w:val="both"/>
        <w:rPr>
          <w:lang w:val="en-US"/>
        </w:rPr>
      </w:pPr>
    </w:p>
    <w:p w14:paraId="1E24BFF3" w14:textId="62926653" w:rsidR="005109D3" w:rsidRDefault="005109D3" w:rsidP="005109D3">
      <w:pPr>
        <w:rPr>
          <w:b/>
          <w:bCs/>
          <w:lang w:val="en-US"/>
        </w:rPr>
      </w:pPr>
      <w:r>
        <w:rPr>
          <w:b/>
          <w:bCs/>
          <w:lang w:val="en-US"/>
        </w:rPr>
        <w:t>Stock-and-flow diagram</w:t>
      </w:r>
    </w:p>
    <w:p w14:paraId="256C6A47" w14:textId="30008CA8" w:rsidR="00880809" w:rsidRDefault="001F653B" w:rsidP="001F653B">
      <w:pPr>
        <w:spacing w:line="276" w:lineRule="auto"/>
        <w:jc w:val="both"/>
        <w:rPr>
          <w:lang w:val="en-US"/>
        </w:rPr>
      </w:pPr>
      <w:r>
        <w:rPr>
          <w:lang w:val="en-US"/>
        </w:rPr>
        <w:t xml:space="preserve">The spread of the COVID-19 pandemic is modelled using SIR (susceptible, infected and recovered) structure (see Figure 1). Central to this model is the variable regarding institutional trust. The pandemic has had positive effects on institutional trust as citizens have responded favorably to government actions and the visibility of politicians on the media (see Table 1). This, in turn, affects the government’s ability to control the crisis, as there is less resistance to government preventative measures. </w:t>
      </w:r>
    </w:p>
    <w:p w14:paraId="2AD274CF" w14:textId="2EDB56BA" w:rsidR="001F653B" w:rsidRDefault="001F653B" w:rsidP="001F653B">
      <w:pPr>
        <w:spacing w:line="276" w:lineRule="auto"/>
        <w:jc w:val="both"/>
        <w:rPr>
          <w:lang w:val="en-US"/>
        </w:rPr>
      </w:pPr>
    </w:p>
    <w:p w14:paraId="2F9AEAE6" w14:textId="2A175309" w:rsidR="001F653B" w:rsidRDefault="001F653B" w:rsidP="001F653B">
      <w:pPr>
        <w:spacing w:line="276" w:lineRule="auto"/>
        <w:jc w:val="both"/>
        <w:rPr>
          <w:lang w:val="en-US"/>
        </w:rPr>
      </w:pPr>
      <w:r>
        <w:rPr>
          <w:lang w:val="en-US"/>
        </w:rPr>
        <w:t xml:space="preserve">Institutional trust is important in addition to enabling government intervention because it increases the feeling of solidarity among citizens, thus boosting social cohesion and promoting overall stability of the social order. At the same time, it balances out the negative effects of stigmatization and discrimination. </w:t>
      </w:r>
    </w:p>
    <w:p w14:paraId="1B6FE61B" w14:textId="77777777" w:rsidR="001F653B" w:rsidRDefault="001F653B" w:rsidP="001F653B">
      <w:pPr>
        <w:spacing w:line="276" w:lineRule="auto"/>
        <w:jc w:val="both"/>
        <w:rPr>
          <w:lang w:val="en-US"/>
        </w:rPr>
      </w:pPr>
    </w:p>
    <w:p w14:paraId="0475B0CA" w14:textId="502F0987" w:rsidR="001F653B" w:rsidRDefault="001F653B" w:rsidP="001F653B">
      <w:pPr>
        <w:spacing w:line="276" w:lineRule="auto"/>
        <w:jc w:val="both"/>
        <w:rPr>
          <w:lang w:val="en-US"/>
        </w:rPr>
      </w:pPr>
      <w:r>
        <w:rPr>
          <w:lang w:val="en-US"/>
        </w:rPr>
        <w:t xml:space="preserve">Beyond the health crisis, the economic crisis, evidenced by a decreasing amount of available economic resources, has had a positive effect on institutional trust and feelings of solidarity. In times of crisis, the vulnerable are seen as less responsible for their economic shortcomings, </w:t>
      </w:r>
      <w:r>
        <w:rPr>
          <w:lang w:val="en-US"/>
        </w:rPr>
        <w:lastRenderedPageBreak/>
        <w:t xml:space="preserve">thus preferences for redistribution rise albeit temporarily. Institutions are also looked at more favorably since they hold the key for unlocking the economic crisis. </w:t>
      </w:r>
    </w:p>
    <w:p w14:paraId="378D64F9" w14:textId="466771A2" w:rsidR="001F653B" w:rsidRDefault="001F653B" w:rsidP="001F653B">
      <w:pPr>
        <w:spacing w:line="276" w:lineRule="auto"/>
        <w:jc w:val="both"/>
        <w:rPr>
          <w:lang w:val="en-US"/>
        </w:rPr>
      </w:pPr>
    </w:p>
    <w:p w14:paraId="097F3124" w14:textId="5F044FCD" w:rsidR="001F653B" w:rsidRPr="001F653B" w:rsidRDefault="001F653B" w:rsidP="001F653B">
      <w:pPr>
        <w:spacing w:line="276" w:lineRule="auto"/>
        <w:jc w:val="both"/>
        <w:rPr>
          <w:lang w:val="en-US"/>
        </w:rPr>
      </w:pPr>
      <w:r>
        <w:rPr>
          <w:lang w:val="en-US"/>
        </w:rPr>
        <w:t xml:space="preserve">Lastly, COVID-19 prevalence affects feelings of solidarity in two different ways. First, it increases feelings of solidarity since </w:t>
      </w:r>
      <w:r w:rsidR="00416EE3">
        <w:rPr>
          <w:lang w:val="en-US"/>
        </w:rPr>
        <w:t>the uncertainty and tragedy of the situation inspires empathy and collective action. But, at the same time, the prevention measures have inspired shifts in lifestyle that increase conservatism and thus increase discrimination, ultimately negatively affecting social cohesion</w:t>
      </w:r>
      <w:r>
        <w:rPr>
          <w:lang w:val="en-US"/>
        </w:rPr>
        <w:t>. The research proposes that the government</w:t>
      </w:r>
      <w:r w:rsidR="00416EE3">
        <w:rPr>
          <w:lang w:val="en-US"/>
        </w:rPr>
        <w:t xml:space="preserve"> and media</w:t>
      </w:r>
      <w:r>
        <w:rPr>
          <w:lang w:val="en-US"/>
        </w:rPr>
        <w:t xml:space="preserve"> can navigate these effects by </w:t>
      </w:r>
      <w:r w:rsidR="00416EE3">
        <w:rPr>
          <w:lang w:val="en-US"/>
        </w:rPr>
        <w:t xml:space="preserve">emphasizing the importance of collaboration for exiting this crisis. As an example, views on immigration have been more favorable during the pandemic presumably because there has been less negative press on the issue since the focus has been on the pandemic. </w:t>
      </w:r>
    </w:p>
    <w:p w14:paraId="58A20538" w14:textId="14BC7AB5" w:rsidR="005109D3" w:rsidRDefault="00552CCD" w:rsidP="005109D3">
      <w:pPr>
        <w:spacing w:line="276" w:lineRule="auto"/>
        <w:jc w:val="center"/>
      </w:pPr>
      <w:r w:rsidRPr="00552CCD">
        <w:drawing>
          <wp:inline distT="0" distB="0" distL="0" distR="0" wp14:anchorId="1DBC2E00" wp14:editId="6E4BDF09">
            <wp:extent cx="5727700" cy="3991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27700" cy="3991610"/>
                    </a:xfrm>
                    <a:prstGeom prst="rect">
                      <a:avLst/>
                    </a:prstGeom>
                  </pic:spPr>
                </pic:pic>
              </a:graphicData>
            </a:graphic>
          </wp:inline>
        </w:drawing>
      </w:r>
    </w:p>
    <w:p w14:paraId="699DA5B0" w14:textId="437660E3" w:rsidR="001E635A" w:rsidRPr="00D71721" w:rsidRDefault="005109D3" w:rsidP="00416EE3">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proofErr w:type="spellStart"/>
      <w:r w:rsidR="00080B4C">
        <w:t>S</w:t>
      </w:r>
      <w:r w:rsidR="00080B4C" w:rsidRPr="00080B4C">
        <w:t>ociaal</w:t>
      </w:r>
      <w:proofErr w:type="spellEnd"/>
      <w:r w:rsidR="00080B4C" w:rsidRPr="00080B4C">
        <w:t xml:space="preserve"> </w:t>
      </w:r>
      <w:proofErr w:type="spellStart"/>
      <w:r w:rsidR="00080B4C" w:rsidRPr="00080B4C">
        <w:t>en</w:t>
      </w:r>
      <w:proofErr w:type="spellEnd"/>
      <w:r w:rsidR="00080B4C" w:rsidRPr="00080B4C">
        <w:t xml:space="preserve"> </w:t>
      </w:r>
      <w:proofErr w:type="spellStart"/>
      <w:r w:rsidR="00080B4C">
        <w:t>C</w:t>
      </w:r>
      <w:r w:rsidR="00080B4C" w:rsidRPr="00080B4C">
        <w:t>ultureel</w:t>
      </w:r>
      <w:proofErr w:type="spellEnd"/>
      <w:r w:rsidR="00080B4C" w:rsidRPr="00080B4C">
        <w:t xml:space="preserve"> </w:t>
      </w:r>
      <w:proofErr w:type="spellStart"/>
      <w:r w:rsidR="00080B4C">
        <w:t>P</w:t>
      </w:r>
      <w:r w:rsidR="00080B4C" w:rsidRPr="00080B4C">
        <w:t>lanbureau</w:t>
      </w:r>
      <w:proofErr w:type="spellEnd"/>
      <w:r w:rsidR="00851F6F" w:rsidRPr="00AC625C">
        <w:t xml:space="preserve"> </w:t>
      </w:r>
      <w:r>
        <w:t>(2020)</w:t>
      </w:r>
      <w:r w:rsidR="0097172B">
        <w:t>. The dotted arrow</w:t>
      </w:r>
      <w:r w:rsidR="005D340D">
        <w:t xml:space="preserve"> is an</w:t>
      </w:r>
      <w:r w:rsidR="0097172B">
        <w:t xml:space="preserve"> assumptio</w:t>
      </w:r>
      <w:r w:rsidR="005D340D">
        <w:t>n</w:t>
      </w:r>
      <w:r w:rsidR="0097172B">
        <w:t xml:space="preserve"> induced from the document.</w:t>
      </w: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4764"/>
        <w:gridCol w:w="3260"/>
      </w:tblGrid>
      <w:tr w:rsidR="000778AD" w:rsidRPr="000778AD" w14:paraId="05798EE6" w14:textId="77777777" w:rsidTr="00552CCD">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4764"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3260"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552CCD">
        <w:tc>
          <w:tcPr>
            <w:tcW w:w="416" w:type="dxa"/>
          </w:tcPr>
          <w:p w14:paraId="1F85FD86" w14:textId="08F73D43" w:rsidR="005109D3" w:rsidRPr="00552CCD" w:rsidRDefault="001A0451" w:rsidP="00ED74B1">
            <w:pPr>
              <w:rPr>
                <w:color w:val="000000" w:themeColor="text1"/>
                <w:sz w:val="20"/>
                <w:szCs w:val="20"/>
                <w:lang w:val="en-US"/>
              </w:rPr>
            </w:pPr>
            <w:r w:rsidRPr="00552CCD">
              <w:rPr>
                <w:color w:val="000000" w:themeColor="text1"/>
                <w:sz w:val="20"/>
                <w:szCs w:val="20"/>
                <w:lang w:val="en-US"/>
              </w:rPr>
              <w:t>1</w:t>
            </w:r>
          </w:p>
        </w:tc>
        <w:tc>
          <w:tcPr>
            <w:tcW w:w="627" w:type="dxa"/>
          </w:tcPr>
          <w:p w14:paraId="725BB832" w14:textId="54264A74" w:rsidR="005109D3" w:rsidRPr="00552CCD" w:rsidRDefault="0069093C" w:rsidP="00ED74B1">
            <w:pPr>
              <w:rPr>
                <w:color w:val="000000" w:themeColor="text1"/>
                <w:sz w:val="20"/>
                <w:szCs w:val="20"/>
                <w:lang w:val="en-US"/>
              </w:rPr>
            </w:pPr>
            <w:r w:rsidRPr="00552CCD">
              <w:rPr>
                <w:color w:val="000000" w:themeColor="text1"/>
                <w:sz w:val="20"/>
                <w:szCs w:val="20"/>
                <w:lang w:val="en-US"/>
              </w:rPr>
              <w:t>1</w:t>
            </w:r>
          </w:p>
        </w:tc>
        <w:tc>
          <w:tcPr>
            <w:tcW w:w="4764" w:type="dxa"/>
          </w:tcPr>
          <w:p w14:paraId="43B6510C" w14:textId="20607C25" w:rsidR="005109D3" w:rsidRPr="00552CCD" w:rsidRDefault="0069093C" w:rsidP="004B0639">
            <w:pPr>
              <w:pStyle w:val="NormalWeb"/>
              <w:rPr>
                <w:sz w:val="20"/>
                <w:szCs w:val="20"/>
              </w:rPr>
            </w:pPr>
            <w:r w:rsidRPr="00552CCD">
              <w:rPr>
                <w:sz w:val="20"/>
                <w:szCs w:val="20"/>
              </w:rPr>
              <w:t>At the beginning of this year, the Netherlands was hit by the corona virus, which resulted in many infections in a short time and deaths.</w:t>
            </w:r>
          </w:p>
        </w:tc>
        <w:tc>
          <w:tcPr>
            <w:tcW w:w="3260" w:type="dxa"/>
          </w:tcPr>
          <w:p w14:paraId="6EDAEF43" w14:textId="77777777" w:rsidR="005109D3" w:rsidRPr="00552CCD" w:rsidRDefault="0069093C" w:rsidP="007B6E62">
            <w:pPr>
              <w:pStyle w:val="NormalWeb"/>
              <w:spacing w:before="0" w:beforeAutospacing="0" w:after="0" w:afterAutospacing="0"/>
              <w:rPr>
                <w:sz w:val="20"/>
                <w:szCs w:val="20"/>
                <w:lang w:val="en-US"/>
              </w:rPr>
            </w:pPr>
            <w:r w:rsidRPr="00552CCD">
              <w:rPr>
                <w:sz w:val="20"/>
                <w:szCs w:val="20"/>
                <w:lang w:val="en-US"/>
              </w:rPr>
              <w:t>Susceptible -&gt; Infection rate -&gt; Infected -&gt; Recovery rate -&gt; Recovered -&gt; Infection rate</w:t>
            </w:r>
          </w:p>
          <w:p w14:paraId="44500F01" w14:textId="6D051A83" w:rsidR="0069093C" w:rsidRPr="00552CCD" w:rsidRDefault="0069093C" w:rsidP="007B6E62">
            <w:pPr>
              <w:pStyle w:val="NormalWeb"/>
              <w:spacing w:before="0" w:beforeAutospacing="0" w:after="0" w:afterAutospacing="0"/>
              <w:rPr>
                <w:sz w:val="20"/>
                <w:szCs w:val="20"/>
                <w:lang w:val="en-US"/>
              </w:rPr>
            </w:pPr>
            <w:r w:rsidRPr="00552CCD">
              <w:rPr>
                <w:sz w:val="20"/>
                <w:szCs w:val="20"/>
                <w:lang w:val="en-US"/>
              </w:rPr>
              <w:t>Susceptible -&gt; Infection rate -&gt; Infected -&gt;</w:t>
            </w:r>
            <w:r w:rsidRPr="00552CCD">
              <w:rPr>
                <w:sz w:val="20"/>
                <w:szCs w:val="20"/>
                <w:lang w:val="en-US"/>
              </w:rPr>
              <w:t xml:space="preserve"> Death rate</w:t>
            </w:r>
          </w:p>
        </w:tc>
      </w:tr>
      <w:tr w:rsidR="000778AD" w:rsidRPr="000778AD" w14:paraId="568F6E9A" w14:textId="77777777" w:rsidTr="00552CCD">
        <w:tc>
          <w:tcPr>
            <w:tcW w:w="416" w:type="dxa"/>
          </w:tcPr>
          <w:p w14:paraId="3914E83E" w14:textId="65406D24" w:rsidR="005109D3" w:rsidRPr="00552CCD" w:rsidRDefault="001A0451" w:rsidP="00ED74B1">
            <w:pPr>
              <w:rPr>
                <w:color w:val="000000" w:themeColor="text1"/>
                <w:sz w:val="20"/>
                <w:szCs w:val="20"/>
                <w:lang w:val="en-US"/>
              </w:rPr>
            </w:pPr>
            <w:r w:rsidRPr="00552CCD">
              <w:rPr>
                <w:color w:val="000000" w:themeColor="text1"/>
                <w:sz w:val="20"/>
                <w:szCs w:val="20"/>
                <w:lang w:val="en-US"/>
              </w:rPr>
              <w:t>2</w:t>
            </w:r>
          </w:p>
        </w:tc>
        <w:tc>
          <w:tcPr>
            <w:tcW w:w="627" w:type="dxa"/>
          </w:tcPr>
          <w:p w14:paraId="721E63AB" w14:textId="77FA9603" w:rsidR="005109D3" w:rsidRPr="00552CCD" w:rsidRDefault="00E716C7" w:rsidP="00ED74B1">
            <w:pPr>
              <w:rPr>
                <w:color w:val="000000" w:themeColor="text1"/>
                <w:sz w:val="20"/>
                <w:szCs w:val="20"/>
                <w:lang w:val="en-US"/>
              </w:rPr>
            </w:pPr>
            <w:r w:rsidRPr="00552CCD">
              <w:rPr>
                <w:color w:val="000000" w:themeColor="text1"/>
                <w:sz w:val="20"/>
                <w:szCs w:val="20"/>
                <w:lang w:val="en-US"/>
              </w:rPr>
              <w:t>2</w:t>
            </w:r>
          </w:p>
        </w:tc>
        <w:tc>
          <w:tcPr>
            <w:tcW w:w="4764" w:type="dxa"/>
          </w:tcPr>
          <w:p w14:paraId="12E28C76" w14:textId="259DE32B" w:rsidR="005109D3" w:rsidRPr="00552CCD" w:rsidRDefault="0069093C" w:rsidP="00E716C7">
            <w:pPr>
              <w:pStyle w:val="NormalWeb"/>
              <w:rPr>
                <w:sz w:val="20"/>
                <w:szCs w:val="20"/>
              </w:rPr>
            </w:pPr>
            <w:r w:rsidRPr="00552CCD">
              <w:rPr>
                <w:sz w:val="20"/>
                <w:szCs w:val="20"/>
              </w:rPr>
              <w:t>Also trust, solidarity and commitment between people mutually are indicative of greater social cohesion, which in turn can be conducive to social order, stability and security and the maintenance of collective provisions in a country.</w:t>
            </w:r>
          </w:p>
        </w:tc>
        <w:tc>
          <w:tcPr>
            <w:tcW w:w="3260" w:type="dxa"/>
          </w:tcPr>
          <w:p w14:paraId="18334FBB" w14:textId="6C1F48DC" w:rsidR="007B6E62" w:rsidRPr="00552CCD" w:rsidRDefault="0069093C" w:rsidP="00ED74B1">
            <w:pPr>
              <w:rPr>
                <w:color w:val="000000" w:themeColor="text1"/>
                <w:sz w:val="20"/>
                <w:szCs w:val="20"/>
                <w:lang w:val="en-US"/>
              </w:rPr>
            </w:pPr>
            <w:r w:rsidRPr="00552CCD">
              <w:rPr>
                <w:color w:val="000000" w:themeColor="text1"/>
                <w:sz w:val="20"/>
                <w:szCs w:val="20"/>
                <w:lang w:val="en-US"/>
              </w:rPr>
              <w:t>Feeling of solidarity -&gt; Social cohesion -&gt; Stability of social order</w:t>
            </w:r>
          </w:p>
        </w:tc>
      </w:tr>
      <w:tr w:rsidR="004B0639" w:rsidRPr="000778AD" w14:paraId="2E7917E1" w14:textId="77777777" w:rsidTr="00552CCD">
        <w:tc>
          <w:tcPr>
            <w:tcW w:w="416" w:type="dxa"/>
          </w:tcPr>
          <w:p w14:paraId="26D4E113" w14:textId="7A9D4C8F" w:rsidR="004B0639" w:rsidRPr="00552CCD" w:rsidRDefault="004B0639" w:rsidP="00ED74B1">
            <w:pPr>
              <w:rPr>
                <w:color w:val="000000" w:themeColor="text1"/>
                <w:sz w:val="20"/>
                <w:szCs w:val="20"/>
                <w:lang w:val="en-US"/>
              </w:rPr>
            </w:pPr>
            <w:r w:rsidRPr="00552CCD">
              <w:rPr>
                <w:color w:val="000000" w:themeColor="text1"/>
                <w:sz w:val="20"/>
                <w:szCs w:val="20"/>
                <w:lang w:val="en-US"/>
              </w:rPr>
              <w:lastRenderedPageBreak/>
              <w:t>3</w:t>
            </w:r>
          </w:p>
        </w:tc>
        <w:tc>
          <w:tcPr>
            <w:tcW w:w="627" w:type="dxa"/>
          </w:tcPr>
          <w:p w14:paraId="4FCB6ED7" w14:textId="56CD7D57" w:rsidR="004B0639" w:rsidRPr="00552CCD" w:rsidRDefault="0069093C" w:rsidP="00ED74B1">
            <w:pPr>
              <w:rPr>
                <w:color w:val="000000" w:themeColor="text1"/>
                <w:sz w:val="20"/>
                <w:szCs w:val="20"/>
                <w:lang w:val="en-US"/>
              </w:rPr>
            </w:pPr>
            <w:r w:rsidRPr="00552CCD">
              <w:rPr>
                <w:color w:val="000000" w:themeColor="text1"/>
                <w:sz w:val="20"/>
                <w:szCs w:val="20"/>
                <w:lang w:val="en-US"/>
              </w:rPr>
              <w:t>2</w:t>
            </w:r>
          </w:p>
        </w:tc>
        <w:tc>
          <w:tcPr>
            <w:tcW w:w="4764" w:type="dxa"/>
          </w:tcPr>
          <w:p w14:paraId="4A681F3F" w14:textId="5486EA0B" w:rsidR="004B0639" w:rsidRPr="00552CCD" w:rsidRDefault="0069093C" w:rsidP="004B0639">
            <w:pPr>
              <w:rPr>
                <w:color w:val="000000" w:themeColor="text1"/>
                <w:sz w:val="20"/>
                <w:szCs w:val="20"/>
              </w:rPr>
            </w:pPr>
            <w:r w:rsidRPr="00552CCD">
              <w:rPr>
                <w:sz w:val="20"/>
                <w:szCs w:val="20"/>
              </w:rPr>
              <w:t>An increase discrimination and stigmatization can actually put this social cohesion under pressure</w:t>
            </w:r>
          </w:p>
        </w:tc>
        <w:tc>
          <w:tcPr>
            <w:tcW w:w="3260" w:type="dxa"/>
          </w:tcPr>
          <w:p w14:paraId="1783985E" w14:textId="62364CDF" w:rsidR="004B0639" w:rsidRPr="00552CCD" w:rsidRDefault="0069093C" w:rsidP="00ED74B1">
            <w:pPr>
              <w:rPr>
                <w:color w:val="000000" w:themeColor="text1"/>
                <w:sz w:val="20"/>
                <w:szCs w:val="20"/>
                <w:lang w:val="en-US"/>
              </w:rPr>
            </w:pPr>
            <w:r w:rsidRPr="00552CCD">
              <w:rPr>
                <w:color w:val="000000" w:themeColor="text1"/>
                <w:sz w:val="20"/>
                <w:szCs w:val="20"/>
                <w:lang w:val="en-US"/>
              </w:rPr>
              <w:t>Frequency of stigmatization -&gt; Frequency of discrimination -&gt; Social cohesion</w:t>
            </w:r>
          </w:p>
        </w:tc>
      </w:tr>
      <w:tr w:rsidR="004B0639" w:rsidRPr="000778AD" w14:paraId="070E57B4" w14:textId="77777777" w:rsidTr="00552CCD">
        <w:tc>
          <w:tcPr>
            <w:tcW w:w="416" w:type="dxa"/>
          </w:tcPr>
          <w:p w14:paraId="12CEE03B" w14:textId="1CC33121" w:rsidR="004B0639" w:rsidRPr="00552CCD" w:rsidRDefault="004B0639" w:rsidP="00ED74B1">
            <w:pPr>
              <w:rPr>
                <w:color w:val="000000" w:themeColor="text1"/>
                <w:sz w:val="20"/>
                <w:szCs w:val="20"/>
                <w:lang w:val="en-US"/>
              </w:rPr>
            </w:pPr>
            <w:r w:rsidRPr="00552CCD">
              <w:rPr>
                <w:color w:val="000000" w:themeColor="text1"/>
                <w:sz w:val="20"/>
                <w:szCs w:val="20"/>
                <w:lang w:val="en-US"/>
              </w:rPr>
              <w:t>4</w:t>
            </w:r>
          </w:p>
        </w:tc>
        <w:tc>
          <w:tcPr>
            <w:tcW w:w="627" w:type="dxa"/>
          </w:tcPr>
          <w:p w14:paraId="257CE418" w14:textId="7E9F3523" w:rsidR="004B0639" w:rsidRPr="00552CCD" w:rsidRDefault="0069093C" w:rsidP="00ED74B1">
            <w:pPr>
              <w:rPr>
                <w:color w:val="000000" w:themeColor="text1"/>
                <w:sz w:val="20"/>
                <w:szCs w:val="20"/>
                <w:lang w:val="en-US"/>
              </w:rPr>
            </w:pPr>
            <w:r w:rsidRPr="00552CCD">
              <w:rPr>
                <w:color w:val="000000" w:themeColor="text1"/>
                <w:sz w:val="20"/>
                <w:szCs w:val="20"/>
                <w:lang w:val="en-US"/>
              </w:rPr>
              <w:t>4</w:t>
            </w:r>
          </w:p>
        </w:tc>
        <w:tc>
          <w:tcPr>
            <w:tcW w:w="4764" w:type="dxa"/>
          </w:tcPr>
          <w:p w14:paraId="43472A16" w14:textId="4116638D" w:rsidR="004B0639" w:rsidRPr="00552CCD" w:rsidRDefault="0069093C" w:rsidP="004B0639">
            <w:pPr>
              <w:rPr>
                <w:color w:val="000000" w:themeColor="text1"/>
                <w:sz w:val="20"/>
                <w:szCs w:val="20"/>
                <w:lang w:val="en-US"/>
              </w:rPr>
            </w:pPr>
            <w:r w:rsidRPr="00552CCD">
              <w:rPr>
                <w:sz w:val="20"/>
                <w:szCs w:val="20"/>
              </w:rPr>
              <w:t>Then in January the virus in China rage, few people were worried about corona</w:t>
            </w:r>
            <w:r w:rsidRPr="00552CCD">
              <w:rPr>
                <w:sz w:val="20"/>
                <w:szCs w:val="20"/>
              </w:rPr>
              <w:t xml:space="preserve">. </w:t>
            </w:r>
            <w:r w:rsidRPr="00552CCD">
              <w:rPr>
                <w:sz w:val="20"/>
                <w:szCs w:val="20"/>
              </w:rPr>
              <w:t>The call for preventive measures was not strong and strong government intervention probably would have met with resistance.</w:t>
            </w:r>
          </w:p>
        </w:tc>
        <w:tc>
          <w:tcPr>
            <w:tcW w:w="3260" w:type="dxa"/>
          </w:tcPr>
          <w:p w14:paraId="0DD0CE17" w14:textId="77777777" w:rsidR="004B0639" w:rsidRPr="00552CCD" w:rsidRDefault="0069093C" w:rsidP="00ED74B1">
            <w:pPr>
              <w:rPr>
                <w:color w:val="000000" w:themeColor="text1"/>
                <w:sz w:val="20"/>
                <w:szCs w:val="20"/>
                <w:lang w:val="en-US"/>
              </w:rPr>
            </w:pPr>
            <w:r w:rsidRPr="00552CCD">
              <w:rPr>
                <w:color w:val="000000" w:themeColor="text1"/>
                <w:sz w:val="20"/>
                <w:szCs w:val="20"/>
                <w:lang w:val="en-US"/>
              </w:rPr>
              <w:t>Infected -&gt; Awareness of pandemic -&gt; Resistance to government intervention</w:t>
            </w:r>
            <w:r w:rsidR="004B0639" w:rsidRPr="00552CCD">
              <w:rPr>
                <w:color w:val="000000" w:themeColor="text1"/>
                <w:sz w:val="20"/>
                <w:szCs w:val="20"/>
                <w:lang w:val="en-US"/>
              </w:rPr>
              <w:t xml:space="preserve">  </w:t>
            </w:r>
          </w:p>
          <w:p w14:paraId="1C265EC4" w14:textId="3D9C6661" w:rsidR="0069093C" w:rsidRPr="00552CCD" w:rsidRDefault="0069093C" w:rsidP="00ED74B1">
            <w:pPr>
              <w:rPr>
                <w:color w:val="000000" w:themeColor="text1"/>
                <w:sz w:val="20"/>
                <w:szCs w:val="20"/>
                <w:lang w:val="en-US"/>
              </w:rPr>
            </w:pPr>
            <w:r w:rsidRPr="00552CCD">
              <w:rPr>
                <w:color w:val="000000" w:themeColor="text1"/>
                <w:sz w:val="20"/>
                <w:szCs w:val="20"/>
                <w:lang w:val="en-US"/>
              </w:rPr>
              <w:t>Death rate</w:t>
            </w:r>
            <w:r w:rsidRPr="00552CCD">
              <w:rPr>
                <w:color w:val="000000" w:themeColor="text1"/>
                <w:sz w:val="20"/>
                <w:szCs w:val="20"/>
                <w:lang w:val="en-US"/>
              </w:rPr>
              <w:t xml:space="preserve"> -&gt; Awareness of pandemic -&gt; Resistance to government intervention  </w:t>
            </w:r>
          </w:p>
        </w:tc>
      </w:tr>
      <w:tr w:rsidR="000778AD" w:rsidRPr="000778AD" w14:paraId="24B9238E" w14:textId="77777777" w:rsidTr="00552CCD">
        <w:tc>
          <w:tcPr>
            <w:tcW w:w="416" w:type="dxa"/>
          </w:tcPr>
          <w:p w14:paraId="066CD1B2" w14:textId="7C1DCAF2" w:rsidR="005109D3" w:rsidRPr="00552CCD" w:rsidRDefault="001A0451" w:rsidP="00ED74B1">
            <w:pPr>
              <w:rPr>
                <w:color w:val="000000" w:themeColor="text1"/>
                <w:sz w:val="20"/>
                <w:szCs w:val="20"/>
                <w:lang w:val="en-US"/>
              </w:rPr>
            </w:pPr>
            <w:r w:rsidRPr="00552CCD">
              <w:rPr>
                <w:color w:val="000000" w:themeColor="text1"/>
                <w:sz w:val="20"/>
                <w:szCs w:val="20"/>
                <w:lang w:val="en-US"/>
              </w:rPr>
              <w:t>5</w:t>
            </w:r>
          </w:p>
        </w:tc>
        <w:tc>
          <w:tcPr>
            <w:tcW w:w="627" w:type="dxa"/>
          </w:tcPr>
          <w:p w14:paraId="17B56053" w14:textId="1567A1C6" w:rsidR="005109D3" w:rsidRPr="00552CCD" w:rsidRDefault="00B058FE" w:rsidP="00ED74B1">
            <w:pPr>
              <w:rPr>
                <w:color w:val="000000" w:themeColor="text1"/>
                <w:sz w:val="20"/>
                <w:szCs w:val="20"/>
                <w:lang w:val="en-US"/>
              </w:rPr>
            </w:pPr>
            <w:r w:rsidRPr="00552CCD">
              <w:rPr>
                <w:color w:val="000000" w:themeColor="text1"/>
                <w:sz w:val="20"/>
                <w:szCs w:val="20"/>
                <w:lang w:val="en-US"/>
              </w:rPr>
              <w:t>4</w:t>
            </w:r>
          </w:p>
        </w:tc>
        <w:tc>
          <w:tcPr>
            <w:tcW w:w="4764" w:type="dxa"/>
          </w:tcPr>
          <w:p w14:paraId="243D0EA5" w14:textId="0E6366B9" w:rsidR="005109D3" w:rsidRPr="00552CCD" w:rsidRDefault="00B058FE" w:rsidP="00ED74B1">
            <w:pPr>
              <w:rPr>
                <w:color w:val="000000" w:themeColor="text1"/>
                <w:sz w:val="20"/>
                <w:szCs w:val="20"/>
                <w:lang w:val="en-US"/>
              </w:rPr>
            </w:pPr>
            <w:r w:rsidRPr="00552CCD">
              <w:rPr>
                <w:sz w:val="20"/>
                <w:szCs w:val="20"/>
                <w:lang w:val="en-US"/>
              </w:rPr>
              <w:t>T</w:t>
            </w:r>
            <w:r w:rsidRPr="00552CCD">
              <w:rPr>
                <w:sz w:val="20"/>
                <w:szCs w:val="20"/>
              </w:rPr>
              <w:t>he spread of the virus for the time being reasonably under control</w:t>
            </w:r>
            <w:r w:rsidRPr="00552CCD">
              <w:rPr>
                <w:sz w:val="20"/>
                <w:szCs w:val="20"/>
                <w:lang w:val="en-US"/>
              </w:rPr>
              <w:t>.</w:t>
            </w:r>
          </w:p>
        </w:tc>
        <w:tc>
          <w:tcPr>
            <w:tcW w:w="3260" w:type="dxa"/>
          </w:tcPr>
          <w:p w14:paraId="55679626" w14:textId="6224C348" w:rsidR="005109D3" w:rsidRPr="00552CCD" w:rsidRDefault="00B058FE" w:rsidP="00ED74B1">
            <w:pPr>
              <w:rPr>
                <w:color w:val="000000" w:themeColor="text1"/>
                <w:sz w:val="20"/>
                <w:szCs w:val="20"/>
                <w:lang w:val="en-US"/>
              </w:rPr>
            </w:pPr>
            <w:r w:rsidRPr="00552CCD">
              <w:rPr>
                <w:color w:val="000000" w:themeColor="text1"/>
                <w:sz w:val="20"/>
                <w:szCs w:val="20"/>
                <w:lang w:val="en-US"/>
              </w:rPr>
              <w:t>Infected -&gt; Awareness of pandemic</w:t>
            </w:r>
          </w:p>
        </w:tc>
      </w:tr>
      <w:tr w:rsidR="004B0639" w:rsidRPr="000778AD" w14:paraId="7AC3EE0D" w14:textId="77777777" w:rsidTr="00552CCD">
        <w:tc>
          <w:tcPr>
            <w:tcW w:w="416" w:type="dxa"/>
          </w:tcPr>
          <w:p w14:paraId="757767F4" w14:textId="6E9E2BB7" w:rsidR="004B0639" w:rsidRPr="00552CCD" w:rsidRDefault="00094EBF" w:rsidP="00ED74B1">
            <w:pPr>
              <w:rPr>
                <w:color w:val="000000" w:themeColor="text1"/>
                <w:sz w:val="20"/>
                <w:szCs w:val="20"/>
                <w:lang w:val="en-US"/>
              </w:rPr>
            </w:pPr>
            <w:r w:rsidRPr="00552CCD">
              <w:rPr>
                <w:color w:val="000000" w:themeColor="text1"/>
                <w:sz w:val="20"/>
                <w:szCs w:val="20"/>
                <w:lang w:val="en-US"/>
              </w:rPr>
              <w:t>6</w:t>
            </w:r>
          </w:p>
        </w:tc>
        <w:tc>
          <w:tcPr>
            <w:tcW w:w="627" w:type="dxa"/>
          </w:tcPr>
          <w:p w14:paraId="00DC0271" w14:textId="32DDF311" w:rsidR="004B0639" w:rsidRPr="00552CCD" w:rsidRDefault="00B058FE" w:rsidP="00ED74B1">
            <w:pPr>
              <w:rPr>
                <w:color w:val="000000" w:themeColor="text1"/>
                <w:sz w:val="20"/>
                <w:szCs w:val="20"/>
                <w:lang w:val="en-US"/>
              </w:rPr>
            </w:pPr>
            <w:r w:rsidRPr="00552CCD">
              <w:rPr>
                <w:color w:val="000000" w:themeColor="text1"/>
                <w:sz w:val="20"/>
                <w:szCs w:val="20"/>
                <w:lang w:val="en-US"/>
              </w:rPr>
              <w:t>4</w:t>
            </w:r>
          </w:p>
        </w:tc>
        <w:tc>
          <w:tcPr>
            <w:tcW w:w="4764" w:type="dxa"/>
          </w:tcPr>
          <w:p w14:paraId="135653D7" w14:textId="537B4B36" w:rsidR="004B0639" w:rsidRPr="00552CCD" w:rsidRDefault="00B058FE" w:rsidP="00ED74B1">
            <w:pPr>
              <w:rPr>
                <w:color w:val="000000" w:themeColor="text1"/>
                <w:sz w:val="20"/>
                <w:szCs w:val="20"/>
                <w:lang w:val="en-US"/>
              </w:rPr>
            </w:pPr>
            <w:r w:rsidRPr="00552CCD">
              <w:rPr>
                <w:sz w:val="20"/>
                <w:szCs w:val="20"/>
              </w:rPr>
              <w:t>An (expected) change in resources (for example, the loss of a job) due to corona (measures) can also influence the views and attitudes towards institutions, policy and each other.</w:t>
            </w:r>
          </w:p>
        </w:tc>
        <w:tc>
          <w:tcPr>
            <w:tcW w:w="3260" w:type="dxa"/>
          </w:tcPr>
          <w:p w14:paraId="306A0F21" w14:textId="77777777" w:rsidR="004B0639" w:rsidRPr="00552CCD" w:rsidRDefault="00B058FE" w:rsidP="00ED74B1">
            <w:pPr>
              <w:rPr>
                <w:color w:val="000000" w:themeColor="text1"/>
                <w:sz w:val="20"/>
                <w:szCs w:val="20"/>
                <w:lang w:val="en-US"/>
              </w:rPr>
            </w:pPr>
            <w:r w:rsidRPr="00552CCD">
              <w:rPr>
                <w:color w:val="000000" w:themeColor="text1"/>
                <w:sz w:val="20"/>
                <w:szCs w:val="20"/>
                <w:lang w:val="en-US"/>
              </w:rPr>
              <w:t>Available economic resources -&gt; Expected economic resources -&gt; Institutional trust</w:t>
            </w:r>
          </w:p>
          <w:p w14:paraId="71DB07B7" w14:textId="65F75CE9" w:rsidR="00B058FE" w:rsidRPr="00552CCD" w:rsidRDefault="00B058FE" w:rsidP="00ED74B1">
            <w:pPr>
              <w:rPr>
                <w:color w:val="000000" w:themeColor="text1"/>
                <w:sz w:val="20"/>
                <w:szCs w:val="20"/>
                <w:lang w:val="en-US"/>
              </w:rPr>
            </w:pPr>
            <w:r w:rsidRPr="00552CCD">
              <w:rPr>
                <w:color w:val="000000" w:themeColor="text1"/>
                <w:sz w:val="20"/>
                <w:szCs w:val="20"/>
                <w:lang w:val="en-US"/>
              </w:rPr>
              <w:t xml:space="preserve">Available economic resources -&gt; Expected economic resources -&gt; </w:t>
            </w:r>
            <w:r w:rsidRPr="00552CCD">
              <w:rPr>
                <w:color w:val="000000" w:themeColor="text1"/>
                <w:sz w:val="20"/>
                <w:szCs w:val="20"/>
                <w:lang w:val="en-US"/>
              </w:rPr>
              <w:t>Feeling of solidarity</w:t>
            </w:r>
          </w:p>
        </w:tc>
      </w:tr>
      <w:tr w:rsidR="00B058FE" w:rsidRPr="000778AD" w14:paraId="0C59A576" w14:textId="77777777" w:rsidTr="00552CCD">
        <w:tc>
          <w:tcPr>
            <w:tcW w:w="416" w:type="dxa"/>
          </w:tcPr>
          <w:p w14:paraId="5DA2E77D" w14:textId="22E571CA" w:rsidR="00B058FE" w:rsidRPr="00552CCD" w:rsidRDefault="00B058FE" w:rsidP="00ED74B1">
            <w:pPr>
              <w:rPr>
                <w:color w:val="000000" w:themeColor="text1"/>
                <w:sz w:val="20"/>
                <w:szCs w:val="20"/>
                <w:lang w:val="en-US"/>
              </w:rPr>
            </w:pPr>
            <w:r w:rsidRPr="00552CCD">
              <w:rPr>
                <w:color w:val="000000" w:themeColor="text1"/>
                <w:sz w:val="20"/>
                <w:szCs w:val="20"/>
                <w:lang w:val="en-US"/>
              </w:rPr>
              <w:t>7</w:t>
            </w:r>
          </w:p>
        </w:tc>
        <w:tc>
          <w:tcPr>
            <w:tcW w:w="627" w:type="dxa"/>
          </w:tcPr>
          <w:p w14:paraId="4D97A0FE" w14:textId="5435A889" w:rsidR="00B058FE" w:rsidRPr="00552CCD" w:rsidRDefault="00B058FE" w:rsidP="00ED74B1">
            <w:pPr>
              <w:rPr>
                <w:color w:val="000000" w:themeColor="text1"/>
                <w:sz w:val="20"/>
                <w:szCs w:val="20"/>
                <w:lang w:val="en-US"/>
              </w:rPr>
            </w:pPr>
            <w:r w:rsidRPr="00552CCD">
              <w:rPr>
                <w:color w:val="000000" w:themeColor="text1"/>
                <w:sz w:val="20"/>
                <w:szCs w:val="20"/>
                <w:lang w:val="en-US"/>
              </w:rPr>
              <w:t>6</w:t>
            </w:r>
          </w:p>
        </w:tc>
        <w:tc>
          <w:tcPr>
            <w:tcW w:w="4764" w:type="dxa"/>
          </w:tcPr>
          <w:p w14:paraId="4D081068" w14:textId="5B5BB0E3" w:rsidR="00B058FE" w:rsidRPr="00552CCD" w:rsidRDefault="00B058FE" w:rsidP="00ED74B1">
            <w:pPr>
              <w:rPr>
                <w:sz w:val="20"/>
                <w:szCs w:val="20"/>
                <w:lang w:val="en-US"/>
              </w:rPr>
            </w:pPr>
            <w:r w:rsidRPr="00552CCD">
              <w:rPr>
                <w:sz w:val="20"/>
                <w:szCs w:val="20"/>
              </w:rPr>
              <w:t>A reduced trust in political and social institutions (such as the House of Representatives or the judiciary) can lead to a loss of legitimacy among citizens and vice versa</w:t>
            </w:r>
            <w:r w:rsidRPr="00552CCD">
              <w:rPr>
                <w:sz w:val="20"/>
                <w:szCs w:val="20"/>
                <w:lang w:val="en-US"/>
              </w:rPr>
              <w:t>.</w:t>
            </w:r>
          </w:p>
        </w:tc>
        <w:tc>
          <w:tcPr>
            <w:tcW w:w="3260" w:type="dxa"/>
          </w:tcPr>
          <w:p w14:paraId="496A4158" w14:textId="4563DB6B" w:rsidR="00B058FE" w:rsidRPr="00552CCD" w:rsidRDefault="00B058FE" w:rsidP="00ED74B1">
            <w:pPr>
              <w:rPr>
                <w:color w:val="000000" w:themeColor="text1"/>
                <w:sz w:val="20"/>
                <w:szCs w:val="20"/>
                <w:lang w:val="en-US"/>
              </w:rPr>
            </w:pPr>
            <w:r w:rsidRPr="00552CCD">
              <w:rPr>
                <w:color w:val="000000" w:themeColor="text1"/>
                <w:sz w:val="20"/>
                <w:szCs w:val="20"/>
                <w:lang w:val="en-US"/>
              </w:rPr>
              <w:t>Institutional trust -&gt; Feeling of solidarity</w:t>
            </w:r>
          </w:p>
        </w:tc>
      </w:tr>
      <w:tr w:rsidR="00B058FE" w:rsidRPr="000778AD" w14:paraId="12F7FB6A" w14:textId="77777777" w:rsidTr="00552CCD">
        <w:tc>
          <w:tcPr>
            <w:tcW w:w="416" w:type="dxa"/>
          </w:tcPr>
          <w:p w14:paraId="4C4653C6" w14:textId="3D53BF40" w:rsidR="00B058FE" w:rsidRPr="00552CCD" w:rsidRDefault="00B058FE" w:rsidP="00ED74B1">
            <w:pPr>
              <w:rPr>
                <w:color w:val="000000" w:themeColor="text1"/>
                <w:sz w:val="20"/>
                <w:szCs w:val="20"/>
                <w:lang w:val="en-US"/>
              </w:rPr>
            </w:pPr>
            <w:r w:rsidRPr="00552CCD">
              <w:rPr>
                <w:color w:val="000000" w:themeColor="text1"/>
                <w:sz w:val="20"/>
                <w:szCs w:val="20"/>
                <w:lang w:val="en-US"/>
              </w:rPr>
              <w:t>8</w:t>
            </w:r>
          </w:p>
        </w:tc>
        <w:tc>
          <w:tcPr>
            <w:tcW w:w="627" w:type="dxa"/>
          </w:tcPr>
          <w:p w14:paraId="4108C173" w14:textId="477DB9F5" w:rsidR="00B058FE" w:rsidRPr="00552CCD" w:rsidRDefault="00B058FE" w:rsidP="00ED74B1">
            <w:pPr>
              <w:rPr>
                <w:color w:val="000000" w:themeColor="text1"/>
                <w:sz w:val="20"/>
                <w:szCs w:val="20"/>
                <w:lang w:val="en-US"/>
              </w:rPr>
            </w:pPr>
            <w:r w:rsidRPr="00552CCD">
              <w:rPr>
                <w:color w:val="000000" w:themeColor="text1"/>
                <w:sz w:val="20"/>
                <w:szCs w:val="20"/>
                <w:lang w:val="en-US"/>
              </w:rPr>
              <w:t>6</w:t>
            </w:r>
          </w:p>
        </w:tc>
        <w:tc>
          <w:tcPr>
            <w:tcW w:w="4764" w:type="dxa"/>
          </w:tcPr>
          <w:p w14:paraId="07F22F8C" w14:textId="112F36F3" w:rsidR="00B058FE" w:rsidRPr="00552CCD" w:rsidRDefault="00B058FE" w:rsidP="00ED74B1">
            <w:pPr>
              <w:rPr>
                <w:sz w:val="20"/>
                <w:szCs w:val="20"/>
                <w:lang w:val="en-US"/>
              </w:rPr>
            </w:pPr>
            <w:r w:rsidRPr="00552CCD">
              <w:rPr>
                <w:sz w:val="20"/>
                <w:szCs w:val="20"/>
                <w:lang w:val="en-US"/>
              </w:rPr>
              <w:t>A</w:t>
            </w:r>
            <w:r w:rsidRPr="00552CCD">
              <w:rPr>
                <w:sz w:val="20"/>
                <w:szCs w:val="20"/>
              </w:rPr>
              <w:t xml:space="preserve"> sufficient basis of political and institutional trust currently determines the extent to which a society succeeds in curbing the spread of the virus</w:t>
            </w:r>
            <w:r w:rsidRPr="00552CCD">
              <w:rPr>
                <w:sz w:val="20"/>
                <w:szCs w:val="20"/>
                <w:lang w:val="en-US"/>
              </w:rPr>
              <w:t>.</w:t>
            </w:r>
          </w:p>
        </w:tc>
        <w:tc>
          <w:tcPr>
            <w:tcW w:w="3260" w:type="dxa"/>
          </w:tcPr>
          <w:p w14:paraId="7116CE5F" w14:textId="5D18883B" w:rsidR="00B058FE" w:rsidRPr="00552CCD" w:rsidRDefault="00B058FE" w:rsidP="00ED74B1">
            <w:pPr>
              <w:rPr>
                <w:color w:val="000000" w:themeColor="text1"/>
                <w:sz w:val="20"/>
                <w:szCs w:val="20"/>
                <w:lang w:val="en-US"/>
              </w:rPr>
            </w:pPr>
            <w:r w:rsidRPr="00552CCD">
              <w:rPr>
                <w:color w:val="000000" w:themeColor="text1"/>
                <w:sz w:val="20"/>
                <w:szCs w:val="20"/>
                <w:lang w:val="en-US"/>
              </w:rPr>
              <w:t>Institutional trust -&gt; Resistance to government intervention -&gt;Infection rate</w:t>
            </w:r>
          </w:p>
        </w:tc>
      </w:tr>
      <w:tr w:rsidR="00B058FE" w:rsidRPr="000778AD" w14:paraId="7F5E2955" w14:textId="77777777" w:rsidTr="00552CCD">
        <w:tc>
          <w:tcPr>
            <w:tcW w:w="416" w:type="dxa"/>
          </w:tcPr>
          <w:p w14:paraId="55ED4464" w14:textId="7C2FBE05" w:rsidR="00B058FE" w:rsidRPr="00552CCD" w:rsidRDefault="00B058FE" w:rsidP="00ED74B1">
            <w:pPr>
              <w:rPr>
                <w:color w:val="000000" w:themeColor="text1"/>
                <w:sz w:val="20"/>
                <w:szCs w:val="20"/>
                <w:lang w:val="en-US"/>
              </w:rPr>
            </w:pPr>
            <w:r w:rsidRPr="00552CCD">
              <w:rPr>
                <w:color w:val="000000" w:themeColor="text1"/>
                <w:sz w:val="20"/>
                <w:szCs w:val="20"/>
                <w:lang w:val="en-US"/>
              </w:rPr>
              <w:t>9</w:t>
            </w:r>
          </w:p>
        </w:tc>
        <w:tc>
          <w:tcPr>
            <w:tcW w:w="627" w:type="dxa"/>
          </w:tcPr>
          <w:p w14:paraId="0A659CFA" w14:textId="3E0D89AB" w:rsidR="00B058FE" w:rsidRPr="00552CCD" w:rsidRDefault="00B058FE" w:rsidP="00ED74B1">
            <w:pPr>
              <w:rPr>
                <w:color w:val="000000" w:themeColor="text1"/>
                <w:sz w:val="20"/>
                <w:szCs w:val="20"/>
                <w:lang w:val="en-US"/>
              </w:rPr>
            </w:pPr>
            <w:r w:rsidRPr="00552CCD">
              <w:rPr>
                <w:color w:val="000000" w:themeColor="text1"/>
                <w:sz w:val="20"/>
                <w:szCs w:val="20"/>
                <w:lang w:val="en-US"/>
              </w:rPr>
              <w:t>9</w:t>
            </w:r>
          </w:p>
        </w:tc>
        <w:tc>
          <w:tcPr>
            <w:tcW w:w="4764" w:type="dxa"/>
          </w:tcPr>
          <w:p w14:paraId="7743E4D4" w14:textId="66E7B833" w:rsidR="00B058FE" w:rsidRPr="00552CCD" w:rsidRDefault="00B058FE" w:rsidP="00ED74B1">
            <w:pPr>
              <w:rPr>
                <w:sz w:val="20"/>
                <w:szCs w:val="20"/>
                <w:lang w:val="en-US"/>
              </w:rPr>
            </w:pPr>
            <w:r w:rsidRPr="00552CCD">
              <w:rPr>
                <w:sz w:val="20"/>
                <w:szCs w:val="20"/>
                <w:lang w:val="en-US"/>
              </w:rPr>
              <w:t>T</w:t>
            </w:r>
            <w:r w:rsidRPr="00552CCD">
              <w:rPr>
                <w:sz w:val="20"/>
                <w:szCs w:val="20"/>
              </w:rPr>
              <w:t>rust in politics and institutions in democracies rises quite quickly after, for example, a terrorist attack</w:t>
            </w:r>
            <w:r w:rsidR="00880809">
              <w:rPr>
                <w:sz w:val="20"/>
                <w:szCs w:val="20"/>
                <w:lang w:val="en-US"/>
              </w:rPr>
              <w:t>,</w:t>
            </w:r>
            <w:r w:rsidRPr="00552CCD">
              <w:rPr>
                <w:sz w:val="20"/>
                <w:szCs w:val="20"/>
              </w:rPr>
              <w:t xml:space="preserve"> a natural disaster or an airplane disaster</w:t>
            </w:r>
            <w:r w:rsidRPr="00552CCD">
              <w:rPr>
                <w:sz w:val="20"/>
                <w:szCs w:val="20"/>
                <w:lang w:val="en-US"/>
              </w:rPr>
              <w:t>.</w:t>
            </w:r>
          </w:p>
        </w:tc>
        <w:tc>
          <w:tcPr>
            <w:tcW w:w="3260" w:type="dxa"/>
          </w:tcPr>
          <w:p w14:paraId="02AE9A32" w14:textId="1B44747C" w:rsidR="00B058FE" w:rsidRPr="00552CCD" w:rsidRDefault="00B058FE" w:rsidP="00ED74B1">
            <w:pPr>
              <w:rPr>
                <w:color w:val="000000" w:themeColor="text1"/>
                <w:sz w:val="20"/>
                <w:szCs w:val="20"/>
                <w:lang w:val="en-US"/>
              </w:rPr>
            </w:pPr>
            <w:r w:rsidRPr="00552CCD">
              <w:rPr>
                <w:color w:val="000000" w:themeColor="text1"/>
                <w:sz w:val="20"/>
                <w:szCs w:val="20"/>
                <w:lang w:val="en-US"/>
              </w:rPr>
              <w:t>Death rate -&gt; Institutional trust</w:t>
            </w:r>
          </w:p>
        </w:tc>
      </w:tr>
      <w:tr w:rsidR="00B058FE" w:rsidRPr="000778AD" w14:paraId="7089FF03" w14:textId="77777777" w:rsidTr="00552CCD">
        <w:tc>
          <w:tcPr>
            <w:tcW w:w="416" w:type="dxa"/>
          </w:tcPr>
          <w:p w14:paraId="2076B70A" w14:textId="7B869E1B" w:rsidR="00B058FE" w:rsidRPr="00552CCD" w:rsidRDefault="00B058FE" w:rsidP="00ED74B1">
            <w:pPr>
              <w:rPr>
                <w:color w:val="000000" w:themeColor="text1"/>
                <w:sz w:val="20"/>
                <w:szCs w:val="20"/>
                <w:lang w:val="en-US"/>
              </w:rPr>
            </w:pPr>
            <w:r w:rsidRPr="00552CCD">
              <w:rPr>
                <w:color w:val="000000" w:themeColor="text1"/>
                <w:sz w:val="20"/>
                <w:szCs w:val="20"/>
                <w:lang w:val="en-US"/>
              </w:rPr>
              <w:t>10</w:t>
            </w:r>
          </w:p>
        </w:tc>
        <w:tc>
          <w:tcPr>
            <w:tcW w:w="627" w:type="dxa"/>
          </w:tcPr>
          <w:p w14:paraId="0558D06E" w14:textId="286729D5" w:rsidR="00B058FE" w:rsidRPr="00552CCD" w:rsidRDefault="00B058FE" w:rsidP="00ED74B1">
            <w:pPr>
              <w:rPr>
                <w:color w:val="000000" w:themeColor="text1"/>
                <w:sz w:val="20"/>
                <w:szCs w:val="20"/>
                <w:lang w:val="en-US"/>
              </w:rPr>
            </w:pPr>
            <w:r w:rsidRPr="00552CCD">
              <w:rPr>
                <w:color w:val="000000" w:themeColor="text1"/>
                <w:sz w:val="20"/>
                <w:szCs w:val="20"/>
                <w:lang w:val="en-US"/>
              </w:rPr>
              <w:t>9</w:t>
            </w:r>
          </w:p>
        </w:tc>
        <w:tc>
          <w:tcPr>
            <w:tcW w:w="4764" w:type="dxa"/>
          </w:tcPr>
          <w:p w14:paraId="3B40BE9D" w14:textId="75DF7888" w:rsidR="00B058FE" w:rsidRPr="00552CCD" w:rsidRDefault="00B058FE" w:rsidP="00ED74B1">
            <w:pPr>
              <w:rPr>
                <w:sz w:val="20"/>
                <w:szCs w:val="20"/>
                <w:lang w:val="en-US"/>
              </w:rPr>
            </w:pPr>
            <w:r w:rsidRPr="00552CCD">
              <w:rPr>
                <w:sz w:val="20"/>
                <w:szCs w:val="20"/>
              </w:rPr>
              <w:t>Greater visibility of the Prime Minister or President through national speeches may also explain the increased confidence</w:t>
            </w:r>
            <w:r w:rsidRPr="00552CCD">
              <w:rPr>
                <w:sz w:val="20"/>
                <w:szCs w:val="20"/>
                <w:lang w:val="en-US"/>
              </w:rPr>
              <w:t>.</w:t>
            </w:r>
          </w:p>
        </w:tc>
        <w:tc>
          <w:tcPr>
            <w:tcW w:w="3260" w:type="dxa"/>
          </w:tcPr>
          <w:p w14:paraId="3DDD5EC8" w14:textId="4BAAE351" w:rsidR="00B058FE" w:rsidRPr="00552CCD" w:rsidRDefault="00B058FE" w:rsidP="00ED74B1">
            <w:pPr>
              <w:rPr>
                <w:color w:val="000000" w:themeColor="text1"/>
                <w:sz w:val="20"/>
                <w:szCs w:val="20"/>
                <w:lang w:val="en-US"/>
              </w:rPr>
            </w:pPr>
            <w:r w:rsidRPr="00552CCD">
              <w:rPr>
                <w:color w:val="000000" w:themeColor="text1"/>
                <w:sz w:val="20"/>
                <w:szCs w:val="20"/>
                <w:lang w:val="en-US"/>
              </w:rPr>
              <w:t>Infected -&gt; Visibility of politicians -&gt; Institutional trust</w:t>
            </w:r>
          </w:p>
        </w:tc>
      </w:tr>
      <w:tr w:rsidR="00B058FE" w:rsidRPr="000778AD" w14:paraId="5696DCFF" w14:textId="77777777" w:rsidTr="00552CCD">
        <w:tc>
          <w:tcPr>
            <w:tcW w:w="416" w:type="dxa"/>
          </w:tcPr>
          <w:p w14:paraId="1139BD89" w14:textId="361FF44A" w:rsidR="00B058FE" w:rsidRPr="00552CCD" w:rsidRDefault="00B058FE" w:rsidP="00ED74B1">
            <w:pPr>
              <w:rPr>
                <w:color w:val="000000" w:themeColor="text1"/>
                <w:sz w:val="20"/>
                <w:szCs w:val="20"/>
                <w:lang w:val="en-US"/>
              </w:rPr>
            </w:pPr>
            <w:r w:rsidRPr="00552CCD">
              <w:rPr>
                <w:color w:val="000000" w:themeColor="text1"/>
                <w:sz w:val="20"/>
                <w:szCs w:val="20"/>
                <w:lang w:val="en-US"/>
              </w:rPr>
              <w:t>11</w:t>
            </w:r>
          </w:p>
        </w:tc>
        <w:tc>
          <w:tcPr>
            <w:tcW w:w="627" w:type="dxa"/>
          </w:tcPr>
          <w:p w14:paraId="6F28F1A8" w14:textId="44D5DD65" w:rsidR="00B058FE" w:rsidRPr="00552CCD" w:rsidRDefault="00B058FE" w:rsidP="00ED74B1">
            <w:pPr>
              <w:rPr>
                <w:color w:val="000000" w:themeColor="text1"/>
                <w:sz w:val="20"/>
                <w:szCs w:val="20"/>
                <w:lang w:val="en-US"/>
              </w:rPr>
            </w:pPr>
            <w:r w:rsidRPr="00552CCD">
              <w:rPr>
                <w:color w:val="000000" w:themeColor="text1"/>
                <w:sz w:val="20"/>
                <w:szCs w:val="20"/>
                <w:lang w:val="en-US"/>
              </w:rPr>
              <w:t>9</w:t>
            </w:r>
          </w:p>
        </w:tc>
        <w:tc>
          <w:tcPr>
            <w:tcW w:w="4764" w:type="dxa"/>
          </w:tcPr>
          <w:p w14:paraId="10CB9F6A" w14:textId="5B9B46E1" w:rsidR="00B058FE" w:rsidRPr="00552CCD" w:rsidRDefault="00B058FE" w:rsidP="00ED74B1">
            <w:pPr>
              <w:rPr>
                <w:sz w:val="20"/>
                <w:szCs w:val="20"/>
                <w:lang w:val="en-US"/>
              </w:rPr>
            </w:pPr>
            <w:r w:rsidRPr="00552CCD">
              <w:rPr>
                <w:sz w:val="20"/>
                <w:szCs w:val="20"/>
              </w:rPr>
              <w:t>Schraff (2020) argues that it is not so much government intervention, but the development of the number of corona infections that determines confidence</w:t>
            </w:r>
            <w:r w:rsidRPr="00552CCD">
              <w:rPr>
                <w:sz w:val="20"/>
                <w:szCs w:val="20"/>
                <w:lang w:val="en-US"/>
              </w:rPr>
              <w:t>.</w:t>
            </w:r>
          </w:p>
        </w:tc>
        <w:tc>
          <w:tcPr>
            <w:tcW w:w="3260" w:type="dxa"/>
          </w:tcPr>
          <w:p w14:paraId="21DCD98D" w14:textId="77777777" w:rsidR="00B058FE" w:rsidRPr="00552CCD" w:rsidRDefault="00B058FE" w:rsidP="00ED74B1">
            <w:pPr>
              <w:rPr>
                <w:color w:val="000000" w:themeColor="text1"/>
                <w:sz w:val="20"/>
                <w:szCs w:val="20"/>
                <w:lang w:val="en-US"/>
              </w:rPr>
            </w:pPr>
            <w:r w:rsidRPr="00552CCD">
              <w:rPr>
                <w:color w:val="000000" w:themeColor="text1"/>
                <w:sz w:val="20"/>
                <w:szCs w:val="20"/>
                <w:lang w:val="en-US"/>
              </w:rPr>
              <w:t>Death rate -&gt; Institutional trust</w:t>
            </w:r>
          </w:p>
          <w:p w14:paraId="6EAF4FD7" w14:textId="3092C13A" w:rsidR="00B058FE" w:rsidRPr="00552CCD" w:rsidRDefault="00B058FE" w:rsidP="00ED74B1">
            <w:pPr>
              <w:rPr>
                <w:color w:val="000000" w:themeColor="text1"/>
                <w:sz w:val="20"/>
                <w:szCs w:val="20"/>
                <w:lang w:val="en-US"/>
              </w:rPr>
            </w:pPr>
            <w:r w:rsidRPr="00552CCD">
              <w:rPr>
                <w:color w:val="000000" w:themeColor="text1"/>
                <w:sz w:val="20"/>
                <w:szCs w:val="20"/>
                <w:lang w:val="en-US"/>
              </w:rPr>
              <w:t>Infected -&gt; Visibility of politicians -&gt; Institutional trust</w:t>
            </w:r>
          </w:p>
        </w:tc>
      </w:tr>
      <w:tr w:rsidR="00B058FE" w:rsidRPr="000778AD" w14:paraId="74E4B0D7" w14:textId="77777777" w:rsidTr="00552CCD">
        <w:tc>
          <w:tcPr>
            <w:tcW w:w="416" w:type="dxa"/>
          </w:tcPr>
          <w:p w14:paraId="2E106FF2" w14:textId="3E87C6CA" w:rsidR="00B058FE" w:rsidRPr="00552CCD" w:rsidRDefault="00B058FE" w:rsidP="00ED74B1">
            <w:pPr>
              <w:rPr>
                <w:color w:val="000000" w:themeColor="text1"/>
                <w:sz w:val="20"/>
                <w:szCs w:val="20"/>
                <w:lang w:val="en-US"/>
              </w:rPr>
            </w:pPr>
            <w:r w:rsidRPr="00552CCD">
              <w:rPr>
                <w:color w:val="000000" w:themeColor="text1"/>
                <w:sz w:val="20"/>
                <w:szCs w:val="20"/>
                <w:lang w:val="en-US"/>
              </w:rPr>
              <w:t>12</w:t>
            </w:r>
          </w:p>
        </w:tc>
        <w:tc>
          <w:tcPr>
            <w:tcW w:w="627" w:type="dxa"/>
          </w:tcPr>
          <w:p w14:paraId="47A36284" w14:textId="0B005354" w:rsidR="00B058FE" w:rsidRPr="00552CCD" w:rsidRDefault="00B058FE" w:rsidP="00ED74B1">
            <w:pPr>
              <w:rPr>
                <w:color w:val="000000" w:themeColor="text1"/>
                <w:sz w:val="20"/>
                <w:szCs w:val="20"/>
                <w:lang w:val="en-US"/>
              </w:rPr>
            </w:pPr>
            <w:r w:rsidRPr="00552CCD">
              <w:rPr>
                <w:color w:val="000000" w:themeColor="text1"/>
                <w:sz w:val="20"/>
                <w:szCs w:val="20"/>
                <w:lang w:val="en-US"/>
              </w:rPr>
              <w:t>11</w:t>
            </w:r>
          </w:p>
        </w:tc>
        <w:tc>
          <w:tcPr>
            <w:tcW w:w="4764" w:type="dxa"/>
          </w:tcPr>
          <w:p w14:paraId="6207465B" w14:textId="02884EE9" w:rsidR="00B058FE" w:rsidRPr="00552CCD" w:rsidRDefault="00B058FE" w:rsidP="00ED74B1">
            <w:pPr>
              <w:rPr>
                <w:sz w:val="20"/>
                <w:szCs w:val="20"/>
                <w:lang w:val="en-US"/>
              </w:rPr>
            </w:pPr>
            <w:r w:rsidRPr="00552CCD">
              <w:rPr>
                <w:sz w:val="20"/>
                <w:szCs w:val="20"/>
                <w:lang w:val="en-US"/>
              </w:rPr>
              <w:t>I</w:t>
            </w:r>
            <w:r w:rsidRPr="00552CCD">
              <w:rPr>
                <w:sz w:val="20"/>
                <w:szCs w:val="20"/>
              </w:rPr>
              <w:t>n the longer term an economic crisis (higher unemployment rates, reduced economic growth) will have a negative impact on confidence in institutions and politics: disappointing economic performance generally leads to a decline in political confidence</w:t>
            </w:r>
            <w:r w:rsidRPr="00552CCD">
              <w:rPr>
                <w:sz w:val="20"/>
                <w:szCs w:val="20"/>
                <w:lang w:val="en-US"/>
              </w:rPr>
              <w:t>.</w:t>
            </w:r>
          </w:p>
        </w:tc>
        <w:tc>
          <w:tcPr>
            <w:tcW w:w="3260" w:type="dxa"/>
          </w:tcPr>
          <w:p w14:paraId="4C22FA2F" w14:textId="3B96B167" w:rsidR="00B058FE" w:rsidRPr="00552CCD" w:rsidRDefault="00B058FE" w:rsidP="00ED74B1">
            <w:pPr>
              <w:rPr>
                <w:color w:val="000000" w:themeColor="text1"/>
                <w:sz w:val="20"/>
                <w:szCs w:val="20"/>
                <w:lang w:val="en-US"/>
              </w:rPr>
            </w:pPr>
            <w:r w:rsidRPr="00552CCD">
              <w:rPr>
                <w:color w:val="000000" w:themeColor="text1"/>
                <w:sz w:val="20"/>
                <w:szCs w:val="20"/>
                <w:lang w:val="en-US"/>
              </w:rPr>
              <w:t>Available economic resources -&gt; Institutional trust</w:t>
            </w:r>
          </w:p>
        </w:tc>
      </w:tr>
      <w:tr w:rsidR="00B058FE" w:rsidRPr="000778AD" w14:paraId="2D1C46AA" w14:textId="77777777" w:rsidTr="00552CCD">
        <w:tc>
          <w:tcPr>
            <w:tcW w:w="416" w:type="dxa"/>
          </w:tcPr>
          <w:p w14:paraId="636A487E" w14:textId="6F7B5CE1" w:rsidR="00B058FE" w:rsidRPr="00552CCD" w:rsidRDefault="00B058FE" w:rsidP="00ED74B1">
            <w:pPr>
              <w:rPr>
                <w:color w:val="000000" w:themeColor="text1"/>
                <w:sz w:val="20"/>
                <w:szCs w:val="20"/>
                <w:lang w:val="en-US"/>
              </w:rPr>
            </w:pPr>
            <w:r w:rsidRPr="00552CCD">
              <w:rPr>
                <w:color w:val="000000" w:themeColor="text1"/>
                <w:sz w:val="20"/>
                <w:szCs w:val="20"/>
                <w:lang w:val="en-US"/>
              </w:rPr>
              <w:t>13</w:t>
            </w:r>
          </w:p>
        </w:tc>
        <w:tc>
          <w:tcPr>
            <w:tcW w:w="627" w:type="dxa"/>
          </w:tcPr>
          <w:p w14:paraId="7F6BEFD2" w14:textId="0A87764B" w:rsidR="00B058FE" w:rsidRPr="00552CCD" w:rsidRDefault="00B058FE" w:rsidP="00ED74B1">
            <w:pPr>
              <w:rPr>
                <w:color w:val="000000" w:themeColor="text1"/>
                <w:sz w:val="20"/>
                <w:szCs w:val="20"/>
                <w:lang w:val="en-US"/>
              </w:rPr>
            </w:pPr>
            <w:r w:rsidRPr="00552CCD">
              <w:rPr>
                <w:color w:val="000000" w:themeColor="text1"/>
                <w:sz w:val="20"/>
                <w:szCs w:val="20"/>
                <w:lang w:val="en-US"/>
              </w:rPr>
              <w:t>12</w:t>
            </w:r>
          </w:p>
        </w:tc>
        <w:tc>
          <w:tcPr>
            <w:tcW w:w="4764" w:type="dxa"/>
          </w:tcPr>
          <w:p w14:paraId="6ADC5AA0" w14:textId="28DA6A0F" w:rsidR="00B058FE" w:rsidRPr="00552CCD" w:rsidRDefault="00B058FE" w:rsidP="00ED74B1">
            <w:pPr>
              <w:rPr>
                <w:sz w:val="20"/>
                <w:szCs w:val="20"/>
              </w:rPr>
            </w:pPr>
            <w:r w:rsidRPr="00552CCD">
              <w:rPr>
                <w:sz w:val="20"/>
                <w:szCs w:val="20"/>
                <w:lang w:val="en-US"/>
              </w:rPr>
              <w:t>W</w:t>
            </w:r>
            <w:r w:rsidRPr="00552CCD">
              <w:rPr>
                <w:sz w:val="20"/>
                <w:szCs w:val="20"/>
              </w:rPr>
              <w:t>e can expect that people will be more in favor of redistribution in the short term due to the corona crisis, but future research must show whether this is the case and how long it will last</w:t>
            </w:r>
          </w:p>
        </w:tc>
        <w:tc>
          <w:tcPr>
            <w:tcW w:w="3260" w:type="dxa"/>
          </w:tcPr>
          <w:p w14:paraId="228D9866" w14:textId="550FE124" w:rsidR="00B058FE" w:rsidRPr="00552CCD" w:rsidRDefault="00B058FE" w:rsidP="00ED74B1">
            <w:pPr>
              <w:rPr>
                <w:color w:val="000000" w:themeColor="text1"/>
                <w:sz w:val="20"/>
                <w:szCs w:val="20"/>
                <w:lang w:val="en-US"/>
              </w:rPr>
            </w:pPr>
            <w:r w:rsidRPr="00552CCD">
              <w:rPr>
                <w:color w:val="000000" w:themeColor="text1"/>
                <w:sz w:val="20"/>
                <w:szCs w:val="20"/>
                <w:lang w:val="en-US"/>
              </w:rPr>
              <w:t>Infected -&gt; Feeling of solidarity</w:t>
            </w:r>
          </w:p>
        </w:tc>
      </w:tr>
      <w:tr w:rsidR="00552CCD" w:rsidRPr="000778AD" w14:paraId="1B60923C" w14:textId="77777777" w:rsidTr="00552CCD">
        <w:tc>
          <w:tcPr>
            <w:tcW w:w="416" w:type="dxa"/>
          </w:tcPr>
          <w:p w14:paraId="3DAC2636" w14:textId="27804E16" w:rsidR="00552CCD" w:rsidRPr="00552CCD" w:rsidRDefault="00552CCD" w:rsidP="00ED74B1">
            <w:pPr>
              <w:rPr>
                <w:color w:val="000000" w:themeColor="text1"/>
                <w:sz w:val="20"/>
                <w:szCs w:val="20"/>
                <w:lang w:val="en-US"/>
              </w:rPr>
            </w:pPr>
            <w:r w:rsidRPr="00552CCD">
              <w:rPr>
                <w:color w:val="000000" w:themeColor="text1"/>
                <w:sz w:val="20"/>
                <w:szCs w:val="20"/>
                <w:lang w:val="en-US"/>
              </w:rPr>
              <w:t>14</w:t>
            </w:r>
          </w:p>
        </w:tc>
        <w:tc>
          <w:tcPr>
            <w:tcW w:w="627" w:type="dxa"/>
          </w:tcPr>
          <w:p w14:paraId="1042A84E" w14:textId="404C608F" w:rsidR="00552CCD" w:rsidRPr="00552CCD" w:rsidRDefault="00552CCD" w:rsidP="00ED74B1">
            <w:pPr>
              <w:rPr>
                <w:color w:val="000000" w:themeColor="text1"/>
                <w:sz w:val="20"/>
                <w:szCs w:val="20"/>
                <w:lang w:val="en-US"/>
              </w:rPr>
            </w:pPr>
            <w:r w:rsidRPr="00552CCD">
              <w:rPr>
                <w:color w:val="000000" w:themeColor="text1"/>
                <w:sz w:val="20"/>
                <w:szCs w:val="20"/>
                <w:lang w:val="en-US"/>
              </w:rPr>
              <w:t>14</w:t>
            </w:r>
          </w:p>
        </w:tc>
        <w:tc>
          <w:tcPr>
            <w:tcW w:w="4764" w:type="dxa"/>
          </w:tcPr>
          <w:p w14:paraId="683F8523" w14:textId="202C6799" w:rsidR="00552CCD" w:rsidRPr="00552CCD" w:rsidRDefault="00552CCD" w:rsidP="00ED74B1">
            <w:pPr>
              <w:rPr>
                <w:sz w:val="20"/>
                <w:szCs w:val="20"/>
                <w:lang w:val="en-US"/>
              </w:rPr>
            </w:pPr>
            <w:r w:rsidRPr="00552CCD">
              <w:rPr>
                <w:sz w:val="20"/>
                <w:szCs w:val="20"/>
                <w:lang w:val="en-US"/>
              </w:rPr>
              <w:t>Th</w:t>
            </w:r>
            <w:r w:rsidRPr="00552CCD">
              <w:rPr>
                <w:sz w:val="20"/>
                <w:szCs w:val="20"/>
              </w:rPr>
              <w:t>e unemployed are seen as more deserving of support during an economic crisis, because the blame for unemployment is often beyond their control, while in boom times the unemployed may be held more responsible for not having a job.</w:t>
            </w:r>
          </w:p>
        </w:tc>
        <w:tc>
          <w:tcPr>
            <w:tcW w:w="3260" w:type="dxa"/>
          </w:tcPr>
          <w:p w14:paraId="67E37085" w14:textId="4EE589D9" w:rsidR="00552CCD" w:rsidRPr="00552CCD" w:rsidRDefault="00552CCD" w:rsidP="00ED74B1">
            <w:pPr>
              <w:rPr>
                <w:color w:val="000000" w:themeColor="text1"/>
                <w:sz w:val="20"/>
                <w:szCs w:val="20"/>
                <w:lang w:val="en-US"/>
              </w:rPr>
            </w:pPr>
            <w:r w:rsidRPr="00552CCD">
              <w:rPr>
                <w:color w:val="000000" w:themeColor="text1"/>
                <w:sz w:val="20"/>
                <w:szCs w:val="20"/>
                <w:lang w:val="en-US"/>
              </w:rPr>
              <w:t>Available economic resources -&gt; Feeling of solidarity</w:t>
            </w:r>
          </w:p>
        </w:tc>
      </w:tr>
      <w:tr w:rsidR="00552CCD" w:rsidRPr="000778AD" w14:paraId="34DAB3A4" w14:textId="77777777" w:rsidTr="00552CCD">
        <w:tc>
          <w:tcPr>
            <w:tcW w:w="416" w:type="dxa"/>
          </w:tcPr>
          <w:p w14:paraId="007F19A7" w14:textId="16126529" w:rsidR="00552CCD" w:rsidRPr="00552CCD" w:rsidRDefault="00552CCD" w:rsidP="00ED74B1">
            <w:pPr>
              <w:rPr>
                <w:color w:val="000000" w:themeColor="text1"/>
                <w:sz w:val="20"/>
                <w:szCs w:val="20"/>
                <w:lang w:val="en-US"/>
              </w:rPr>
            </w:pPr>
            <w:r w:rsidRPr="00552CCD">
              <w:rPr>
                <w:color w:val="000000" w:themeColor="text1"/>
                <w:sz w:val="20"/>
                <w:szCs w:val="20"/>
                <w:lang w:val="en-US"/>
              </w:rPr>
              <w:t>15</w:t>
            </w:r>
          </w:p>
        </w:tc>
        <w:tc>
          <w:tcPr>
            <w:tcW w:w="627" w:type="dxa"/>
          </w:tcPr>
          <w:p w14:paraId="2707D810" w14:textId="7389602B" w:rsidR="00552CCD" w:rsidRPr="00552CCD" w:rsidRDefault="00552CCD" w:rsidP="00ED74B1">
            <w:pPr>
              <w:rPr>
                <w:color w:val="000000" w:themeColor="text1"/>
                <w:sz w:val="20"/>
                <w:szCs w:val="20"/>
                <w:lang w:val="en-US"/>
              </w:rPr>
            </w:pPr>
            <w:r w:rsidRPr="00552CCD">
              <w:rPr>
                <w:color w:val="000000" w:themeColor="text1"/>
                <w:sz w:val="20"/>
                <w:szCs w:val="20"/>
                <w:lang w:val="en-US"/>
              </w:rPr>
              <w:t>15</w:t>
            </w:r>
          </w:p>
        </w:tc>
        <w:tc>
          <w:tcPr>
            <w:tcW w:w="4764" w:type="dxa"/>
          </w:tcPr>
          <w:p w14:paraId="72F8A0B9" w14:textId="53EB6DCC" w:rsidR="00552CCD" w:rsidRPr="00552CCD" w:rsidRDefault="00552CCD" w:rsidP="00ED74B1">
            <w:pPr>
              <w:rPr>
                <w:sz w:val="20"/>
                <w:szCs w:val="20"/>
                <w:lang w:val="en-US"/>
              </w:rPr>
            </w:pPr>
            <w:r w:rsidRPr="00552CCD">
              <w:rPr>
                <w:sz w:val="20"/>
                <w:szCs w:val="20"/>
              </w:rPr>
              <w:t>This turning inward manifests itself not only literally in social distancing, but also mentally in a decline in tolerance and openness during an epidemic (Schaller and Murray 2008). This translates into, among other things, an increase in divergent conservative views, such as a more negative attitude towards immigration</w:t>
            </w:r>
          </w:p>
        </w:tc>
        <w:tc>
          <w:tcPr>
            <w:tcW w:w="3260" w:type="dxa"/>
          </w:tcPr>
          <w:p w14:paraId="473AC66A" w14:textId="3AC96FD4" w:rsidR="00552CCD" w:rsidRPr="00552CCD" w:rsidRDefault="00552CCD" w:rsidP="00ED74B1">
            <w:pPr>
              <w:rPr>
                <w:color w:val="000000" w:themeColor="text1"/>
                <w:sz w:val="20"/>
                <w:szCs w:val="20"/>
                <w:lang w:val="en-US"/>
              </w:rPr>
            </w:pPr>
            <w:r w:rsidRPr="00552CCD">
              <w:rPr>
                <w:color w:val="000000" w:themeColor="text1"/>
                <w:sz w:val="20"/>
                <w:szCs w:val="20"/>
                <w:lang w:val="en-US"/>
              </w:rPr>
              <w:t>Infected -&gt; Conservatism -&gt; Frequency of stigmatization</w:t>
            </w:r>
          </w:p>
        </w:tc>
      </w:tr>
      <w:tr w:rsidR="00552CCD" w:rsidRPr="000778AD" w14:paraId="693ED46D" w14:textId="77777777" w:rsidTr="00552CCD">
        <w:tc>
          <w:tcPr>
            <w:tcW w:w="416" w:type="dxa"/>
          </w:tcPr>
          <w:p w14:paraId="34F069F1" w14:textId="2C4B8530" w:rsidR="00552CCD" w:rsidRPr="00552CCD" w:rsidRDefault="00552CCD" w:rsidP="00ED74B1">
            <w:pPr>
              <w:rPr>
                <w:color w:val="000000" w:themeColor="text1"/>
                <w:sz w:val="20"/>
                <w:szCs w:val="20"/>
                <w:lang w:val="en-US"/>
              </w:rPr>
            </w:pPr>
            <w:r w:rsidRPr="00552CCD">
              <w:rPr>
                <w:color w:val="000000" w:themeColor="text1"/>
                <w:sz w:val="20"/>
                <w:szCs w:val="20"/>
                <w:lang w:val="en-US"/>
              </w:rPr>
              <w:t>16</w:t>
            </w:r>
          </w:p>
        </w:tc>
        <w:tc>
          <w:tcPr>
            <w:tcW w:w="627" w:type="dxa"/>
          </w:tcPr>
          <w:p w14:paraId="061D08C3" w14:textId="6473658B" w:rsidR="00552CCD" w:rsidRPr="00552CCD" w:rsidRDefault="00552CCD" w:rsidP="00ED74B1">
            <w:pPr>
              <w:rPr>
                <w:color w:val="000000" w:themeColor="text1"/>
                <w:sz w:val="20"/>
                <w:szCs w:val="20"/>
                <w:lang w:val="en-US"/>
              </w:rPr>
            </w:pPr>
            <w:r w:rsidRPr="00552CCD">
              <w:rPr>
                <w:color w:val="000000" w:themeColor="text1"/>
                <w:sz w:val="20"/>
                <w:szCs w:val="20"/>
                <w:lang w:val="en-US"/>
              </w:rPr>
              <w:t>19</w:t>
            </w:r>
          </w:p>
        </w:tc>
        <w:tc>
          <w:tcPr>
            <w:tcW w:w="4764" w:type="dxa"/>
          </w:tcPr>
          <w:p w14:paraId="22E5DBE3" w14:textId="2478E1DF" w:rsidR="00552CCD" w:rsidRPr="00552CCD" w:rsidRDefault="00552CCD" w:rsidP="00ED74B1">
            <w:pPr>
              <w:rPr>
                <w:sz w:val="20"/>
                <w:szCs w:val="20"/>
              </w:rPr>
            </w:pPr>
            <w:r w:rsidRPr="00552CCD">
              <w:rPr>
                <w:sz w:val="20"/>
                <w:szCs w:val="20"/>
                <w:lang w:val="en-US"/>
              </w:rPr>
              <w:t>P</w:t>
            </w:r>
            <w:r w:rsidRPr="00552CCD">
              <w:rPr>
                <w:sz w:val="20"/>
                <w:szCs w:val="20"/>
              </w:rPr>
              <w:t>eople with more institutional trust often also have more trust in their fellow human beings</w:t>
            </w:r>
          </w:p>
        </w:tc>
        <w:tc>
          <w:tcPr>
            <w:tcW w:w="3260" w:type="dxa"/>
          </w:tcPr>
          <w:p w14:paraId="67314C09" w14:textId="230865D4" w:rsidR="00552CCD" w:rsidRPr="00552CCD" w:rsidRDefault="00552CCD" w:rsidP="00ED74B1">
            <w:pPr>
              <w:rPr>
                <w:color w:val="000000" w:themeColor="text1"/>
                <w:sz w:val="20"/>
                <w:szCs w:val="20"/>
                <w:lang w:val="en-US"/>
              </w:rPr>
            </w:pPr>
            <w:r w:rsidRPr="00552CCD">
              <w:rPr>
                <w:color w:val="000000" w:themeColor="text1"/>
                <w:sz w:val="20"/>
                <w:szCs w:val="20"/>
                <w:lang w:val="en-US"/>
              </w:rPr>
              <w:t>Institutional trust -&gt; Feeling of solidarity</w:t>
            </w:r>
          </w:p>
        </w:tc>
      </w:tr>
      <w:tr w:rsidR="00552CCD" w:rsidRPr="000778AD" w14:paraId="3695A565" w14:textId="77777777" w:rsidTr="00552CCD">
        <w:tc>
          <w:tcPr>
            <w:tcW w:w="416" w:type="dxa"/>
          </w:tcPr>
          <w:p w14:paraId="26D7517B" w14:textId="2D22111D" w:rsidR="00552CCD" w:rsidRPr="00552CCD" w:rsidRDefault="00552CCD" w:rsidP="00ED74B1">
            <w:pPr>
              <w:rPr>
                <w:color w:val="000000" w:themeColor="text1"/>
                <w:sz w:val="20"/>
                <w:szCs w:val="20"/>
                <w:lang w:val="en-US"/>
              </w:rPr>
            </w:pPr>
            <w:r w:rsidRPr="00552CCD">
              <w:rPr>
                <w:color w:val="000000" w:themeColor="text1"/>
                <w:sz w:val="20"/>
                <w:szCs w:val="20"/>
                <w:lang w:val="en-US"/>
              </w:rPr>
              <w:t>17</w:t>
            </w:r>
          </w:p>
        </w:tc>
        <w:tc>
          <w:tcPr>
            <w:tcW w:w="627" w:type="dxa"/>
          </w:tcPr>
          <w:p w14:paraId="2D5DB4DA" w14:textId="307DE784" w:rsidR="00552CCD" w:rsidRPr="00552CCD" w:rsidRDefault="00552CCD" w:rsidP="00ED74B1">
            <w:pPr>
              <w:rPr>
                <w:color w:val="000000" w:themeColor="text1"/>
                <w:sz w:val="20"/>
                <w:szCs w:val="20"/>
                <w:lang w:val="en-US"/>
              </w:rPr>
            </w:pPr>
            <w:r w:rsidRPr="00552CCD">
              <w:rPr>
                <w:color w:val="000000" w:themeColor="text1"/>
                <w:sz w:val="20"/>
                <w:szCs w:val="20"/>
                <w:lang w:val="en-US"/>
              </w:rPr>
              <w:t>20</w:t>
            </w:r>
          </w:p>
        </w:tc>
        <w:tc>
          <w:tcPr>
            <w:tcW w:w="4764" w:type="dxa"/>
          </w:tcPr>
          <w:p w14:paraId="7EEFC883" w14:textId="25F6D8C7" w:rsidR="00552CCD" w:rsidRPr="00552CCD" w:rsidRDefault="00552CCD" w:rsidP="00ED74B1">
            <w:pPr>
              <w:rPr>
                <w:sz w:val="20"/>
                <w:szCs w:val="20"/>
              </w:rPr>
            </w:pPr>
            <w:r w:rsidRPr="00552CCD">
              <w:rPr>
                <w:sz w:val="20"/>
                <w:szCs w:val="20"/>
              </w:rPr>
              <w:t>People are more likely to turn to the in-group, which increases social exclusion, which can manifest itself in discrimination.</w:t>
            </w:r>
          </w:p>
        </w:tc>
        <w:tc>
          <w:tcPr>
            <w:tcW w:w="3260" w:type="dxa"/>
          </w:tcPr>
          <w:p w14:paraId="4FEC4811" w14:textId="43266513" w:rsidR="00552CCD" w:rsidRPr="00552CCD" w:rsidRDefault="00552CCD" w:rsidP="00ED74B1">
            <w:pPr>
              <w:rPr>
                <w:color w:val="000000" w:themeColor="text1"/>
                <w:sz w:val="20"/>
                <w:szCs w:val="20"/>
                <w:lang w:val="en-US"/>
              </w:rPr>
            </w:pPr>
            <w:r w:rsidRPr="00552CCD">
              <w:rPr>
                <w:color w:val="000000" w:themeColor="text1"/>
                <w:sz w:val="20"/>
                <w:szCs w:val="20"/>
                <w:lang w:val="en-US"/>
              </w:rPr>
              <w:t>Conservatism -&gt; Frequency of stigmatization -&gt; Frequency of discrimination</w:t>
            </w:r>
          </w:p>
        </w:tc>
      </w:tr>
      <w:tr w:rsidR="00552CCD" w:rsidRPr="000778AD" w14:paraId="7E3A1A2A" w14:textId="77777777" w:rsidTr="00552CCD">
        <w:tc>
          <w:tcPr>
            <w:tcW w:w="416" w:type="dxa"/>
          </w:tcPr>
          <w:p w14:paraId="4EC8178A" w14:textId="713C8301" w:rsidR="00552CCD" w:rsidRPr="00552CCD" w:rsidRDefault="00552CCD" w:rsidP="00ED74B1">
            <w:pPr>
              <w:rPr>
                <w:color w:val="000000" w:themeColor="text1"/>
                <w:sz w:val="20"/>
                <w:szCs w:val="20"/>
                <w:lang w:val="en-US"/>
              </w:rPr>
            </w:pPr>
            <w:r w:rsidRPr="00552CCD">
              <w:rPr>
                <w:color w:val="000000" w:themeColor="text1"/>
                <w:sz w:val="20"/>
                <w:szCs w:val="20"/>
                <w:lang w:val="en-US"/>
              </w:rPr>
              <w:lastRenderedPageBreak/>
              <w:t>18</w:t>
            </w:r>
          </w:p>
        </w:tc>
        <w:tc>
          <w:tcPr>
            <w:tcW w:w="627" w:type="dxa"/>
          </w:tcPr>
          <w:p w14:paraId="6D3BE5D1" w14:textId="70FF50FD" w:rsidR="00552CCD" w:rsidRPr="00552CCD" w:rsidRDefault="00552CCD" w:rsidP="00ED74B1">
            <w:pPr>
              <w:rPr>
                <w:color w:val="000000" w:themeColor="text1"/>
                <w:sz w:val="20"/>
                <w:szCs w:val="20"/>
                <w:lang w:val="en-US"/>
              </w:rPr>
            </w:pPr>
            <w:r w:rsidRPr="00552CCD">
              <w:rPr>
                <w:color w:val="000000" w:themeColor="text1"/>
                <w:sz w:val="20"/>
                <w:szCs w:val="20"/>
                <w:lang w:val="en-US"/>
              </w:rPr>
              <w:t>21</w:t>
            </w:r>
          </w:p>
        </w:tc>
        <w:tc>
          <w:tcPr>
            <w:tcW w:w="4764" w:type="dxa"/>
          </w:tcPr>
          <w:p w14:paraId="2DEC7737" w14:textId="335FE5AA" w:rsidR="00552CCD" w:rsidRPr="00552CCD" w:rsidRDefault="00552CCD" w:rsidP="00ED74B1">
            <w:pPr>
              <w:rPr>
                <w:sz w:val="20"/>
                <w:szCs w:val="20"/>
              </w:rPr>
            </w:pPr>
            <w:r w:rsidRPr="00552CCD">
              <w:rPr>
                <w:sz w:val="20"/>
                <w:szCs w:val="20"/>
                <w:lang w:val="en-US"/>
              </w:rPr>
              <w:t>I</w:t>
            </w:r>
            <w:r w:rsidRPr="00552CCD">
              <w:rPr>
                <w:sz w:val="20"/>
                <w:szCs w:val="20"/>
              </w:rPr>
              <w:t>t can be expected that the corona crisis will also lead to an increase in discrimination</w:t>
            </w:r>
          </w:p>
        </w:tc>
        <w:tc>
          <w:tcPr>
            <w:tcW w:w="3260" w:type="dxa"/>
          </w:tcPr>
          <w:p w14:paraId="63A64F39" w14:textId="511C44C0" w:rsidR="00552CCD" w:rsidRPr="00552CCD" w:rsidRDefault="00552CCD" w:rsidP="00ED74B1">
            <w:pPr>
              <w:rPr>
                <w:color w:val="000000" w:themeColor="text1"/>
                <w:sz w:val="20"/>
                <w:szCs w:val="20"/>
                <w:lang w:val="en-US"/>
              </w:rPr>
            </w:pPr>
            <w:r w:rsidRPr="00552CCD">
              <w:rPr>
                <w:color w:val="000000" w:themeColor="text1"/>
                <w:sz w:val="20"/>
                <w:szCs w:val="20"/>
                <w:lang w:val="en-US"/>
              </w:rPr>
              <w:t xml:space="preserve">Infected -&gt; </w:t>
            </w:r>
            <w:r w:rsidRPr="00552CCD">
              <w:rPr>
                <w:color w:val="000000" w:themeColor="text1"/>
                <w:sz w:val="20"/>
                <w:szCs w:val="20"/>
                <w:lang w:val="en-US"/>
              </w:rPr>
              <w:t>Conservatism -&gt; Frequency of stigmatization -&gt; Frequency of discrimination</w:t>
            </w:r>
          </w:p>
        </w:tc>
      </w:tr>
    </w:tbl>
    <w:p w14:paraId="75375EA9" w14:textId="1F3FF6B7" w:rsidR="00551B3B" w:rsidRDefault="00ED74B1" w:rsidP="00851F6F">
      <w:pPr>
        <w:pStyle w:val="Caption"/>
      </w:pPr>
      <w:r w:rsidRPr="00AC625C">
        <w:t xml:space="preserve">Table </w:t>
      </w:r>
      <w:r w:rsidR="00B058FE">
        <w:t>1</w:t>
      </w:r>
      <w:r w:rsidRPr="00AC625C">
        <w:t xml:space="preserve">. Causal links found within </w:t>
      </w:r>
      <w:proofErr w:type="spellStart"/>
      <w:r w:rsidR="00080B4C">
        <w:t>S</w:t>
      </w:r>
      <w:r w:rsidR="00080B4C" w:rsidRPr="00080B4C">
        <w:t>ociaal</w:t>
      </w:r>
      <w:proofErr w:type="spellEnd"/>
      <w:r w:rsidR="00080B4C" w:rsidRPr="00080B4C">
        <w:t xml:space="preserve"> </w:t>
      </w:r>
      <w:proofErr w:type="spellStart"/>
      <w:r w:rsidR="00080B4C" w:rsidRPr="00080B4C">
        <w:t>en</w:t>
      </w:r>
      <w:proofErr w:type="spellEnd"/>
      <w:r w:rsidR="00080B4C" w:rsidRPr="00080B4C">
        <w:t xml:space="preserve"> </w:t>
      </w:r>
      <w:proofErr w:type="spellStart"/>
      <w:r w:rsidR="00080B4C">
        <w:t>C</w:t>
      </w:r>
      <w:r w:rsidR="00080B4C" w:rsidRPr="00080B4C">
        <w:t>ultureel</w:t>
      </w:r>
      <w:proofErr w:type="spellEnd"/>
      <w:r w:rsidR="00080B4C" w:rsidRPr="00080B4C">
        <w:t xml:space="preserve"> </w:t>
      </w:r>
      <w:proofErr w:type="spellStart"/>
      <w:r w:rsidR="00080B4C">
        <w:t>P</w:t>
      </w:r>
      <w:r w:rsidR="00080B4C" w:rsidRPr="00080B4C">
        <w:t>lanbureau</w:t>
      </w:r>
      <w:proofErr w:type="spellEnd"/>
      <w:r w:rsidR="00AC625C" w:rsidRPr="00AC625C">
        <w:t xml:space="preserve"> </w:t>
      </w:r>
      <w:r w:rsidRPr="00AC625C">
        <w:t>(2020)</w:t>
      </w:r>
    </w:p>
    <w:p w14:paraId="39675499" w14:textId="77777777" w:rsidR="0097172B" w:rsidRDefault="0097172B" w:rsidP="00551B3B">
      <w:pPr>
        <w:rPr>
          <w:b/>
          <w:bCs/>
        </w:rPr>
      </w:pPr>
    </w:p>
    <w:p w14:paraId="300A9951" w14:textId="63867C9C" w:rsidR="00551B3B" w:rsidRPr="00551B3B" w:rsidRDefault="00551B3B" w:rsidP="00080B4C">
      <w:pPr>
        <w:spacing w:line="360" w:lineRule="auto"/>
        <w:rPr>
          <w:b/>
          <w:bCs/>
        </w:rPr>
      </w:pPr>
      <w:r w:rsidRPr="00551B3B">
        <w:rPr>
          <w:b/>
          <w:bCs/>
        </w:rPr>
        <w:t>References</w:t>
      </w:r>
    </w:p>
    <w:p w14:paraId="5E5451FC" w14:textId="6A248C4C" w:rsidR="0055099C" w:rsidRPr="0055099C" w:rsidRDefault="00080B4C" w:rsidP="0055099C">
      <w:r>
        <w:rPr>
          <w:lang w:val="en-US"/>
        </w:rPr>
        <w:t>S</w:t>
      </w:r>
      <w:r w:rsidRPr="00080B4C">
        <w:t xml:space="preserve">ociaal en </w:t>
      </w:r>
      <w:r>
        <w:rPr>
          <w:lang w:val="en-US"/>
        </w:rPr>
        <w:t>C</w:t>
      </w:r>
      <w:r w:rsidRPr="00080B4C">
        <w:t xml:space="preserve">ultureel </w:t>
      </w:r>
      <w:r>
        <w:rPr>
          <w:lang w:val="en-US"/>
        </w:rPr>
        <w:t>P</w:t>
      </w:r>
      <w:r w:rsidRPr="00080B4C">
        <w:t>lanbureau</w:t>
      </w:r>
      <w:r w:rsidR="0055099C" w:rsidRPr="0055099C">
        <w:rPr>
          <w:color w:val="000000"/>
          <w:shd w:val="clear" w:color="auto" w:fill="FFFFFF"/>
        </w:rPr>
        <w:t xml:space="preserve"> </w:t>
      </w:r>
      <w:r w:rsidR="0055099C" w:rsidRPr="0055099C">
        <w:t xml:space="preserve">(2020) </w:t>
      </w:r>
      <w:r>
        <w:rPr>
          <w:i/>
          <w:lang w:val="en-US"/>
        </w:rPr>
        <w:t>Socio-cultural consequences of corona: Expected consequences of corona on views and attitudes of the Dutch</w:t>
      </w:r>
      <w:r w:rsidR="0055099C" w:rsidRPr="0055099C">
        <w:rPr>
          <w:i/>
        </w:rPr>
        <w:t>.</w:t>
      </w:r>
      <w:r w:rsidR="0055099C" w:rsidRPr="0055099C">
        <w:t xml:space="preserve"> </w:t>
      </w:r>
      <w:r w:rsidRPr="00080B4C">
        <w:t>https://www.scp.nl/publicaties/publicaties/2020/07/17/verwachte-gevolgen-van-corona-voor-de-opvattingen-en-houdingen-van-nederlanders</w:t>
      </w:r>
      <w:r w:rsidR="0055099C" w:rsidRPr="0055099C">
        <w:t xml:space="preserve">#, accessed on </w:t>
      </w:r>
      <w:r>
        <w:rPr>
          <w:lang w:val="en-US"/>
        </w:rPr>
        <w:t>21</w:t>
      </w:r>
      <w:r w:rsidR="0055099C" w:rsidRPr="0055099C">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80B4C"/>
    <w:rsid w:val="00094EBF"/>
    <w:rsid w:val="001A0451"/>
    <w:rsid w:val="001C2693"/>
    <w:rsid w:val="001E635A"/>
    <w:rsid w:val="001F653B"/>
    <w:rsid w:val="00313434"/>
    <w:rsid w:val="0039501B"/>
    <w:rsid w:val="00407800"/>
    <w:rsid w:val="00416EE3"/>
    <w:rsid w:val="00451284"/>
    <w:rsid w:val="004845CC"/>
    <w:rsid w:val="004A19B3"/>
    <w:rsid w:val="004A7DAC"/>
    <w:rsid w:val="004B0639"/>
    <w:rsid w:val="004B4301"/>
    <w:rsid w:val="004F28DE"/>
    <w:rsid w:val="005109D3"/>
    <w:rsid w:val="0055099C"/>
    <w:rsid w:val="00551B3B"/>
    <w:rsid w:val="00552CCD"/>
    <w:rsid w:val="00555F9D"/>
    <w:rsid w:val="005D340D"/>
    <w:rsid w:val="0060512C"/>
    <w:rsid w:val="006213F0"/>
    <w:rsid w:val="00626184"/>
    <w:rsid w:val="006344D0"/>
    <w:rsid w:val="0069093C"/>
    <w:rsid w:val="006E444C"/>
    <w:rsid w:val="00741D9D"/>
    <w:rsid w:val="007A742E"/>
    <w:rsid w:val="007B6E62"/>
    <w:rsid w:val="007E7175"/>
    <w:rsid w:val="00851F6F"/>
    <w:rsid w:val="00880809"/>
    <w:rsid w:val="008A1A62"/>
    <w:rsid w:val="008F2C0B"/>
    <w:rsid w:val="0097172B"/>
    <w:rsid w:val="00AC43CE"/>
    <w:rsid w:val="00AC625C"/>
    <w:rsid w:val="00B058FE"/>
    <w:rsid w:val="00BB0057"/>
    <w:rsid w:val="00BD41CE"/>
    <w:rsid w:val="00BD7C26"/>
    <w:rsid w:val="00BF12D6"/>
    <w:rsid w:val="00C558C6"/>
    <w:rsid w:val="00D22190"/>
    <w:rsid w:val="00D71721"/>
    <w:rsid w:val="00D722C3"/>
    <w:rsid w:val="00E02FE8"/>
    <w:rsid w:val="00E716C7"/>
    <w:rsid w:val="00EA3DBE"/>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969008">
      <w:bodyDiv w:val="1"/>
      <w:marLeft w:val="0"/>
      <w:marRight w:val="0"/>
      <w:marTop w:val="0"/>
      <w:marBottom w:val="0"/>
      <w:divBdr>
        <w:top w:val="none" w:sz="0" w:space="0" w:color="auto"/>
        <w:left w:val="none" w:sz="0" w:space="0" w:color="auto"/>
        <w:bottom w:val="none" w:sz="0" w:space="0" w:color="auto"/>
        <w:right w:val="none" w:sz="0" w:space="0" w:color="auto"/>
      </w:divBdr>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4</cp:revision>
  <dcterms:created xsi:type="dcterms:W3CDTF">2020-10-21T12:28:00Z</dcterms:created>
  <dcterms:modified xsi:type="dcterms:W3CDTF">2020-10-21T13:51:00Z</dcterms:modified>
</cp:coreProperties>
</file>