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EEC870" w14:textId="0CEB2931" w:rsidR="00A76889" w:rsidRPr="00E32F49" w:rsidRDefault="00F752AE" w:rsidP="00E32F49">
      <w:pPr>
        <w:adjustRightInd w:val="0"/>
        <w:snapToGrid w:val="0"/>
        <w:rPr>
          <w:bCs/>
          <w:spacing w:val="-2"/>
        </w:rPr>
      </w:pPr>
      <w:r w:rsidRPr="00E32F49">
        <w:rPr>
          <w:bCs/>
          <w:spacing w:val="-2"/>
        </w:rPr>
        <w:t>Separate File</w:t>
      </w:r>
    </w:p>
    <w:p w14:paraId="2DD46FDA" w14:textId="56F75889" w:rsidR="00D41FE9" w:rsidRPr="00E32F49" w:rsidRDefault="00E32F49" w:rsidP="00E32F49">
      <w:pPr>
        <w:pStyle w:val="MDPI41tablecaption"/>
      </w:pPr>
      <w:r w:rsidRPr="00E32F49">
        <w:rPr>
          <w:b/>
        </w:rPr>
        <w:t xml:space="preserve">Table </w:t>
      </w:r>
      <w:r>
        <w:rPr>
          <w:b/>
        </w:rPr>
        <w:t>S</w:t>
      </w:r>
      <w:r w:rsidRPr="00E32F49">
        <w:rPr>
          <w:b/>
        </w:rPr>
        <w:t>1.</w:t>
      </w:r>
      <w:r w:rsidR="00D41FE9" w:rsidRPr="00E32F49">
        <w:rPr>
          <w:b/>
        </w:rPr>
        <w:t xml:space="preserve"> </w:t>
      </w:r>
      <w:bookmarkStart w:id="0" w:name="OLE_LINK133"/>
      <w:bookmarkStart w:id="1" w:name="OLE_LINK134"/>
      <w:r w:rsidR="00D41FE9" w:rsidRPr="00E32F49">
        <w:t>Areal extent and volumetric water loads for every meter of water level from 500 m to 640 m calculated from each of the five DSMs</w:t>
      </w:r>
      <w:bookmarkEnd w:id="0"/>
      <w:bookmarkEnd w:id="1"/>
      <w:r w:rsidR="00D41FE9" w:rsidRPr="00E32F49">
        <w:t>.</w:t>
      </w:r>
    </w:p>
    <w:p w14:paraId="0AFDDF35" w14:textId="77777777" w:rsidR="00B0039B" w:rsidRPr="00E32F49" w:rsidRDefault="00B0039B" w:rsidP="00E32F49">
      <w:pPr>
        <w:adjustRightInd w:val="0"/>
        <w:snapToGrid w:val="0"/>
      </w:pPr>
    </w:p>
    <w:p w14:paraId="4868B7EA" w14:textId="112D3045" w:rsidR="00B0039B" w:rsidRPr="00E32F49" w:rsidRDefault="00B0039B" w:rsidP="00E32F49">
      <w:pPr>
        <w:adjustRightInd w:val="0"/>
        <w:snapToGrid w:val="0"/>
      </w:pPr>
      <w:r w:rsidRPr="00E32F49">
        <w:rPr>
          <w:rFonts w:ascii="Myriad Pro" w:hAnsi="Myriad Pro"/>
          <w:b/>
          <w:bCs/>
          <w:noProof/>
          <w:kern w:val="32"/>
          <w:sz w:val="22"/>
          <w:szCs w:val="22"/>
          <w:lang w:eastAsia="zh-CN"/>
        </w:rPr>
        <w:drawing>
          <wp:inline distT="0" distB="0" distL="0" distR="0" wp14:anchorId="0DA189D5" wp14:editId="2082E675">
            <wp:extent cx="5486400" cy="5141595"/>
            <wp:effectExtent l="25400" t="25400" r="25400" b="14605"/>
            <wp:docPr id="9" name="Picture 9" descr="AM1:Users:amadson:Dropbox:GradSchool:PhD_Work:GERD_Work:manuscript:figs:Supplementary:Supp_Fig2_avgAllMonth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1:Users:amadson:Dropbox:GradSchool:PhD_Work:GERD_Work:manuscript:figs:Supplementary:Supp_Fig2_avgAllMonthlyFillingCurve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393B5C0E" w14:textId="543FD6AF" w:rsidR="00B0039B" w:rsidRPr="00E32F49" w:rsidRDefault="00E32F49" w:rsidP="00E32F49">
      <w:pPr>
        <w:pStyle w:val="MDPI51figurecaption"/>
      </w:pPr>
      <w:r w:rsidRPr="00E32F49">
        <w:rPr>
          <w:b/>
        </w:rPr>
        <w:t xml:space="preserve">Figure </w:t>
      </w:r>
      <w:r>
        <w:rPr>
          <w:b/>
        </w:rPr>
        <w:t>S</w:t>
      </w:r>
      <w:r w:rsidRPr="00E32F49">
        <w:rPr>
          <w:b/>
        </w:rPr>
        <w:t>1.</w:t>
      </w:r>
      <w:r w:rsidR="00B0039B" w:rsidRPr="00E32F49">
        <w:rPr>
          <w:b/>
        </w:rPr>
        <w:t xml:space="preserve"> </w:t>
      </w:r>
      <w:bookmarkStart w:id="2" w:name="OLE_LINK135"/>
      <w:bookmarkStart w:id="3" w:name="OLE_LINK136"/>
      <w:r w:rsidR="00B0039B" w:rsidRPr="00E32F49">
        <w:t>Monthly inflow, outflow, and water storage values for each of the average (A) water year impoundment scenarios</w:t>
      </w:r>
      <w:bookmarkEnd w:id="2"/>
      <w:bookmarkEnd w:id="3"/>
      <w:r w:rsidR="00B0039B" w:rsidRPr="00E32F49">
        <w:t>. Note that integers after "A" in the sub-plot titles denote outflow rates as a percentage of the total inflow.</w:t>
      </w:r>
    </w:p>
    <w:p w14:paraId="16E4CF2A" w14:textId="77777777" w:rsidR="00B0039B" w:rsidRPr="00E32F49" w:rsidRDefault="00B0039B" w:rsidP="00E32F49">
      <w:pPr>
        <w:adjustRightInd w:val="0"/>
        <w:snapToGrid w:val="0"/>
      </w:pPr>
    </w:p>
    <w:p w14:paraId="713E183B" w14:textId="744C80F4" w:rsidR="00B0039B" w:rsidRPr="00E32F49" w:rsidRDefault="00B0039B" w:rsidP="00E32F49">
      <w:pPr>
        <w:adjustRightInd w:val="0"/>
        <w:snapToGrid w:val="0"/>
      </w:pPr>
      <w:r w:rsidRPr="00E32F49">
        <w:rPr>
          <w:rFonts w:ascii="Myriad Pro" w:hAnsi="Myriad Pro"/>
          <w:noProof/>
          <w:sz w:val="22"/>
          <w:szCs w:val="22"/>
          <w:lang w:eastAsia="zh-CN"/>
        </w:rPr>
        <w:lastRenderedPageBreak/>
        <w:drawing>
          <wp:inline distT="0" distB="0" distL="0" distR="0" wp14:anchorId="35FBF9FE" wp14:editId="05DCFFE8">
            <wp:extent cx="5486400" cy="5141595"/>
            <wp:effectExtent l="25400" t="25400" r="25400" b="14605"/>
            <wp:docPr id="11" name="Picture 11" descr="AM1:Users:amadson:Dropbox:GradSchool:PhD_Work:GERD_Work:manuscript:figs:Supplementary:Supp_Fig3_dryAllMonth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1:Users:amadson:Dropbox:GradSchool:PhD_Work:GERD_Work:manuscript:figs:Supplementary:Supp_Fig3_dryAllMonthlyFillingCurve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4E1749A2" w14:textId="23FB857E" w:rsidR="00B0039B" w:rsidRPr="00E32F49" w:rsidRDefault="00E32F49" w:rsidP="00E32F49">
      <w:pPr>
        <w:pStyle w:val="MDPI51figurecaption"/>
      </w:pPr>
      <w:r w:rsidRPr="00E32F49">
        <w:rPr>
          <w:b/>
        </w:rPr>
        <w:t xml:space="preserve">Figure </w:t>
      </w:r>
      <w:r>
        <w:rPr>
          <w:b/>
        </w:rPr>
        <w:t>S</w:t>
      </w:r>
      <w:r w:rsidRPr="00E32F49">
        <w:rPr>
          <w:b/>
        </w:rPr>
        <w:t>2.</w:t>
      </w:r>
      <w:r w:rsidR="00B0039B" w:rsidRPr="00E32F49">
        <w:rPr>
          <w:b/>
        </w:rPr>
        <w:t xml:space="preserve"> </w:t>
      </w:r>
      <w:bookmarkStart w:id="4" w:name="OLE_LINK137"/>
      <w:bookmarkStart w:id="5" w:name="OLE_LINK138"/>
      <w:r w:rsidR="00B0039B" w:rsidRPr="00E32F49">
        <w:t>Monthly inflow, outflow, and water storage values for each of the average-dry (AD) water year impoundment scenarios</w:t>
      </w:r>
      <w:bookmarkEnd w:id="4"/>
      <w:bookmarkEnd w:id="5"/>
      <w:r w:rsidR="00B0039B" w:rsidRPr="00E32F49">
        <w:t>. Note that integers after "AD" in the sub-plot titles denote outflow rates as a percentage of the total inflow.</w:t>
      </w:r>
    </w:p>
    <w:p w14:paraId="62EC3F72" w14:textId="77777777" w:rsidR="00B0039B" w:rsidRPr="00E32F49" w:rsidRDefault="00B0039B" w:rsidP="00E32F49">
      <w:pPr>
        <w:adjustRightInd w:val="0"/>
        <w:snapToGrid w:val="0"/>
        <w:rPr>
          <w:b/>
        </w:rPr>
      </w:pPr>
    </w:p>
    <w:p w14:paraId="2DFFF3F9" w14:textId="1AE4A725" w:rsidR="00B0039B" w:rsidRPr="00E32F49" w:rsidRDefault="00E22A1C" w:rsidP="00E32F49">
      <w:pPr>
        <w:adjustRightInd w:val="0"/>
        <w:snapToGrid w:val="0"/>
        <w:rPr>
          <w:b/>
        </w:rPr>
      </w:pPr>
      <w:r w:rsidRPr="00E32F49">
        <w:rPr>
          <w:rFonts w:ascii="Myriad Pro" w:hAnsi="Myriad Pro"/>
          <w:noProof/>
          <w:sz w:val="22"/>
          <w:szCs w:val="22"/>
          <w:lang w:eastAsia="zh-CN"/>
        </w:rPr>
        <w:lastRenderedPageBreak/>
        <w:drawing>
          <wp:inline distT="0" distB="0" distL="0" distR="0" wp14:anchorId="50ED0258" wp14:editId="2F8F16D9">
            <wp:extent cx="5486400" cy="5141595"/>
            <wp:effectExtent l="25400" t="25400" r="25400" b="14605"/>
            <wp:docPr id="12" name="Picture 12" descr="AM1:Users:amadson:Dropbox:GradSchool:PhD_Work:GERD_Work:manuscript:figs:Supplementary:Supp_Fig4_wetAllMonth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1:Users:amadson:Dropbox:GradSchool:PhD_Work:GERD_Work:manuscript:figs:Supplementary:Supp_Fig4_wetAllMonthlyFillingCurve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0C079ADA" w14:textId="5E5C93F4" w:rsidR="00B0039B" w:rsidRPr="00E32F49" w:rsidRDefault="00E32F49" w:rsidP="00E32F49">
      <w:pPr>
        <w:pStyle w:val="MDPI51figurecaption"/>
      </w:pPr>
      <w:bookmarkStart w:id="6" w:name="OLE_LINK57"/>
      <w:bookmarkStart w:id="7" w:name="OLE_LINK58"/>
      <w:r w:rsidRPr="00E32F49">
        <w:rPr>
          <w:b/>
        </w:rPr>
        <w:t xml:space="preserve">Figure </w:t>
      </w:r>
      <w:r>
        <w:rPr>
          <w:b/>
        </w:rPr>
        <w:t>S</w:t>
      </w:r>
      <w:r w:rsidRPr="00E32F49">
        <w:rPr>
          <w:b/>
        </w:rPr>
        <w:t>3.</w:t>
      </w:r>
      <w:r w:rsidR="00B0039B" w:rsidRPr="00E32F49">
        <w:rPr>
          <w:b/>
        </w:rPr>
        <w:t xml:space="preserve"> </w:t>
      </w:r>
      <w:r w:rsidR="00B0039B" w:rsidRPr="00E32F49">
        <w:t>Monthly inflow, outflow, and water storage values for each of the average-wet (AW) water year impoundment scenarios. Note that integers after "AW" in the sub-plot titles denote outflow rates as a percentage of the total inflow.</w:t>
      </w:r>
    </w:p>
    <w:bookmarkEnd w:id="6"/>
    <w:bookmarkEnd w:id="7"/>
    <w:p w14:paraId="25620AEB" w14:textId="77777777" w:rsidR="004334A8" w:rsidRPr="00E32F49" w:rsidRDefault="004334A8" w:rsidP="00E32F49">
      <w:pPr>
        <w:adjustRightInd w:val="0"/>
        <w:snapToGrid w:val="0"/>
      </w:pPr>
    </w:p>
    <w:p w14:paraId="58FEDB14" w14:textId="77777777" w:rsidR="002559F9" w:rsidRPr="00E32F49" w:rsidRDefault="002559F9" w:rsidP="00E32F49">
      <w:pPr>
        <w:adjustRightInd w:val="0"/>
        <w:snapToGrid w:val="0"/>
        <w:rPr>
          <w:b/>
          <w:bCs/>
        </w:rPr>
      </w:pPr>
      <w:r w:rsidRPr="00E32F49">
        <w:rPr>
          <w:b/>
          <w:bCs/>
          <w:noProof/>
          <w:lang w:eastAsia="zh-CN"/>
        </w:rPr>
        <w:lastRenderedPageBreak/>
        <w:drawing>
          <wp:inline distT="0" distB="0" distL="0" distR="0" wp14:anchorId="5FC772C8" wp14:editId="018B4AE3">
            <wp:extent cx="5486400" cy="5141595"/>
            <wp:effectExtent l="25400" t="25400" r="25400" b="14605"/>
            <wp:docPr id="13" name="Picture 13" descr="AM1:Users:amadson:Dropbox:GradSchool:PhD_Work:GERD_Work:manuscript:figs:Supplementary:Supp_Fig5_avgAllDai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1:Users:amadson:Dropbox:GradSchool:PhD_Work:GERD_Work:manuscript:figs:Supplementary:Supp_Fig5_avgAllDailyFillingCurve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44277F55" w14:textId="475AAEFA" w:rsidR="002559F9" w:rsidRPr="00E32F49" w:rsidRDefault="00E32F49" w:rsidP="00E32F49">
      <w:pPr>
        <w:pStyle w:val="MDPI51figurecaption"/>
        <w:rPr>
          <w:b/>
        </w:rPr>
      </w:pPr>
      <w:bookmarkStart w:id="8" w:name="OLE_LINK59"/>
      <w:bookmarkStart w:id="9" w:name="OLE_LINK60"/>
      <w:r w:rsidRPr="00E32F49">
        <w:rPr>
          <w:b/>
        </w:rPr>
        <w:t xml:space="preserve">Figure </w:t>
      </w:r>
      <w:r>
        <w:rPr>
          <w:b/>
        </w:rPr>
        <w:t>S</w:t>
      </w:r>
      <w:r w:rsidRPr="00E32F49">
        <w:rPr>
          <w:b/>
        </w:rPr>
        <w:t>4.</w:t>
      </w:r>
      <w:r w:rsidR="002559F9" w:rsidRPr="00E32F49">
        <w:rPr>
          <w:b/>
        </w:rPr>
        <w:t xml:space="preserve"> </w:t>
      </w:r>
      <w:bookmarkStart w:id="10" w:name="OLE_LINK139"/>
      <w:bookmarkStart w:id="11" w:name="OLE_LINK140"/>
      <w:r w:rsidR="002559F9" w:rsidRPr="00E32F49">
        <w:t>Daily reservoir inflows and outflows along with the accumulated water levels and hydrologic loads for each of the average (A) water year impoundment scenarios</w:t>
      </w:r>
      <w:bookmarkEnd w:id="10"/>
      <w:bookmarkEnd w:id="11"/>
      <w:r w:rsidR="002559F9" w:rsidRPr="00E32F49">
        <w:t xml:space="preserve">. Note that integers after "A" in the sub-plot titles denote outflow rates as a percentage of the total inflow. </w:t>
      </w:r>
      <w:bookmarkStart w:id="12" w:name="OLE_LINK5"/>
      <w:bookmarkStart w:id="13" w:name="OLE_LINK6"/>
      <w:r w:rsidR="002559F9" w:rsidRPr="00E32F49">
        <w:t>We set each accumulated water level that is less than the base reservoir elevation of 500 m to the actual base elevation of 500 m. The filling scenarios as plotted begin on the first of January, as we do not yet know when the actual filling will begin. If we started the scenarios on the first day of the year in which there is a positive storage value then the years-to-full would simply be reduced by that day-number of the year.</w:t>
      </w:r>
      <w:bookmarkEnd w:id="12"/>
      <w:bookmarkEnd w:id="13"/>
    </w:p>
    <w:bookmarkEnd w:id="8"/>
    <w:bookmarkEnd w:id="9"/>
    <w:p w14:paraId="3A4CBD64" w14:textId="77777777" w:rsidR="002559F9" w:rsidRPr="00E32F49" w:rsidRDefault="002559F9" w:rsidP="00E32F49">
      <w:pPr>
        <w:adjustRightInd w:val="0"/>
        <w:snapToGrid w:val="0"/>
        <w:rPr>
          <w:b/>
          <w:bCs/>
        </w:rPr>
      </w:pPr>
      <w:r w:rsidRPr="00E32F49">
        <w:rPr>
          <w:b/>
          <w:bCs/>
          <w:noProof/>
          <w:lang w:eastAsia="zh-CN"/>
        </w:rPr>
        <w:lastRenderedPageBreak/>
        <w:drawing>
          <wp:inline distT="0" distB="0" distL="0" distR="0" wp14:anchorId="57C48CFA" wp14:editId="2A613A99">
            <wp:extent cx="5486400" cy="5141595"/>
            <wp:effectExtent l="25400" t="25400" r="25400" b="14605"/>
            <wp:docPr id="14" name="Picture 14" descr="AM1:Users:amadson:Dropbox:GradSchool:PhD_Work:GERD_Work:manuscript:figs:Supplementary:Supp_Fig6_dryAllDai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M1:Users:amadson:Dropbox:GradSchool:PhD_Work:GERD_Work:manuscript:figs:Supplementary:Supp_Fig6_dryAllDailyFillingCurve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2D0A732E" w14:textId="1792AB06" w:rsidR="002559F9" w:rsidRPr="00E32F49" w:rsidRDefault="00E32F49" w:rsidP="00E32F49">
      <w:pPr>
        <w:pStyle w:val="MDPI51figurecaption"/>
      </w:pPr>
      <w:r w:rsidRPr="00E32F49">
        <w:rPr>
          <w:b/>
        </w:rPr>
        <w:t xml:space="preserve">Figure </w:t>
      </w:r>
      <w:r>
        <w:rPr>
          <w:b/>
        </w:rPr>
        <w:t>S</w:t>
      </w:r>
      <w:r w:rsidRPr="00E32F49">
        <w:rPr>
          <w:b/>
        </w:rPr>
        <w:t>5.</w:t>
      </w:r>
      <w:r w:rsidR="002559F9" w:rsidRPr="00E32F49">
        <w:rPr>
          <w:b/>
        </w:rPr>
        <w:t xml:space="preserve"> </w:t>
      </w:r>
      <w:bookmarkStart w:id="14" w:name="OLE_LINK141"/>
      <w:bookmarkStart w:id="15" w:name="OLE_LINK142"/>
      <w:r w:rsidR="002559F9" w:rsidRPr="00E32F49">
        <w:t>Daily reservoir inflows and outflows along with the accumulated water levels and hydrologic loads for each of the average-dry (AD) water year impoundment scenarios</w:t>
      </w:r>
      <w:bookmarkEnd w:id="14"/>
      <w:bookmarkEnd w:id="15"/>
      <w:r w:rsidR="002559F9" w:rsidRPr="00E32F49">
        <w:t>. Note that integers after "AD" in the sub-plot titles denote outflow rates as a percentage of the total inflow. We set each accumulated water level that is less than the base reservoir elevation of 500 m to the actual base elevation of 500 m. The filling scenarios as plotted begin on the first of January, as we do not yet know when the actual filling will begin. If we started the scenarios on the first day of the year in which there is a positive storage value then the years-to-full would simply be reduced by that day-number of the year.</w:t>
      </w:r>
    </w:p>
    <w:p w14:paraId="04F17AFD" w14:textId="77777777" w:rsidR="002559F9" w:rsidRPr="00E32F49" w:rsidRDefault="002559F9" w:rsidP="00E32F49">
      <w:pPr>
        <w:adjustRightInd w:val="0"/>
        <w:snapToGrid w:val="0"/>
        <w:rPr>
          <w:b/>
          <w:bCs/>
        </w:rPr>
      </w:pPr>
      <w:r w:rsidRPr="00E32F49">
        <w:rPr>
          <w:b/>
          <w:bCs/>
          <w:noProof/>
          <w:lang w:eastAsia="zh-CN"/>
        </w:rPr>
        <w:lastRenderedPageBreak/>
        <w:drawing>
          <wp:inline distT="0" distB="0" distL="0" distR="0" wp14:anchorId="6F11D479" wp14:editId="1A111E72">
            <wp:extent cx="5486400" cy="5141595"/>
            <wp:effectExtent l="25400" t="25400" r="25400" b="14605"/>
            <wp:docPr id="15" name="Picture 15" descr="AM1:Users:amadson:Dropbox:GradSchool:PhD_Work:GERD_Work:manuscript:figs:Supplementary:Supp_Fig7_wetAllDailyFillin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1:Users:amadson:Dropbox:GradSchool:PhD_Work:GERD_Work:manuscript:figs:Supplementary:Supp_Fig7_wetAllDailyFillingCurve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5141595"/>
                    </a:xfrm>
                    <a:prstGeom prst="rect">
                      <a:avLst/>
                    </a:prstGeom>
                    <a:noFill/>
                    <a:ln>
                      <a:solidFill>
                        <a:srgbClr val="000000"/>
                      </a:solidFill>
                    </a:ln>
                  </pic:spPr>
                </pic:pic>
              </a:graphicData>
            </a:graphic>
          </wp:inline>
        </w:drawing>
      </w:r>
    </w:p>
    <w:p w14:paraId="3F07F621" w14:textId="1A610B08" w:rsidR="002559F9" w:rsidRPr="00E32F49" w:rsidRDefault="00E32F49" w:rsidP="00E32F49">
      <w:pPr>
        <w:pStyle w:val="MDPI51figurecaption"/>
      </w:pPr>
      <w:r w:rsidRPr="00E32F49">
        <w:rPr>
          <w:b/>
        </w:rPr>
        <w:t xml:space="preserve">Figure </w:t>
      </w:r>
      <w:r>
        <w:rPr>
          <w:b/>
        </w:rPr>
        <w:t>S</w:t>
      </w:r>
      <w:r w:rsidRPr="00E32F49">
        <w:rPr>
          <w:b/>
        </w:rPr>
        <w:t>6.</w:t>
      </w:r>
      <w:r w:rsidR="002559F9" w:rsidRPr="00E32F49">
        <w:rPr>
          <w:b/>
        </w:rPr>
        <w:t xml:space="preserve"> </w:t>
      </w:r>
      <w:bookmarkStart w:id="16" w:name="OLE_LINK143"/>
      <w:bookmarkStart w:id="17" w:name="OLE_LINK144"/>
      <w:r w:rsidR="002559F9" w:rsidRPr="00E32F49">
        <w:t>Daily reservoir inflows and outflows along with the accumulated water levels and hydrologic loads for each of the average-wet (AW) water year impoundment scenarios</w:t>
      </w:r>
      <w:bookmarkEnd w:id="16"/>
      <w:bookmarkEnd w:id="17"/>
      <w:r w:rsidR="002559F9" w:rsidRPr="00E32F49">
        <w:t>. Note that integers after "AW" in the sub-plot titles denote outflow rates as a percentage of the total inflow. We set each accumulated water level that is less than the base reservoir elevation of 500 m to the actual base elevation of 500 m. The filling scenarios as plotted begin on the first of January, as we do not yet know when the actual filling will begin. If we started the scenarios on the first day of the year in which there is a positive storage value then the years-to-full would simply be reduced by that day-number of t</w:t>
      </w:r>
      <w:bookmarkStart w:id="18" w:name="_GoBack"/>
      <w:bookmarkEnd w:id="18"/>
      <w:r w:rsidR="002559F9" w:rsidRPr="00E32F49">
        <w:t>he year.</w:t>
      </w:r>
    </w:p>
    <w:p w14:paraId="2F7A2F00" w14:textId="77777777" w:rsidR="002559F9" w:rsidRPr="00E32F49" w:rsidRDefault="002559F9" w:rsidP="00E32F49">
      <w:pPr>
        <w:pStyle w:val="MDPI52figure"/>
      </w:pPr>
      <w:r w:rsidRPr="00E32F49">
        <w:rPr>
          <w:noProof/>
          <w:lang w:eastAsia="zh-CN" w:bidi="ar-SA"/>
        </w:rPr>
        <w:drawing>
          <wp:inline distT="0" distB="0" distL="0" distR="0" wp14:anchorId="1DC9B1E4" wp14:editId="5DBA2D53">
            <wp:extent cx="2926405" cy="2194804"/>
            <wp:effectExtent l="25400" t="25400" r="20320" b="15240"/>
            <wp:docPr id="16" name="Picture 16" descr="AM1:Users:amadson:Dropbox:GradSchool:PhD_Work:GERD_Work:manuscript:figs:Supplementary:Supp_Fig8_M1_DailyFillingCur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1:Users:amadson:Dropbox:GradSchool:PhD_Work:GERD_Work:manuscript:figs:Supplementary:Supp_Fig8_M1_DailyFillingCurve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611" cy="2194958"/>
                    </a:xfrm>
                    <a:prstGeom prst="rect">
                      <a:avLst/>
                    </a:prstGeom>
                    <a:noFill/>
                    <a:ln>
                      <a:solidFill>
                        <a:srgbClr val="000000"/>
                      </a:solidFill>
                    </a:ln>
                  </pic:spPr>
                </pic:pic>
              </a:graphicData>
            </a:graphic>
          </wp:inline>
        </w:drawing>
      </w:r>
    </w:p>
    <w:p w14:paraId="7D69D2C3" w14:textId="3684BE77" w:rsidR="002559F9" w:rsidRPr="00E32F49" w:rsidRDefault="00E32F49" w:rsidP="00E32F49">
      <w:pPr>
        <w:pStyle w:val="MDPI51figurecaption"/>
      </w:pPr>
      <w:r w:rsidRPr="00E32F49">
        <w:rPr>
          <w:b/>
        </w:rPr>
        <w:lastRenderedPageBreak/>
        <w:t xml:space="preserve">Figure </w:t>
      </w:r>
      <w:r>
        <w:rPr>
          <w:b/>
        </w:rPr>
        <w:t>S</w:t>
      </w:r>
      <w:r w:rsidRPr="00E32F49">
        <w:rPr>
          <w:b/>
        </w:rPr>
        <w:t>7.</w:t>
      </w:r>
      <w:r w:rsidR="002559F9" w:rsidRPr="00E32F49">
        <w:rPr>
          <w:b/>
        </w:rPr>
        <w:t xml:space="preserve"> </w:t>
      </w:r>
      <w:bookmarkStart w:id="19" w:name="OLE_LINK145"/>
      <w:bookmarkStart w:id="20" w:name="OLE_LINK146"/>
      <w:r w:rsidR="002559F9" w:rsidRPr="00E32F49">
        <w:t>Daily accumulated water levels and hydrologic loads for the M1 impoundment scenario</w:t>
      </w:r>
      <w:bookmarkEnd w:id="19"/>
      <w:bookmarkEnd w:id="20"/>
      <w:r w:rsidR="002559F9" w:rsidRPr="00E32F49">
        <w:t>. We set each accumulated water level that is less than the base reservoir elevation of 500 m to the actual base elevation of 500 m. The filling scenario as plotted began on the first of January, as we do not yet know when the actual filling will begin. If we started the scenario on the first day of the year in which there is a positive storage value then the years-to-full would simply be reduced by that day-number of the year.</w:t>
      </w:r>
    </w:p>
    <w:p w14:paraId="7EA5B287" w14:textId="77777777" w:rsidR="00E22A1C" w:rsidRPr="00052EFF" w:rsidRDefault="00E22A1C" w:rsidP="00E32F49">
      <w:pPr>
        <w:adjustRightInd w:val="0"/>
        <w:snapToGrid w:val="0"/>
        <w:rPr>
          <w:rFonts w:ascii="Palatino Linotype" w:hAnsi="Palatino Linotype"/>
          <w:sz w:val="20"/>
          <w:szCs w:val="20"/>
        </w:rPr>
      </w:pPr>
    </w:p>
    <w:p w14:paraId="654C58CB" w14:textId="55BA0C27" w:rsidR="001E32FB" w:rsidRPr="00052EFF" w:rsidRDefault="001E32FB" w:rsidP="00E32F49">
      <w:pPr>
        <w:adjustRightInd w:val="0"/>
        <w:snapToGrid w:val="0"/>
        <w:rPr>
          <w:rFonts w:ascii="Palatino Linotype" w:hAnsi="Palatino Linotype"/>
          <w:bCs/>
          <w:sz w:val="20"/>
          <w:szCs w:val="20"/>
        </w:rPr>
      </w:pPr>
      <w:r w:rsidRPr="00052EFF">
        <w:rPr>
          <w:rFonts w:ascii="Palatino Linotype" w:hAnsi="Palatino Linotype"/>
          <w:bCs/>
          <w:sz w:val="20"/>
          <w:szCs w:val="20"/>
        </w:rPr>
        <w:t>Separate File</w:t>
      </w:r>
    </w:p>
    <w:p w14:paraId="44F77B92" w14:textId="26A9C03C" w:rsidR="001E32FB" w:rsidRPr="00052EFF" w:rsidRDefault="001E32FB" w:rsidP="00E32F49">
      <w:pPr>
        <w:adjustRightInd w:val="0"/>
        <w:snapToGrid w:val="0"/>
        <w:rPr>
          <w:rFonts w:ascii="Palatino Linotype" w:hAnsi="Palatino Linotype"/>
          <w:bCs/>
          <w:sz w:val="20"/>
          <w:szCs w:val="20"/>
        </w:rPr>
      </w:pPr>
      <w:r w:rsidRPr="00052EFF">
        <w:rPr>
          <w:rFonts w:ascii="Palatino Linotype" w:hAnsi="Palatino Linotype"/>
          <w:b/>
          <w:bCs/>
          <w:sz w:val="20"/>
          <w:szCs w:val="20"/>
        </w:rPr>
        <w:t>Table S</w:t>
      </w:r>
      <w:r w:rsidR="00190828" w:rsidRPr="00052EFF">
        <w:rPr>
          <w:rFonts w:ascii="Palatino Linotype" w:hAnsi="Palatino Linotype"/>
          <w:b/>
          <w:bCs/>
          <w:sz w:val="20"/>
          <w:szCs w:val="20"/>
        </w:rPr>
        <w:t>2</w:t>
      </w:r>
      <w:r w:rsidRPr="00052EFF">
        <w:rPr>
          <w:rFonts w:ascii="Palatino Linotype" w:hAnsi="Palatino Linotype"/>
          <w:b/>
          <w:bCs/>
          <w:sz w:val="20"/>
          <w:szCs w:val="20"/>
        </w:rPr>
        <w:t xml:space="preserve">. </w:t>
      </w:r>
      <w:bookmarkStart w:id="21" w:name="OLE_LINK147"/>
      <w:bookmarkStart w:id="22" w:name="OLE_LINK148"/>
      <w:r w:rsidRPr="00052EFF">
        <w:rPr>
          <w:rFonts w:ascii="Palatino Linotype" w:hAnsi="Palatino Linotype"/>
          <w:bCs/>
          <w:sz w:val="20"/>
          <w:szCs w:val="20"/>
        </w:rPr>
        <w:t>Annual outflow and inflow rates, accumulated reservoir storage, and the filling times for each impoundment scenario</w:t>
      </w:r>
      <w:bookmarkEnd w:id="21"/>
      <w:bookmarkEnd w:id="22"/>
      <w:r w:rsidRPr="00052EFF">
        <w:rPr>
          <w:rFonts w:ascii="Palatino Linotype" w:hAnsi="Palatino Linotype"/>
          <w:bCs/>
          <w:sz w:val="20"/>
          <w:szCs w:val="20"/>
        </w:rPr>
        <w:t xml:space="preserve">. </w:t>
      </w:r>
    </w:p>
    <w:p w14:paraId="190737E1" w14:textId="77777777" w:rsidR="001E32FB" w:rsidRPr="00052EFF" w:rsidRDefault="001E32FB" w:rsidP="00E32F49">
      <w:pPr>
        <w:adjustRightInd w:val="0"/>
        <w:snapToGrid w:val="0"/>
        <w:rPr>
          <w:rFonts w:ascii="Palatino Linotype" w:hAnsi="Palatino Linotype"/>
          <w:sz w:val="20"/>
          <w:szCs w:val="20"/>
        </w:rPr>
      </w:pPr>
    </w:p>
    <w:p w14:paraId="75EF7DC9" w14:textId="3C16FB6C" w:rsidR="008C4999" w:rsidRPr="00052EFF" w:rsidRDefault="008C4999" w:rsidP="00E32F49">
      <w:pPr>
        <w:adjustRightInd w:val="0"/>
        <w:snapToGrid w:val="0"/>
        <w:rPr>
          <w:rFonts w:ascii="Palatino Linotype" w:hAnsi="Palatino Linotype"/>
          <w:sz w:val="20"/>
          <w:szCs w:val="20"/>
        </w:rPr>
      </w:pPr>
      <w:r w:rsidRPr="00052EFF">
        <w:rPr>
          <w:rFonts w:ascii="Palatino Linotype" w:hAnsi="Palatino Linotype"/>
          <w:sz w:val="20"/>
          <w:szCs w:val="20"/>
        </w:rPr>
        <w:t>Separate File</w:t>
      </w:r>
    </w:p>
    <w:p w14:paraId="4922B54E" w14:textId="6A00FE63" w:rsidR="00BB49AD" w:rsidRPr="00052EFF" w:rsidRDefault="00ED089A" w:rsidP="00E32F49">
      <w:pPr>
        <w:adjustRightInd w:val="0"/>
        <w:snapToGrid w:val="0"/>
        <w:rPr>
          <w:rFonts w:ascii="Palatino Linotype" w:hAnsi="Palatino Linotype"/>
          <w:bCs/>
          <w:sz w:val="20"/>
          <w:szCs w:val="20"/>
        </w:rPr>
      </w:pPr>
      <w:bookmarkStart w:id="23" w:name="OLE_LINK67"/>
      <w:bookmarkStart w:id="24" w:name="OLE_LINK68"/>
      <w:r w:rsidRPr="00052EFF">
        <w:rPr>
          <w:rFonts w:ascii="Palatino Linotype" w:hAnsi="Palatino Linotype"/>
          <w:b/>
          <w:bCs/>
          <w:sz w:val="20"/>
          <w:szCs w:val="20"/>
        </w:rPr>
        <w:t xml:space="preserve">Video </w:t>
      </w:r>
      <w:r w:rsidR="00BB49AD" w:rsidRPr="00052EFF">
        <w:rPr>
          <w:rFonts w:ascii="Palatino Linotype" w:hAnsi="Palatino Linotype"/>
          <w:b/>
          <w:bCs/>
          <w:sz w:val="20"/>
          <w:szCs w:val="20"/>
        </w:rPr>
        <w:t>S1.</w:t>
      </w:r>
      <w:r w:rsidR="00BB49AD" w:rsidRPr="00052EFF">
        <w:rPr>
          <w:rFonts w:ascii="Palatino Linotype" w:hAnsi="Palatino Linotype"/>
          <w:bCs/>
          <w:sz w:val="20"/>
          <w:szCs w:val="20"/>
        </w:rPr>
        <w:t xml:space="preserve"> </w:t>
      </w:r>
      <w:bookmarkStart w:id="25" w:name="OLE_LINK149"/>
      <w:bookmarkStart w:id="26" w:name="OLE_LINK150"/>
      <w:r w:rsidR="00BB49AD" w:rsidRPr="00052EFF">
        <w:rPr>
          <w:rFonts w:ascii="Palatino Linotype" w:hAnsi="Palatino Linotype"/>
          <w:bCs/>
          <w:sz w:val="20"/>
          <w:szCs w:val="20"/>
        </w:rPr>
        <w:t>Animation displaying the flexural response along with the accumulated areal extent and hydrologic load for every meter of reservoir level rise from 500 m to the full impoundment of 640 m</w:t>
      </w:r>
      <w:bookmarkEnd w:id="25"/>
      <w:bookmarkEnd w:id="26"/>
      <w:r w:rsidR="00BB49AD" w:rsidRPr="00052EFF">
        <w:rPr>
          <w:rFonts w:ascii="Palatino Linotype" w:hAnsi="Palatino Linotype"/>
          <w:bCs/>
          <w:sz w:val="20"/>
          <w:szCs w:val="20"/>
        </w:rPr>
        <w:t>.</w:t>
      </w:r>
      <w:bookmarkEnd w:id="23"/>
      <w:bookmarkEnd w:id="24"/>
    </w:p>
    <w:p w14:paraId="432BFBCC" w14:textId="77777777" w:rsidR="001E3E05" w:rsidRPr="00E32F49" w:rsidRDefault="001E3E05" w:rsidP="00E32F49">
      <w:pPr>
        <w:adjustRightInd w:val="0"/>
        <w:snapToGrid w:val="0"/>
        <w:rPr>
          <w:bCs/>
        </w:rPr>
      </w:pPr>
    </w:p>
    <w:p w14:paraId="0967A72A" w14:textId="174C79E6" w:rsidR="001E3E05" w:rsidRPr="00E32F49" w:rsidRDefault="001E3E05" w:rsidP="00C736F8">
      <w:pPr>
        <w:pStyle w:val="MDPI51figurecaption"/>
      </w:pPr>
      <w:r w:rsidRPr="00E32F49">
        <w:rPr>
          <w:b/>
          <w:noProof/>
          <w:lang w:eastAsia="zh-CN" w:bidi="ar-SA"/>
        </w:rPr>
        <w:drawing>
          <wp:inline distT="0" distB="0" distL="0" distR="0" wp14:anchorId="4DBA8836" wp14:editId="08084BF9">
            <wp:extent cx="5486400" cy="2743200"/>
            <wp:effectExtent l="25400" t="25400" r="25400" b="25400"/>
            <wp:docPr id="3" name="Picture 3" descr="AM1:Users:amadson:Dropbox:GradSchool:PhD_Work:GERD_Work:manuscript:figs:Supplementary:Supp_Fig9_monthlySeasonal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1:Users:amadson:Dropbox:GradSchool:PhD_Work:GERD_Work:manuscript:figs:Supplementary:Supp_Fig9_monthlySeasonalOp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a:solidFill>
                        <a:srgbClr val="000000"/>
                      </a:solidFill>
                    </a:ln>
                  </pic:spPr>
                </pic:pic>
              </a:graphicData>
            </a:graphic>
          </wp:inline>
        </w:drawing>
      </w:r>
      <w:r w:rsidR="00E32F49" w:rsidRPr="00E32F49">
        <w:rPr>
          <w:b/>
        </w:rPr>
        <w:t xml:space="preserve">Figure </w:t>
      </w:r>
      <w:r w:rsidR="00E32F49">
        <w:rPr>
          <w:b/>
        </w:rPr>
        <w:t>S</w:t>
      </w:r>
      <w:r w:rsidR="00E32F49" w:rsidRPr="00E32F49">
        <w:rPr>
          <w:b/>
        </w:rPr>
        <w:t>8.</w:t>
      </w:r>
      <w:r w:rsidRPr="00E32F49">
        <w:rPr>
          <w:b/>
        </w:rPr>
        <w:t xml:space="preserve"> </w:t>
      </w:r>
      <w:r w:rsidRPr="00E32F49">
        <w:t>Average monthly inflow, outflow, and water storage values for each of the five seasonal reservoir operation strategies.</w:t>
      </w:r>
    </w:p>
    <w:p w14:paraId="1F48B810" w14:textId="77777777" w:rsidR="00B01679" w:rsidRPr="00E32F49" w:rsidRDefault="00B01679" w:rsidP="00E32F49">
      <w:pPr>
        <w:adjustRightInd w:val="0"/>
        <w:snapToGrid w:val="0"/>
        <w:rPr>
          <w:bCs/>
        </w:rPr>
      </w:pPr>
    </w:p>
    <w:p w14:paraId="3411B759" w14:textId="59625CBE" w:rsidR="00F7199D" w:rsidRPr="00E32F49" w:rsidRDefault="00B01679" w:rsidP="00E32F49">
      <w:pPr>
        <w:adjustRightInd w:val="0"/>
        <w:snapToGrid w:val="0"/>
        <w:rPr>
          <w:b/>
          <w:bCs/>
        </w:rPr>
      </w:pPr>
      <w:r w:rsidRPr="00E32F49">
        <w:rPr>
          <w:b/>
          <w:bCs/>
          <w:noProof/>
          <w:lang w:eastAsia="zh-CN"/>
        </w:rPr>
        <w:lastRenderedPageBreak/>
        <w:drawing>
          <wp:inline distT="0" distB="0" distL="0" distR="0" wp14:anchorId="42C3446E" wp14:editId="20E8D539">
            <wp:extent cx="5486400" cy="2743200"/>
            <wp:effectExtent l="25400" t="25400" r="25400" b="25400"/>
            <wp:docPr id="1" name="Picture 1" descr="AM1:Users:amadson:Dropbox:GradSchool:Pubs:GERD_defo_RS:figsTables:Supp:SuppFig10:_Supp_Fig10_dailyANNUAL_Seasonal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1:Users:amadson:Dropbox:GradSchool:Pubs:GERD_defo_RS:figsTables:Supp:SuppFig10:_Supp_Fig10_dailyANNUAL_SeasonalOps.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a:solidFill>
                        <a:schemeClr val="tx1"/>
                      </a:solidFill>
                    </a:ln>
                  </pic:spPr>
                </pic:pic>
              </a:graphicData>
            </a:graphic>
          </wp:inline>
        </w:drawing>
      </w:r>
    </w:p>
    <w:p w14:paraId="26B3984A" w14:textId="5867757A" w:rsidR="00F7199D" w:rsidRPr="00E32F49" w:rsidRDefault="00E32F49" w:rsidP="00E32F49">
      <w:pPr>
        <w:pStyle w:val="MDPI51figurecaption"/>
        <w:rPr>
          <w:b/>
        </w:rPr>
      </w:pPr>
      <w:r w:rsidRPr="00E32F49">
        <w:rPr>
          <w:b/>
        </w:rPr>
        <w:t xml:space="preserve">Figure </w:t>
      </w:r>
      <w:r>
        <w:rPr>
          <w:b/>
        </w:rPr>
        <w:t>S</w:t>
      </w:r>
      <w:r w:rsidRPr="00E32F49">
        <w:rPr>
          <w:b/>
        </w:rPr>
        <w:t>9.</w:t>
      </w:r>
      <w:r w:rsidR="00F7199D" w:rsidRPr="00E32F49">
        <w:rPr>
          <w:b/>
        </w:rPr>
        <w:t xml:space="preserve"> </w:t>
      </w:r>
      <w:bookmarkStart w:id="27" w:name="OLE_LINK153"/>
      <w:bookmarkStart w:id="28" w:name="OLE_LINK154"/>
      <w:r w:rsidR="00F7199D" w:rsidRPr="00E32F49">
        <w:t>Average annual regime of daily reservoir inflow and outflow rates and the accumulated water levels and reservoir volumes for each of the five seasonal reservoir operation strategies</w:t>
      </w:r>
      <w:bookmarkEnd w:id="27"/>
      <w:bookmarkEnd w:id="28"/>
      <w:r w:rsidR="00F7199D" w:rsidRPr="00E32F49">
        <w:rPr>
          <w:b/>
        </w:rPr>
        <w:t>.</w:t>
      </w:r>
    </w:p>
    <w:p w14:paraId="0BF69BEE" w14:textId="77777777" w:rsidR="00C15B0D" w:rsidRPr="00E32F49" w:rsidRDefault="00C15B0D" w:rsidP="00E32F49">
      <w:pPr>
        <w:adjustRightInd w:val="0"/>
        <w:snapToGrid w:val="0"/>
        <w:rPr>
          <w:b/>
          <w:bCs/>
        </w:rPr>
      </w:pPr>
    </w:p>
    <w:p w14:paraId="52E6293F" w14:textId="2D8CD9FD" w:rsidR="00F7199D" w:rsidRPr="00E32F49" w:rsidRDefault="00B01679" w:rsidP="00E32F49">
      <w:pPr>
        <w:adjustRightInd w:val="0"/>
        <w:snapToGrid w:val="0"/>
        <w:rPr>
          <w:b/>
          <w:bCs/>
        </w:rPr>
      </w:pPr>
      <w:r w:rsidRPr="00E32F49">
        <w:rPr>
          <w:b/>
          <w:bCs/>
          <w:noProof/>
          <w:lang w:eastAsia="zh-CN"/>
        </w:rPr>
        <w:drawing>
          <wp:inline distT="0" distB="0" distL="0" distR="0" wp14:anchorId="0194F71F" wp14:editId="0257D7ED">
            <wp:extent cx="5486400" cy="2743200"/>
            <wp:effectExtent l="25400" t="25400" r="25400" b="25400"/>
            <wp:docPr id="2" name="Picture 2" descr="AM1:Users:amadson:Dropbox:GradSchool:Pubs:GERD_defo_RS:figsTables:Supp:SuppFig11:_Supp_Fig11_dailyALL_Seasonal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1:Users:amadson:Dropbox:GradSchool:Pubs:GERD_defo_RS:figsTables:Supp:SuppFig11:_Supp_Fig11_dailyALL_SeasonalOp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a:solidFill>
                        <a:srgbClr val="000000"/>
                      </a:solidFill>
                    </a:ln>
                  </pic:spPr>
                </pic:pic>
              </a:graphicData>
            </a:graphic>
          </wp:inline>
        </w:drawing>
      </w:r>
    </w:p>
    <w:p w14:paraId="62C931F9" w14:textId="0EB0C6A6" w:rsidR="00F7199D" w:rsidRPr="00E32F49" w:rsidRDefault="00E32F49" w:rsidP="00E32F49">
      <w:pPr>
        <w:pStyle w:val="MDPI51figurecaption"/>
      </w:pPr>
      <w:r w:rsidRPr="00E32F49">
        <w:rPr>
          <w:b/>
        </w:rPr>
        <w:t xml:space="preserve">Figure </w:t>
      </w:r>
      <w:r>
        <w:rPr>
          <w:b/>
        </w:rPr>
        <w:t>S</w:t>
      </w:r>
      <w:r w:rsidRPr="00E32F49">
        <w:rPr>
          <w:b/>
        </w:rPr>
        <w:t>10.</w:t>
      </w:r>
      <w:r w:rsidR="00F7199D" w:rsidRPr="00E32F49">
        <w:rPr>
          <w:b/>
        </w:rPr>
        <w:t xml:space="preserve"> </w:t>
      </w:r>
      <w:bookmarkStart w:id="29" w:name="OLE_LINK155"/>
      <w:bookmarkStart w:id="30" w:name="OLE_LINK156"/>
      <w:r w:rsidR="00F7199D" w:rsidRPr="00E32F49">
        <w:t>Daily water levels, water storage, and inflow and outflow rates for the five operational scenarios over their entire 39-year cycle</w:t>
      </w:r>
      <w:bookmarkEnd w:id="29"/>
      <w:bookmarkEnd w:id="30"/>
      <w:r w:rsidR="00F7199D" w:rsidRPr="00E32F49">
        <w:t>.</w:t>
      </w:r>
    </w:p>
    <w:p w14:paraId="77C0220C" w14:textId="77777777" w:rsidR="00A94278" w:rsidRPr="00E32F49" w:rsidRDefault="00A94278" w:rsidP="00E32F49">
      <w:pPr>
        <w:adjustRightInd w:val="0"/>
        <w:snapToGrid w:val="0"/>
        <w:rPr>
          <w:bCs/>
        </w:rPr>
      </w:pPr>
    </w:p>
    <w:p w14:paraId="66DFE970" w14:textId="77777777" w:rsidR="000B3C1A" w:rsidRPr="00E32F49" w:rsidRDefault="000B3C1A" w:rsidP="00E32F49">
      <w:pPr>
        <w:adjustRightInd w:val="0"/>
        <w:snapToGrid w:val="0"/>
        <w:jc w:val="center"/>
      </w:pPr>
      <w:r w:rsidRPr="00E32F49">
        <w:rPr>
          <w:rFonts w:ascii="Myriad Pro" w:hAnsi="Myriad Pro"/>
          <w:noProof/>
          <w:lang w:eastAsia="zh-CN"/>
        </w:rPr>
        <w:lastRenderedPageBreak/>
        <w:drawing>
          <wp:inline distT="0" distB="0" distL="0" distR="0" wp14:anchorId="48AF619A" wp14:editId="0B401C2D">
            <wp:extent cx="3768410" cy="2853983"/>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8671" cy="2854181"/>
                    </a:xfrm>
                    <a:prstGeom prst="rect">
                      <a:avLst/>
                    </a:prstGeom>
                    <a:noFill/>
                    <a:ln>
                      <a:noFill/>
                    </a:ln>
                  </pic:spPr>
                </pic:pic>
              </a:graphicData>
            </a:graphic>
          </wp:inline>
        </w:drawing>
      </w:r>
    </w:p>
    <w:p w14:paraId="370B5457" w14:textId="380F3DC2" w:rsidR="000B3C1A" w:rsidRPr="00E32F49" w:rsidRDefault="00E32F49" w:rsidP="00E32F49">
      <w:pPr>
        <w:pStyle w:val="MDPI51figurecaption"/>
        <w:rPr>
          <w:b/>
        </w:rPr>
      </w:pPr>
      <w:r w:rsidRPr="00E32F49">
        <w:rPr>
          <w:b/>
        </w:rPr>
        <w:t xml:space="preserve">Figure </w:t>
      </w:r>
      <w:r>
        <w:rPr>
          <w:b/>
        </w:rPr>
        <w:t>S</w:t>
      </w:r>
      <w:r w:rsidRPr="00E32F49">
        <w:rPr>
          <w:b/>
        </w:rPr>
        <w:t>11.</w:t>
      </w:r>
      <w:r w:rsidR="000B3C1A" w:rsidRPr="00E32F49">
        <w:rPr>
          <w:b/>
        </w:rPr>
        <w:t xml:space="preserve"> </w:t>
      </w:r>
      <w:bookmarkStart w:id="31" w:name="OLE_LINK131"/>
      <w:bookmarkStart w:id="32" w:name="OLE_LINK132"/>
      <w:r w:rsidR="000B3C1A" w:rsidRPr="00E32F49">
        <w:t>H</w:t>
      </w:r>
      <w:r w:rsidR="00616ED2" w:rsidRPr="00E32F49">
        <w:t>yp</w:t>
      </w:r>
      <w:r w:rsidR="000B3C1A" w:rsidRPr="00E32F49">
        <w:t>s</w:t>
      </w:r>
      <w:r w:rsidR="00616ED2" w:rsidRPr="00E32F49">
        <w:t>o</w:t>
      </w:r>
      <w:r w:rsidR="000B3C1A" w:rsidRPr="00E32F49">
        <w:t>metric curves for water level versus areal extent and water load along with areal extent versus water load</w:t>
      </w:r>
      <w:bookmarkEnd w:id="31"/>
      <w:bookmarkEnd w:id="32"/>
      <w:r w:rsidR="000B3C1A" w:rsidRPr="00E32F49">
        <w:t>. Plotted here are the relationships between the GERD impoundment's water level versus the areal extent (a), the GERD impoundment's water level versus the hydrologic load (b), and the GERD impoundment's areal extent versus the hydrologic load (c). Also plotted are the cubic and quadratic fits alongside their associated coefficients and R-squared values. Note there are two fits in (b). This was undertaken to reduce the error when utilizing these relationships to derive reservoir volume during the early filling stages.</w:t>
      </w:r>
    </w:p>
    <w:p w14:paraId="5936797D" w14:textId="77777777" w:rsidR="00F7199D" w:rsidRPr="00E32F49" w:rsidRDefault="00F7199D" w:rsidP="00E32F49">
      <w:pPr>
        <w:adjustRightInd w:val="0"/>
        <w:snapToGrid w:val="0"/>
      </w:pPr>
    </w:p>
    <w:p w14:paraId="6BED231A" w14:textId="77777777" w:rsidR="00C736F8" w:rsidRPr="00052EFF" w:rsidRDefault="00C736F8" w:rsidP="00C736F8">
      <w:pPr>
        <w:adjustRightInd w:val="0"/>
        <w:snapToGrid w:val="0"/>
        <w:rPr>
          <w:rFonts w:ascii="Palatino Linotype" w:hAnsi="Palatino Linotype"/>
          <w:bCs/>
          <w:sz w:val="20"/>
          <w:szCs w:val="20"/>
        </w:rPr>
      </w:pPr>
      <w:r w:rsidRPr="00052EFF">
        <w:rPr>
          <w:rFonts w:ascii="Palatino Linotype" w:hAnsi="Palatino Linotype"/>
          <w:bCs/>
          <w:sz w:val="20"/>
          <w:szCs w:val="20"/>
        </w:rPr>
        <w:t>Separate File</w:t>
      </w:r>
    </w:p>
    <w:p w14:paraId="03687F48" w14:textId="77777777" w:rsidR="00C736F8" w:rsidRPr="00052EFF" w:rsidRDefault="00C736F8" w:rsidP="00C736F8">
      <w:pPr>
        <w:adjustRightInd w:val="0"/>
        <w:snapToGrid w:val="0"/>
        <w:rPr>
          <w:rFonts w:ascii="Palatino Linotype" w:hAnsi="Palatino Linotype"/>
          <w:sz w:val="20"/>
          <w:szCs w:val="20"/>
        </w:rPr>
      </w:pPr>
      <w:r w:rsidRPr="00052EFF">
        <w:rPr>
          <w:rFonts w:ascii="Palatino Linotype" w:hAnsi="Palatino Linotype"/>
          <w:b/>
          <w:sz w:val="20"/>
          <w:szCs w:val="20"/>
        </w:rPr>
        <w:t>Dataset S1.</w:t>
      </w:r>
      <w:r w:rsidRPr="00052EFF">
        <w:rPr>
          <w:rFonts w:ascii="Palatino Linotype" w:hAnsi="Palatino Linotype"/>
          <w:sz w:val="20"/>
          <w:szCs w:val="20"/>
        </w:rPr>
        <w:t xml:space="preserve"> Zipped file containing vertical and horizontal displacement arrays for each of the 22 different filling scenarios. These are 1xNx3 arrays where N is the number of days in the filling scenario and the three columns represent the day of the filling scenario, the vertical displacement (mm), and the horizontal displacement (mm).</w:t>
      </w:r>
    </w:p>
    <w:p w14:paraId="35BEF0F0" w14:textId="77777777" w:rsidR="00E22A1C" w:rsidRPr="00052EFF" w:rsidRDefault="00E22A1C" w:rsidP="00E32F49">
      <w:pPr>
        <w:adjustRightInd w:val="0"/>
        <w:snapToGrid w:val="0"/>
        <w:rPr>
          <w:rFonts w:ascii="Palatino Linotype" w:hAnsi="Palatino Linotype"/>
        </w:rPr>
      </w:pPr>
    </w:p>
    <w:sectPr w:rsidR="00E22A1C" w:rsidRPr="00052EFF" w:rsidSect="00E32F49">
      <w:type w:val="continuous"/>
      <w:pgSz w:w="11909" w:h="16834"/>
      <w:pgMar w:top="1417" w:right="1531" w:bottom="1077" w:left="1531" w:header="1020" w:footer="85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E3E39E" w14:textId="77777777" w:rsidR="00F4186A" w:rsidRDefault="00F4186A" w:rsidP="00E32F49">
      <w:r>
        <w:separator/>
      </w:r>
    </w:p>
  </w:endnote>
  <w:endnote w:type="continuationSeparator" w:id="0">
    <w:p w14:paraId="5F5E9400" w14:textId="77777777" w:rsidR="00F4186A" w:rsidRDefault="00F4186A" w:rsidP="00E32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Lucida Grande">
    <w:charset w:val="00"/>
    <w:family w:val="auto"/>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yriad Pro">
    <w:altName w:val="Times New Roman"/>
    <w:charset w:val="00"/>
    <w:family w:val="auto"/>
    <w:pitch w:val="variable"/>
    <w:sig w:usb0="00000001"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698620" w14:textId="77777777" w:rsidR="00F4186A" w:rsidRDefault="00F4186A" w:rsidP="00E32F49">
      <w:r>
        <w:separator/>
      </w:r>
    </w:p>
  </w:footnote>
  <w:footnote w:type="continuationSeparator" w:id="0">
    <w:p w14:paraId="259000A6" w14:textId="77777777" w:rsidR="00F4186A" w:rsidRDefault="00F4186A" w:rsidP="00E32F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22AF"/>
    <w:rsid w:val="00052EFF"/>
    <w:rsid w:val="000B3C1A"/>
    <w:rsid w:val="000D5C36"/>
    <w:rsid w:val="001148E9"/>
    <w:rsid w:val="00190828"/>
    <w:rsid w:val="001D6313"/>
    <w:rsid w:val="001E32FB"/>
    <w:rsid w:val="001E3E05"/>
    <w:rsid w:val="002559F9"/>
    <w:rsid w:val="002F135E"/>
    <w:rsid w:val="003A63F4"/>
    <w:rsid w:val="004334A8"/>
    <w:rsid w:val="005622AF"/>
    <w:rsid w:val="00616ED2"/>
    <w:rsid w:val="0084211D"/>
    <w:rsid w:val="008B5B33"/>
    <w:rsid w:val="008C4999"/>
    <w:rsid w:val="00976969"/>
    <w:rsid w:val="00A76889"/>
    <w:rsid w:val="00A94278"/>
    <w:rsid w:val="00B0039B"/>
    <w:rsid w:val="00B01679"/>
    <w:rsid w:val="00B2238E"/>
    <w:rsid w:val="00BB49AD"/>
    <w:rsid w:val="00C15B0D"/>
    <w:rsid w:val="00C736F8"/>
    <w:rsid w:val="00D10238"/>
    <w:rsid w:val="00D41FE9"/>
    <w:rsid w:val="00E0251A"/>
    <w:rsid w:val="00E22A1C"/>
    <w:rsid w:val="00E32F49"/>
    <w:rsid w:val="00ED089A"/>
    <w:rsid w:val="00ED183C"/>
    <w:rsid w:val="00EF2C81"/>
    <w:rsid w:val="00F1553B"/>
    <w:rsid w:val="00F22BE4"/>
    <w:rsid w:val="00F4186A"/>
    <w:rsid w:val="00F7199D"/>
    <w:rsid w:val="00F752AE"/>
    <w:rsid w:val="00FD72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B82D7F8"/>
  <w14:defaultImageDpi w14:val="300"/>
  <w15:docId w15:val="{568BD773-1134-494D-A196-039939E64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41FE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F135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135E"/>
    <w:rPr>
      <w:rFonts w:ascii="Lucida Grande" w:hAnsi="Lucida Grande" w:cs="Lucida Grande"/>
      <w:sz w:val="18"/>
      <w:szCs w:val="18"/>
    </w:rPr>
  </w:style>
  <w:style w:type="paragraph" w:styleId="Header">
    <w:name w:val="header"/>
    <w:basedOn w:val="Normal"/>
    <w:link w:val="HeaderChar"/>
    <w:uiPriority w:val="99"/>
    <w:unhideWhenUsed/>
    <w:rsid w:val="00E32F49"/>
    <w:pPr>
      <w:tabs>
        <w:tab w:val="center" w:pos="4320"/>
        <w:tab w:val="right" w:pos="8640"/>
      </w:tabs>
    </w:pPr>
  </w:style>
  <w:style w:type="character" w:customStyle="1" w:styleId="HeaderChar">
    <w:name w:val="Header Char"/>
    <w:basedOn w:val="DefaultParagraphFont"/>
    <w:link w:val="Header"/>
    <w:uiPriority w:val="99"/>
    <w:rsid w:val="00E32F49"/>
  </w:style>
  <w:style w:type="paragraph" w:styleId="Footer">
    <w:name w:val="footer"/>
    <w:basedOn w:val="Normal"/>
    <w:link w:val="FooterChar"/>
    <w:uiPriority w:val="99"/>
    <w:unhideWhenUsed/>
    <w:rsid w:val="00E32F49"/>
    <w:pPr>
      <w:tabs>
        <w:tab w:val="center" w:pos="4320"/>
        <w:tab w:val="right" w:pos="8640"/>
      </w:tabs>
    </w:pPr>
  </w:style>
  <w:style w:type="character" w:customStyle="1" w:styleId="FooterChar">
    <w:name w:val="Footer Char"/>
    <w:basedOn w:val="DefaultParagraphFont"/>
    <w:link w:val="Footer"/>
    <w:uiPriority w:val="99"/>
    <w:rsid w:val="00E32F49"/>
  </w:style>
  <w:style w:type="paragraph" w:customStyle="1" w:styleId="MDPI11articletype">
    <w:name w:val="MDPI_1.1_article_type"/>
    <w:next w:val="Normal"/>
    <w:qFormat/>
    <w:rsid w:val="00E32F49"/>
    <w:pPr>
      <w:adjustRightInd w:val="0"/>
      <w:snapToGrid w:val="0"/>
      <w:spacing w:before="240"/>
    </w:pPr>
    <w:rPr>
      <w:rFonts w:ascii="Palatino Linotype" w:eastAsia="Times New Roman" w:hAnsi="Palatino Linotype" w:cs="Times New Roman"/>
      <w:i/>
      <w:snapToGrid w:val="0"/>
      <w:color w:val="000000"/>
      <w:sz w:val="20"/>
      <w:szCs w:val="22"/>
      <w:lang w:eastAsia="de-DE" w:bidi="en-US"/>
    </w:rPr>
  </w:style>
  <w:style w:type="paragraph" w:customStyle="1" w:styleId="MDPI12title">
    <w:name w:val="MDPI_1.2_title"/>
    <w:next w:val="Normal"/>
    <w:qFormat/>
    <w:rsid w:val="00E32F49"/>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next w:val="Normal"/>
    <w:qFormat/>
    <w:rsid w:val="00E32F49"/>
    <w:pPr>
      <w:adjustRightInd w:val="0"/>
      <w:snapToGrid w:val="0"/>
      <w:spacing w:after="120" w:line="260" w:lineRule="atLeast"/>
    </w:pPr>
    <w:rPr>
      <w:rFonts w:ascii="Palatino Linotype" w:eastAsia="Times New Roman" w:hAnsi="Palatino Linotype" w:cs="Times New Roman"/>
      <w:b/>
      <w:color w:val="000000"/>
      <w:sz w:val="20"/>
      <w:szCs w:val="22"/>
      <w:lang w:eastAsia="de-DE" w:bidi="en-US"/>
    </w:rPr>
  </w:style>
  <w:style w:type="paragraph" w:customStyle="1" w:styleId="MDPI14history">
    <w:name w:val="MDPI_1.4_history"/>
    <w:basedOn w:val="Normal"/>
    <w:next w:val="Normal"/>
    <w:qFormat/>
    <w:rsid w:val="00E32F49"/>
    <w:pPr>
      <w:adjustRightInd w:val="0"/>
      <w:snapToGrid w:val="0"/>
      <w:spacing w:before="120" w:line="200" w:lineRule="atLeast"/>
      <w:ind w:left="113"/>
    </w:pPr>
    <w:rPr>
      <w:rFonts w:ascii="Palatino Linotype" w:eastAsia="Times New Roman" w:hAnsi="Palatino Linotype" w:cs="Times New Roman"/>
      <w:color w:val="000000"/>
      <w:sz w:val="18"/>
      <w:szCs w:val="20"/>
      <w:lang w:eastAsia="de-DE" w:bidi="en-US"/>
    </w:rPr>
  </w:style>
  <w:style w:type="paragraph" w:customStyle="1" w:styleId="MDPI15academiceditor">
    <w:name w:val="MDPI_1.5_academic_editor"/>
    <w:qFormat/>
    <w:rsid w:val="00E32F49"/>
    <w:pPr>
      <w:adjustRightInd w:val="0"/>
      <w:snapToGrid w:val="0"/>
      <w:spacing w:line="260" w:lineRule="atLeast"/>
      <w:ind w:left="113"/>
    </w:pPr>
    <w:rPr>
      <w:rFonts w:ascii="Palatino Linotype" w:eastAsia="Times New Roman" w:hAnsi="Palatino Linotype" w:cs="Times New Roman"/>
      <w:color w:val="000000"/>
      <w:sz w:val="18"/>
      <w:szCs w:val="22"/>
      <w:lang w:eastAsia="de-DE" w:bidi="en-US"/>
    </w:rPr>
  </w:style>
  <w:style w:type="paragraph" w:customStyle="1" w:styleId="MDPI16affiliation">
    <w:name w:val="MDPI_1.6_affiliation"/>
    <w:qFormat/>
    <w:rsid w:val="00E32F49"/>
    <w:pPr>
      <w:adjustRightInd w:val="0"/>
      <w:snapToGrid w:val="0"/>
      <w:spacing w:line="260" w:lineRule="atLeast"/>
      <w:ind w:left="311" w:hanging="198"/>
    </w:pPr>
    <w:rPr>
      <w:rFonts w:ascii="Palatino Linotype" w:eastAsia="Times New Roman" w:hAnsi="Palatino Linotype" w:cs="Times New Roman"/>
      <w:color w:val="000000"/>
      <w:sz w:val="18"/>
      <w:szCs w:val="18"/>
      <w:lang w:eastAsia="de-DE" w:bidi="en-US"/>
    </w:rPr>
  </w:style>
  <w:style w:type="paragraph" w:customStyle="1" w:styleId="MDPI17abstract">
    <w:name w:val="MDPI_1.7_abstract"/>
    <w:next w:val="Normal"/>
    <w:qFormat/>
    <w:rsid w:val="00E32F49"/>
    <w:pPr>
      <w:adjustRightInd w:val="0"/>
      <w:snapToGrid w:val="0"/>
      <w:spacing w:before="240" w:line="260" w:lineRule="atLeast"/>
      <w:ind w:left="113"/>
      <w:jc w:val="both"/>
    </w:pPr>
    <w:rPr>
      <w:rFonts w:ascii="Palatino Linotype" w:eastAsia="Times New Roman" w:hAnsi="Palatino Linotype" w:cs="Times New Roman"/>
      <w:color w:val="000000"/>
      <w:sz w:val="20"/>
      <w:szCs w:val="22"/>
      <w:lang w:eastAsia="de-DE" w:bidi="en-US"/>
    </w:rPr>
  </w:style>
  <w:style w:type="paragraph" w:customStyle="1" w:styleId="MDPI18keywords">
    <w:name w:val="MDPI_1.8_keywords"/>
    <w:next w:val="Normal"/>
    <w:qFormat/>
    <w:rsid w:val="00E32F49"/>
    <w:pPr>
      <w:adjustRightInd w:val="0"/>
      <w:snapToGrid w:val="0"/>
      <w:spacing w:before="240" w:line="260" w:lineRule="atLeast"/>
      <w:ind w:left="113"/>
      <w:jc w:val="both"/>
    </w:pPr>
    <w:rPr>
      <w:rFonts w:ascii="Palatino Linotype" w:eastAsia="Times New Roman" w:hAnsi="Palatino Linotype" w:cs="Times New Roman"/>
      <w:snapToGrid w:val="0"/>
      <w:color w:val="000000"/>
      <w:sz w:val="20"/>
      <w:szCs w:val="22"/>
      <w:lang w:eastAsia="de-DE" w:bidi="en-US"/>
    </w:rPr>
  </w:style>
  <w:style w:type="paragraph" w:customStyle="1" w:styleId="MDPI19classification">
    <w:name w:val="MDPI_1.9_classification"/>
    <w:qFormat/>
    <w:rsid w:val="00E32F49"/>
    <w:pPr>
      <w:spacing w:before="240" w:line="260" w:lineRule="atLeast"/>
      <w:ind w:left="113"/>
      <w:jc w:val="both"/>
    </w:pPr>
    <w:rPr>
      <w:rFonts w:ascii="Palatino Linotype" w:eastAsia="Times New Roman" w:hAnsi="Palatino Linotype" w:cs="Times New Roman"/>
      <w:b/>
      <w:color w:val="000000"/>
      <w:sz w:val="20"/>
      <w:szCs w:val="22"/>
      <w:lang w:eastAsia="de-DE" w:bidi="en-US"/>
    </w:rPr>
  </w:style>
  <w:style w:type="paragraph" w:customStyle="1" w:styleId="MDPI19line">
    <w:name w:val="MDPI_1.9_line"/>
    <w:qFormat/>
    <w:rsid w:val="00E32F49"/>
    <w:pPr>
      <w:pBdr>
        <w:bottom w:val="single" w:sz="6" w:space="1" w:color="auto"/>
      </w:pBdr>
      <w:spacing w:line="260" w:lineRule="atLeast"/>
      <w:jc w:val="both"/>
    </w:pPr>
    <w:rPr>
      <w:rFonts w:ascii="Palatino Linotype" w:eastAsia="Times New Roman" w:hAnsi="Palatino Linotype"/>
      <w:color w:val="000000"/>
      <w:sz w:val="20"/>
      <w:lang w:eastAsia="de-DE" w:bidi="en-US"/>
    </w:rPr>
  </w:style>
  <w:style w:type="paragraph" w:customStyle="1" w:styleId="MDPI21heading1">
    <w:name w:val="MDPI_2.1_heading1"/>
    <w:qFormat/>
    <w:rsid w:val="00E32F49"/>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szCs w:val="22"/>
      <w:lang w:eastAsia="de-DE" w:bidi="en-US"/>
    </w:rPr>
  </w:style>
  <w:style w:type="paragraph" w:customStyle="1" w:styleId="MDPI22heading2">
    <w:name w:val="MDPI_2.2_heading2"/>
    <w:qFormat/>
    <w:rsid w:val="00E32F49"/>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szCs w:val="22"/>
      <w:lang w:eastAsia="de-DE" w:bidi="en-US"/>
    </w:rPr>
  </w:style>
  <w:style w:type="paragraph" w:customStyle="1" w:styleId="MDPI23heading3">
    <w:name w:val="MDPI_2.3_heading3"/>
    <w:qFormat/>
    <w:rsid w:val="00E32F49"/>
    <w:pPr>
      <w:adjustRightInd w:val="0"/>
      <w:snapToGrid w:val="0"/>
      <w:spacing w:before="240" w:after="120" w:line="260" w:lineRule="atLeast"/>
      <w:outlineLvl w:val="2"/>
    </w:pPr>
    <w:rPr>
      <w:rFonts w:ascii="Palatino Linotype" w:eastAsia="Times New Roman" w:hAnsi="Palatino Linotype" w:cs="Times New Roman"/>
      <w:snapToGrid w:val="0"/>
      <w:color w:val="000000"/>
      <w:sz w:val="20"/>
      <w:szCs w:val="22"/>
      <w:lang w:eastAsia="de-DE" w:bidi="en-US"/>
    </w:rPr>
  </w:style>
  <w:style w:type="paragraph" w:customStyle="1" w:styleId="MDPI31text">
    <w:name w:val="MDPI_3.1_text"/>
    <w:qFormat/>
    <w:rsid w:val="00E32F49"/>
    <w:pPr>
      <w:adjustRightInd w:val="0"/>
      <w:snapToGrid w:val="0"/>
      <w:spacing w:line="260" w:lineRule="atLeast"/>
      <w:ind w:firstLine="425"/>
      <w:jc w:val="both"/>
    </w:pPr>
    <w:rPr>
      <w:rFonts w:ascii="Palatino Linotype" w:eastAsia="Times New Roman" w:hAnsi="Palatino Linotype" w:cs="Times New Roman"/>
      <w:snapToGrid w:val="0"/>
      <w:color w:val="000000"/>
      <w:sz w:val="20"/>
      <w:szCs w:val="22"/>
      <w:lang w:eastAsia="de-DE" w:bidi="en-US"/>
    </w:rPr>
  </w:style>
  <w:style w:type="paragraph" w:customStyle="1" w:styleId="MDPI32textnoindent">
    <w:name w:val="MDPI_3.2_text_no_indent"/>
    <w:qFormat/>
    <w:rsid w:val="00E32F49"/>
    <w:pPr>
      <w:adjustRightInd w:val="0"/>
      <w:snapToGrid w:val="0"/>
      <w:spacing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3textspaceafter">
    <w:name w:val="MDPI_3.3_text_space_after"/>
    <w:qFormat/>
    <w:rsid w:val="00E32F49"/>
    <w:pPr>
      <w:spacing w:after="240"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4textspacebefore">
    <w:name w:val="MDPI_3.4_text_space_before"/>
    <w:qFormat/>
    <w:rsid w:val="00E32F49"/>
    <w:pPr>
      <w:spacing w:before="240"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5textbeforelist">
    <w:name w:val="MDPI_3.5_text_before_list"/>
    <w:qFormat/>
    <w:rsid w:val="00E32F49"/>
    <w:pPr>
      <w:spacing w:after="120"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6textafterlist">
    <w:name w:val="MDPI_3.6_text_after_list"/>
    <w:qFormat/>
    <w:rsid w:val="00E32F49"/>
    <w:pPr>
      <w:spacing w:before="120"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7itemize">
    <w:name w:val="MDPI_3.7_itemize"/>
    <w:qFormat/>
    <w:rsid w:val="00E32F49"/>
    <w:pPr>
      <w:numPr>
        <w:numId w:val="1"/>
      </w:numPr>
      <w:spacing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8bullet">
    <w:name w:val="MDPI_3.8_bullet"/>
    <w:qFormat/>
    <w:rsid w:val="00E32F49"/>
    <w:pPr>
      <w:numPr>
        <w:numId w:val="2"/>
      </w:numPr>
      <w:adjustRightInd w:val="0"/>
      <w:snapToGrid w:val="0"/>
      <w:spacing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39equation">
    <w:name w:val="MDPI_3.9_equation"/>
    <w:qFormat/>
    <w:rsid w:val="00E32F49"/>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szCs w:val="22"/>
      <w:lang w:eastAsia="de-DE" w:bidi="en-US"/>
    </w:rPr>
  </w:style>
  <w:style w:type="paragraph" w:customStyle="1" w:styleId="MDPI3aequationnumber">
    <w:name w:val="MDPI_3.a_equation_number"/>
    <w:qFormat/>
    <w:rsid w:val="00E32F49"/>
    <w:pPr>
      <w:spacing w:before="120" w:after="120"/>
      <w:jc w:val="right"/>
    </w:pPr>
    <w:rPr>
      <w:rFonts w:ascii="Palatino Linotype" w:eastAsia="Times New Roman" w:hAnsi="Palatino Linotype" w:cs="Times New Roman"/>
      <w:snapToGrid w:val="0"/>
      <w:color w:val="000000"/>
      <w:sz w:val="20"/>
      <w:szCs w:val="22"/>
      <w:lang w:eastAsia="de-DE" w:bidi="en-US"/>
    </w:rPr>
  </w:style>
  <w:style w:type="paragraph" w:customStyle="1" w:styleId="MDPI411onetablecaption">
    <w:name w:val="MDPI_4.1.1_one_table_caption"/>
    <w:qFormat/>
    <w:rsid w:val="00E32F49"/>
    <w:pPr>
      <w:adjustRightInd w:val="0"/>
      <w:snapToGrid w:val="0"/>
      <w:spacing w:before="240" w:after="120" w:line="260" w:lineRule="atLeast"/>
      <w:jc w:val="center"/>
    </w:pPr>
    <w:rPr>
      <w:rFonts w:ascii="Palatino Linotype" w:hAnsi="Palatino Linotype"/>
      <w:noProof/>
      <w:color w:val="000000"/>
      <w:sz w:val="18"/>
      <w:szCs w:val="22"/>
      <w:lang w:eastAsia="zh-CN" w:bidi="en-US"/>
    </w:rPr>
  </w:style>
  <w:style w:type="paragraph" w:customStyle="1" w:styleId="MDPI41tablecaption">
    <w:name w:val="MDPI_4.1_table_caption"/>
    <w:qFormat/>
    <w:rsid w:val="00E32F49"/>
    <w:pPr>
      <w:adjustRightInd w:val="0"/>
      <w:snapToGrid w:val="0"/>
      <w:spacing w:before="240" w:after="120" w:line="260" w:lineRule="atLeast"/>
      <w:ind w:left="425" w:right="425"/>
      <w:jc w:val="both"/>
    </w:pPr>
    <w:rPr>
      <w:rFonts w:ascii="Palatino Linotype" w:eastAsia="Times New Roman" w:hAnsi="Palatino Linotype"/>
      <w:color w:val="000000"/>
      <w:sz w:val="18"/>
      <w:szCs w:val="22"/>
      <w:lang w:eastAsia="de-DE" w:bidi="en-US"/>
    </w:rPr>
  </w:style>
  <w:style w:type="table" w:customStyle="1" w:styleId="MDPI41threelinetable">
    <w:name w:val="MDPI_4.1_three_line_table"/>
    <w:basedOn w:val="TableNormal"/>
    <w:uiPriority w:val="99"/>
    <w:rsid w:val="00E32F49"/>
    <w:pPr>
      <w:adjustRightInd w:val="0"/>
      <w:snapToGrid w:val="0"/>
      <w:jc w:val="center"/>
    </w:pPr>
    <w:rPr>
      <w:rFonts w:ascii="Palatino Linotype" w:hAnsi="Palatino Linotype" w:cs="Times New Roman"/>
      <w:color w:val="000000"/>
      <w:sz w:val="20"/>
      <w:szCs w:val="20"/>
      <w:lang w:eastAsia="zh-CN"/>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E32F49"/>
    <w:pPr>
      <w:adjustRightInd w:val="0"/>
      <w:snapToGrid w:val="0"/>
      <w:spacing w:after="240" w:line="260" w:lineRule="atLeast"/>
      <w:jc w:val="both"/>
    </w:pPr>
    <w:rPr>
      <w:rFonts w:ascii="Palatino Linotype" w:eastAsia="Times New Roman" w:hAnsi="Palatino Linotype"/>
      <w:color w:val="000000"/>
      <w:sz w:val="18"/>
      <w:szCs w:val="22"/>
      <w:lang w:eastAsia="de-DE" w:bidi="en-US"/>
    </w:rPr>
  </w:style>
  <w:style w:type="paragraph" w:customStyle="1" w:styleId="MDPI511onefigurecaption">
    <w:name w:val="MDPI_5.1.1_one_figure_caption"/>
    <w:qFormat/>
    <w:rsid w:val="00E32F49"/>
    <w:pPr>
      <w:adjustRightInd w:val="0"/>
      <w:snapToGrid w:val="0"/>
      <w:spacing w:before="240" w:after="120" w:line="260" w:lineRule="atLeast"/>
      <w:jc w:val="center"/>
    </w:pPr>
    <w:rPr>
      <w:rFonts w:ascii="Palatino Linotype" w:hAnsi="Palatino Linotype" w:cs="Times New Roman"/>
      <w:noProof/>
      <w:color w:val="000000"/>
      <w:sz w:val="18"/>
      <w:szCs w:val="20"/>
      <w:lang w:eastAsia="zh-CN" w:bidi="en-US"/>
    </w:rPr>
  </w:style>
  <w:style w:type="paragraph" w:customStyle="1" w:styleId="MDPI51figurecaption">
    <w:name w:val="MDPI_5.1_figure_caption"/>
    <w:qFormat/>
    <w:rsid w:val="00E32F49"/>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eastAsia="de-DE" w:bidi="en-US"/>
    </w:rPr>
  </w:style>
  <w:style w:type="paragraph" w:customStyle="1" w:styleId="MDPI52figure">
    <w:name w:val="MDPI_5.2_figure"/>
    <w:qFormat/>
    <w:rsid w:val="00E32F49"/>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eastAsia="de-DE" w:bidi="en-US"/>
    </w:rPr>
  </w:style>
  <w:style w:type="paragraph" w:customStyle="1" w:styleId="MDPI61Supplementary">
    <w:name w:val="MDPI_6.1_Supplementary"/>
    <w:qFormat/>
    <w:rsid w:val="00E32F49"/>
    <w:pPr>
      <w:spacing w:before="240" w:line="260" w:lineRule="atLeast"/>
      <w:jc w:val="both"/>
    </w:pPr>
    <w:rPr>
      <w:rFonts w:ascii="Palatino Linotype" w:eastAsia="Times New Roman" w:hAnsi="Palatino Linotype" w:cs="Times New Roman"/>
      <w:snapToGrid w:val="0"/>
      <w:color w:val="000000"/>
      <w:sz w:val="18"/>
      <w:szCs w:val="20"/>
      <w:lang w:bidi="en-US"/>
    </w:rPr>
  </w:style>
  <w:style w:type="paragraph" w:customStyle="1" w:styleId="MDPI62Acknowledgments">
    <w:name w:val="MDPI_6.2_Acknowledgments"/>
    <w:qFormat/>
    <w:rsid w:val="00E32F49"/>
    <w:pPr>
      <w:adjustRightInd w:val="0"/>
      <w:snapToGrid w:val="0"/>
      <w:spacing w:before="120" w:line="20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63AuthorContributions">
    <w:name w:val="MDPI_6.3_AuthorContributions"/>
    <w:qFormat/>
    <w:rsid w:val="00E32F49"/>
    <w:pPr>
      <w:spacing w:line="260" w:lineRule="atLeast"/>
      <w:jc w:val="both"/>
    </w:pPr>
    <w:rPr>
      <w:rFonts w:ascii="Palatino Linotype" w:eastAsia="宋体" w:hAnsi="Palatino Linotype" w:cs="Times New Roman"/>
      <w:snapToGrid w:val="0"/>
      <w:sz w:val="18"/>
      <w:szCs w:val="20"/>
      <w:lang w:bidi="en-US"/>
    </w:rPr>
  </w:style>
  <w:style w:type="paragraph" w:customStyle="1" w:styleId="MDPI64CoI">
    <w:name w:val="MDPI_6.4_CoI"/>
    <w:qFormat/>
    <w:rsid w:val="00E32F49"/>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1References">
    <w:name w:val="MDPI_7.1_References"/>
    <w:qFormat/>
    <w:rsid w:val="00E32F49"/>
    <w:pPr>
      <w:numPr>
        <w:numId w:val="3"/>
      </w:numPr>
      <w:spacing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2Copyright">
    <w:name w:val="MDPI_7.2_Copyright"/>
    <w:qFormat/>
    <w:rsid w:val="00E32F49"/>
    <w:pPr>
      <w:adjustRightInd w:val="0"/>
      <w:snapToGrid w:val="0"/>
      <w:spacing w:before="40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E32F49"/>
    <w:pPr>
      <w:adjustRightInd w:val="0"/>
      <w:snapToGrid w:val="0"/>
      <w:spacing w:after="100" w:line="260" w:lineRule="atLeast"/>
      <w:jc w:val="right"/>
    </w:pPr>
    <w:rPr>
      <w:rFonts w:ascii="Palatino Linotype" w:eastAsia="Times New Roman" w:hAnsi="Palatino Linotype" w:cs="Times New Roman"/>
      <w:color w:val="000000"/>
      <w:sz w:val="20"/>
      <w:szCs w:val="20"/>
      <w:lang w:eastAsia="de-CH"/>
    </w:rPr>
  </w:style>
  <w:style w:type="paragraph" w:customStyle="1" w:styleId="MDPI81theorem">
    <w:name w:val="MDPI_8.1_theorem"/>
    <w:qFormat/>
    <w:rsid w:val="00E32F49"/>
    <w:pPr>
      <w:spacing w:line="260" w:lineRule="atLeast"/>
      <w:jc w:val="both"/>
    </w:pPr>
    <w:rPr>
      <w:rFonts w:ascii="Palatino Linotype" w:eastAsia="Times New Roman" w:hAnsi="Palatino Linotype" w:cs="Times New Roman"/>
      <w:i/>
      <w:snapToGrid w:val="0"/>
      <w:color w:val="000000"/>
      <w:sz w:val="20"/>
      <w:szCs w:val="22"/>
      <w:lang w:eastAsia="de-DE" w:bidi="en-US"/>
    </w:rPr>
  </w:style>
  <w:style w:type="paragraph" w:customStyle="1" w:styleId="MDPI82proof">
    <w:name w:val="MDPI_8.2_proof"/>
    <w:qFormat/>
    <w:rsid w:val="00E32F49"/>
    <w:pPr>
      <w:spacing w:line="260" w:lineRule="atLeast"/>
      <w:jc w:val="both"/>
    </w:pPr>
    <w:rPr>
      <w:rFonts w:ascii="Palatino Linotype" w:eastAsia="Times New Roman" w:hAnsi="Palatino Linotype" w:cs="Times New Roman"/>
      <w:snapToGrid w:val="0"/>
      <w:color w:val="000000"/>
      <w:sz w:val="20"/>
      <w:szCs w:val="22"/>
      <w:lang w:eastAsia="de-DE" w:bidi="en-US"/>
    </w:rPr>
  </w:style>
  <w:style w:type="paragraph" w:customStyle="1" w:styleId="MDPIequationFram">
    <w:name w:val="MDPI_equationFram"/>
    <w:qFormat/>
    <w:rsid w:val="00E32F49"/>
    <w:pPr>
      <w:adjustRightInd w:val="0"/>
      <w:snapToGrid w:val="0"/>
      <w:spacing w:before="120" w:after="120"/>
      <w:jc w:val="center"/>
    </w:pPr>
    <w:rPr>
      <w:rFonts w:ascii="Palatino Linotype" w:eastAsia="Times New Roman" w:hAnsi="Palatino Linotype" w:cs="Times New Roman"/>
      <w:snapToGrid w:val="0"/>
      <w:color w:val="000000"/>
      <w:sz w:val="20"/>
      <w:szCs w:val="22"/>
      <w:lang w:eastAsia="de-DE" w:bidi="en-US"/>
    </w:rPr>
  </w:style>
  <w:style w:type="paragraph" w:customStyle="1" w:styleId="MDPIfooter">
    <w:name w:val="MDPI_footer"/>
    <w:qFormat/>
    <w:rsid w:val="00E32F49"/>
    <w:pPr>
      <w:adjustRightInd w:val="0"/>
      <w:snapToGrid w:val="0"/>
      <w:spacing w:before="120" w:line="260" w:lineRule="atLeast"/>
      <w:jc w:val="center"/>
    </w:pPr>
    <w:rPr>
      <w:rFonts w:ascii="Palatino Linotype" w:eastAsia="Times New Roman" w:hAnsi="Palatino Linotype" w:cs="Times New Roman"/>
      <w:color w:val="000000"/>
      <w:sz w:val="20"/>
      <w:szCs w:val="20"/>
      <w:lang w:eastAsia="de-DE"/>
    </w:rPr>
  </w:style>
  <w:style w:type="paragraph" w:customStyle="1" w:styleId="MDPIfooterfirstpage">
    <w:name w:val="MDPI_footer_firstpage"/>
    <w:qFormat/>
    <w:rsid w:val="00E32F49"/>
    <w:pPr>
      <w:tabs>
        <w:tab w:val="right" w:pos="8845"/>
      </w:tabs>
      <w:spacing w:line="160" w:lineRule="exact"/>
    </w:pPr>
    <w:rPr>
      <w:rFonts w:ascii="Palatino Linotype" w:eastAsia="Times New Roman" w:hAnsi="Palatino Linotype" w:cs="Times New Roman"/>
      <w:color w:val="000000"/>
      <w:sz w:val="16"/>
      <w:szCs w:val="20"/>
      <w:lang w:eastAsia="de-DE"/>
    </w:rPr>
  </w:style>
  <w:style w:type="paragraph" w:customStyle="1" w:styleId="MDPIheader">
    <w:name w:val="MDPI_header"/>
    <w:qFormat/>
    <w:rsid w:val="00E32F49"/>
    <w:pPr>
      <w:adjustRightInd w:val="0"/>
      <w:snapToGrid w:val="0"/>
      <w:spacing w:after="240" w:line="260" w:lineRule="atLeast"/>
      <w:jc w:val="both"/>
    </w:pPr>
    <w:rPr>
      <w:rFonts w:ascii="Palatino Linotype" w:eastAsia="Times New Roman" w:hAnsi="Palatino Linotype" w:cs="Times New Roman"/>
      <w:iCs/>
      <w:color w:val="000000"/>
      <w:sz w:val="16"/>
      <w:szCs w:val="20"/>
      <w:lang w:eastAsia="de-DE"/>
    </w:rPr>
  </w:style>
  <w:style w:type="paragraph" w:customStyle="1" w:styleId="MDPIheadercitation">
    <w:name w:val="MDPI_header_citation"/>
    <w:rsid w:val="00E32F49"/>
    <w:pPr>
      <w:spacing w:after="240"/>
    </w:pPr>
    <w:rPr>
      <w:rFonts w:ascii="Palatino Linotype" w:eastAsia="Times New Roman" w:hAnsi="Palatino Linotype" w:cs="Times New Roman"/>
      <w:snapToGrid w:val="0"/>
      <w:color w:val="000000"/>
      <w:sz w:val="18"/>
      <w:szCs w:val="20"/>
      <w:lang w:eastAsia="de-DE" w:bidi="en-US"/>
    </w:rPr>
  </w:style>
  <w:style w:type="paragraph" w:customStyle="1" w:styleId="MDPIheaderjournallogo">
    <w:name w:val="MDPI_header_journal_logo"/>
    <w:qFormat/>
    <w:rsid w:val="00E32F49"/>
    <w:pPr>
      <w:adjustRightInd w:val="0"/>
      <w:snapToGrid w:val="0"/>
      <w:spacing w:line="260" w:lineRule="atLeast"/>
      <w:jc w:val="both"/>
    </w:pPr>
    <w:rPr>
      <w:rFonts w:ascii="Palatino Linotype" w:eastAsia="Times New Roman" w:hAnsi="Palatino Linotype" w:cs="Times New Roman"/>
      <w:i/>
      <w:color w:val="000000"/>
      <w:szCs w:val="22"/>
      <w:lang w:eastAsia="de-CH"/>
    </w:rPr>
  </w:style>
  <w:style w:type="paragraph" w:customStyle="1" w:styleId="MDPIheadermdpilogo">
    <w:name w:val="MDPI_header_mdpi_logo"/>
    <w:qFormat/>
    <w:rsid w:val="00E32F49"/>
    <w:pPr>
      <w:adjustRightInd w:val="0"/>
      <w:snapToGrid w:val="0"/>
      <w:spacing w:line="260" w:lineRule="atLeast"/>
      <w:jc w:val="right"/>
    </w:pPr>
    <w:rPr>
      <w:rFonts w:ascii="Palatino Linotype" w:eastAsia="Times New Roman" w:hAnsi="Palatino Linotype" w:cs="Times New Roman"/>
      <w:color w:val="000000"/>
      <w:szCs w:val="22"/>
      <w:lang w:eastAsia="de-CH"/>
    </w:rPr>
  </w:style>
  <w:style w:type="paragraph" w:customStyle="1" w:styleId="MDPItext">
    <w:name w:val="MDPI_text"/>
    <w:qFormat/>
    <w:rsid w:val="00E32F49"/>
    <w:pPr>
      <w:spacing w:line="260" w:lineRule="atLeast"/>
      <w:ind w:left="425" w:right="425" w:firstLine="284"/>
      <w:jc w:val="both"/>
    </w:pPr>
    <w:rPr>
      <w:rFonts w:ascii="Times New Roman" w:eastAsia="Times New Roman" w:hAnsi="Times New Roman" w:cs="Times New Roman"/>
      <w:noProof/>
      <w:snapToGrid w:val="0"/>
      <w:color w:val="000000"/>
      <w:sz w:val="22"/>
      <w:szCs w:val="22"/>
      <w:lang w:eastAsia="de-DE" w:bidi="en-US"/>
    </w:rPr>
  </w:style>
  <w:style w:type="paragraph" w:customStyle="1" w:styleId="MDPItitle">
    <w:name w:val="MDPI_title"/>
    <w:qFormat/>
    <w:rsid w:val="00E32F49"/>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TotalTime>
  <Pages>9</Pages>
  <Words>901</Words>
  <Characters>4496</Characters>
  <Application>Microsoft Office Word</Application>
  <DocSecurity>0</DocSecurity>
  <Lines>89</Lines>
  <Paragraphs>22</Paragraphs>
  <ScaleCrop>false</ScaleCrop>
  <Company/>
  <LinksUpToDate>false</LinksUpToDate>
  <CharactersWithSpaces>5375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c:title>
  <dc:subject/>
  <dc:creator>MDPI</dc:creator>
  <cp:keywords/>
  <dc:description/>
  <cp:lastModifiedBy>mdpi</cp:lastModifiedBy>
  <cp:revision>32</cp:revision>
  <dcterms:created xsi:type="dcterms:W3CDTF">2020-04-28T21:28:00Z</dcterms:created>
  <dcterms:modified xsi:type="dcterms:W3CDTF">2020-06-10T06:10:00Z</dcterms:modified>
</cp:coreProperties>
</file>