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C3" w:rsidRPr="00BD142D" w:rsidRDefault="001323C3" w:rsidP="001323C3">
      <w:pPr>
        <w:ind w:hanging="851"/>
        <w:rPr>
          <w:rFonts w:ascii="Palatino Linotype" w:hAnsi="Palatino Linotype" w:cstheme="minorHAnsi"/>
          <w:sz w:val="18"/>
          <w:szCs w:val="18"/>
        </w:rPr>
      </w:pPr>
      <w:bookmarkStart w:id="0" w:name="_GoBack"/>
      <w:r w:rsidRPr="00BD142D">
        <w:rPr>
          <w:rFonts w:ascii="Palatino Linotype" w:hAnsi="Palatino Linotype" w:cstheme="minorHAnsi"/>
          <w:b/>
          <w:sz w:val="18"/>
          <w:szCs w:val="18"/>
        </w:rPr>
        <w:t>Supplementary Table 2:</w:t>
      </w:r>
      <w:r w:rsidRPr="00BD142D">
        <w:rPr>
          <w:rFonts w:ascii="Palatino Linotype" w:hAnsi="Palatino Linotype" w:cstheme="minorHAnsi"/>
          <w:sz w:val="18"/>
          <w:szCs w:val="18"/>
        </w:rPr>
        <w:t xml:space="preserve"> Estimated cost per case for cardiovascular disease and type 2 diabetes (AUD$), 2015-16.</w:t>
      </w:r>
    </w:p>
    <w:tbl>
      <w:tblPr>
        <w:tblpPr w:leftFromText="180" w:rightFromText="180" w:vertAnchor="text" w:horzAnchor="page" w:tblpX="649" w:tblpY="91"/>
        <w:tblW w:w="9039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701"/>
        <w:gridCol w:w="1701"/>
        <w:gridCol w:w="1560"/>
      </w:tblGrid>
      <w:tr w:rsidR="001323C3" w:rsidRPr="00BD142D" w:rsidTr="00C17F34">
        <w:trPr>
          <w:trHeight w:val="340"/>
        </w:trPr>
        <w:tc>
          <w:tcPr>
            <w:tcW w:w="40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en-A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Cost per case ($)</w:t>
            </w:r>
          </w:p>
        </w:tc>
      </w:tr>
      <w:tr w:rsidR="001323C3" w:rsidRPr="00BD142D" w:rsidTr="00C17F34">
        <w:trPr>
          <w:trHeight w:val="340"/>
        </w:trPr>
        <w:tc>
          <w:tcPr>
            <w:tcW w:w="40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en-AU"/>
              </w:rPr>
              <w:t>Cost category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Persons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Males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Females</w:t>
            </w:r>
          </w:p>
        </w:tc>
      </w:tr>
      <w:tr w:rsidR="001323C3" w:rsidRPr="00BD142D" w:rsidTr="00C17F34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Cardiovascular Disease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Total direct healthcare expenditure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7,286.96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7,555.95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6,971.23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>Hospital-admitted patient services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4,273.48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4,810.75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>3,642.87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 xml:space="preserve">Out-of-hospital </w:t>
            </w: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medical expenses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1,434.39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1,286.53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>1,607.94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Prescription pharmaceuticals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1,579.08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1,458.66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>1,720.42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hideMark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Total indirect productivity costs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45,399.20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hideMark/>
          </w:tcPr>
          <w:p w:rsidR="001323C3" w:rsidRPr="00BD142D" w:rsidRDefault="007F7218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Reduced</w:t>
            </w:r>
            <w:r w:rsidR="001323C3"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 employment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980.59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hideMark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Premature death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42,274.30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shd w:val="clear" w:color="auto" w:fill="auto"/>
            <w:noWrap/>
            <w:hideMark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Absenteeism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42.82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14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Presenteeism</w:t>
            </w:r>
            <w:proofErr w:type="spellEnd"/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2,101.49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40"/>
        </w:trPr>
        <w:tc>
          <w:tcPr>
            <w:tcW w:w="90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Type 2 Diabetes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b/>
                <w:sz w:val="18"/>
                <w:szCs w:val="18"/>
                <w:lang w:eastAsia="en-AU"/>
              </w:rPr>
              <w:t>Total direct healthcare expenditure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1,038.31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1,077.54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990.75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>Hospital-admitted patient services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615.97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657.53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565.57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hAnsi="Palatino Linotype"/>
                <w:sz w:val="18"/>
                <w:szCs w:val="18"/>
                <w:lang w:eastAsia="en-AU"/>
              </w:rPr>
              <w:t xml:space="preserve">Out-of-hospital </w:t>
            </w: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medical expenses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198.15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206.53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188.08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Prescription pharmaceuticals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224.19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213.55</w:t>
            </w:r>
          </w:p>
        </w:tc>
        <w:tc>
          <w:tcPr>
            <w:tcW w:w="1560" w:type="dxa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237.10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Total indirect productivity costs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  <w:t>5,178.72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</w:tcPr>
          <w:p w:rsidR="001323C3" w:rsidRPr="00BD142D" w:rsidRDefault="007F7218" w:rsidP="00C17F34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Reduced </w:t>
            </w:r>
            <w:r w:rsidR="001323C3"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employment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1,316.05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Premature death 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255.13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240"/>
        </w:trPr>
        <w:tc>
          <w:tcPr>
            <w:tcW w:w="4077" w:type="dxa"/>
            <w:shd w:val="clear" w:color="auto" w:fill="auto"/>
            <w:noWrap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Absenteeism 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295.63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  <w:tr w:rsidR="001323C3" w:rsidRPr="00BD142D" w:rsidTr="00C17F34">
        <w:trPr>
          <w:trHeight w:val="307"/>
        </w:trPr>
        <w:tc>
          <w:tcPr>
            <w:tcW w:w="4077" w:type="dxa"/>
            <w:shd w:val="clear" w:color="auto" w:fill="auto"/>
            <w:noWrap/>
            <w:vAlign w:val="center"/>
          </w:tcPr>
          <w:p w:rsidR="001323C3" w:rsidRPr="00BD142D" w:rsidRDefault="001323C3" w:rsidP="007F7218">
            <w:pPr>
              <w:spacing w:after="0" w:line="240" w:lineRule="auto"/>
              <w:ind w:firstLine="284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Presenteeism</w:t>
            </w:r>
            <w:proofErr w:type="spellEnd"/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3,311.90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1560" w:type="dxa"/>
            <w:vAlign w:val="center"/>
          </w:tcPr>
          <w:p w:rsidR="001323C3" w:rsidRPr="00BD142D" w:rsidRDefault="001323C3" w:rsidP="00C17F34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</w:pPr>
            <w:r w:rsidRPr="00BD142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en-AU"/>
              </w:rPr>
              <w:t>-</w:t>
            </w:r>
          </w:p>
        </w:tc>
      </w:tr>
    </w:tbl>
    <w:p w:rsidR="001323C3" w:rsidRPr="00BD142D" w:rsidRDefault="001323C3" w:rsidP="001323C3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1323C3" w:rsidRPr="00BD142D" w:rsidRDefault="001323C3" w:rsidP="001323C3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1323C3" w:rsidRPr="00BD142D" w:rsidRDefault="001323C3" w:rsidP="001323C3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1323C3" w:rsidRPr="00BD142D" w:rsidRDefault="001323C3" w:rsidP="001323C3">
      <w:pPr>
        <w:ind w:left="-900" w:hanging="93"/>
        <w:rPr>
          <w:rFonts w:ascii="Palatino Linotype" w:hAnsi="Palatino Linotype" w:cstheme="minorHAnsi"/>
          <w:b/>
          <w:sz w:val="18"/>
          <w:szCs w:val="18"/>
        </w:rPr>
      </w:pPr>
    </w:p>
    <w:p w:rsidR="001323C3" w:rsidRPr="00BD142D" w:rsidRDefault="001323C3" w:rsidP="001323C3">
      <w:pPr>
        <w:rPr>
          <w:rFonts w:ascii="Palatino Linotype" w:hAnsi="Palatino Linotype" w:cstheme="minorHAnsi"/>
          <w:sz w:val="18"/>
          <w:szCs w:val="18"/>
        </w:rPr>
      </w:pPr>
    </w:p>
    <w:p w:rsidR="001323C3" w:rsidRPr="00BD142D" w:rsidRDefault="001323C3" w:rsidP="001323C3">
      <w:pPr>
        <w:pStyle w:val="NoSpacing"/>
        <w:ind w:left="-900"/>
        <w:rPr>
          <w:rFonts w:ascii="Palatino Linotype" w:eastAsia="Times New Roman" w:hAnsi="Palatino Linotype" w:cstheme="minorHAnsi"/>
          <w:color w:val="000000"/>
          <w:sz w:val="18"/>
          <w:szCs w:val="18"/>
          <w:vertAlign w:val="superscript"/>
          <w:lang w:eastAsia="en-AU"/>
        </w:rPr>
      </w:pPr>
    </w:p>
    <w:p w:rsidR="001323C3" w:rsidRPr="00BD142D" w:rsidRDefault="001323C3" w:rsidP="001323C3">
      <w:pPr>
        <w:pStyle w:val="NoSpacing"/>
        <w:ind w:left="-900"/>
        <w:rPr>
          <w:rFonts w:ascii="Palatino Linotype" w:eastAsia="Times New Roman" w:hAnsi="Palatino Linotype" w:cstheme="minorHAnsi"/>
          <w:color w:val="000000"/>
          <w:sz w:val="18"/>
          <w:szCs w:val="18"/>
          <w:vertAlign w:val="superscript"/>
          <w:lang w:eastAsia="en-AU"/>
        </w:rPr>
      </w:pPr>
    </w:p>
    <w:bookmarkEnd w:id="0"/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1323C3" w:rsidRDefault="001323C3" w:rsidP="001323C3">
      <w:pPr>
        <w:pStyle w:val="NoSpacing"/>
        <w:ind w:left="-900"/>
        <w:rPr>
          <w:rFonts w:eastAsia="Times New Roman" w:cstheme="minorHAnsi"/>
          <w:color w:val="000000"/>
          <w:vertAlign w:val="superscript"/>
          <w:lang w:eastAsia="en-AU"/>
        </w:rPr>
      </w:pPr>
    </w:p>
    <w:p w:rsidR="00E8495D" w:rsidRDefault="00BD142D"/>
    <w:sectPr w:rsidR="00E8495D" w:rsidSect="001323C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C3"/>
    <w:rsid w:val="001323C3"/>
    <w:rsid w:val="00352667"/>
    <w:rsid w:val="00780A7D"/>
    <w:rsid w:val="007F7218"/>
    <w:rsid w:val="008B7A84"/>
    <w:rsid w:val="00BD142D"/>
    <w:rsid w:val="00CE7AC7"/>
    <w:rsid w:val="00F052DA"/>
    <w:rsid w:val="00F4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53DF2FB-C999-4422-8803-A801B438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2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Tuck</dc:creator>
  <cp:keywords/>
  <dc:description/>
  <cp:lastModifiedBy>Kate Tuck</cp:lastModifiedBy>
  <cp:revision>3</cp:revision>
  <dcterms:created xsi:type="dcterms:W3CDTF">2017-10-25T01:51:00Z</dcterms:created>
  <dcterms:modified xsi:type="dcterms:W3CDTF">2017-10-29T10:37:00Z</dcterms:modified>
</cp:coreProperties>
</file>