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7B8" w:rsidRPr="00F52313" w:rsidRDefault="008A47B8" w:rsidP="008A47B8">
      <w:pPr>
        <w:ind w:left="-900" w:hanging="93"/>
        <w:rPr>
          <w:rFonts w:ascii="Palatino Linotype" w:hAnsi="Palatino Linotype" w:cstheme="minorHAnsi"/>
          <w:sz w:val="18"/>
          <w:szCs w:val="18"/>
        </w:rPr>
      </w:pPr>
      <w:r w:rsidRPr="00F52313">
        <w:rPr>
          <w:rFonts w:ascii="Palatino Linotype" w:hAnsi="Palatino Linotype" w:cstheme="minorHAnsi"/>
          <w:b/>
          <w:sz w:val="18"/>
          <w:szCs w:val="18"/>
        </w:rPr>
        <w:t>Supplementary Table 3:</w:t>
      </w:r>
      <w:r w:rsidRPr="00F52313">
        <w:rPr>
          <w:rFonts w:ascii="Palatino Linotype" w:hAnsi="Palatino Linotype" w:cstheme="minorHAnsi"/>
          <w:sz w:val="18"/>
          <w:szCs w:val="18"/>
        </w:rPr>
        <w:t xml:space="preserve"> Categories of savings for cardiovascular disease and type 2 diabetes (AUD $m).</w:t>
      </w:r>
    </w:p>
    <w:tbl>
      <w:tblPr>
        <w:tblpPr w:leftFromText="180" w:rightFromText="180" w:vertAnchor="text" w:horzAnchor="page" w:tblpX="649" w:tblpY="95"/>
        <w:tblW w:w="12157" w:type="dxa"/>
        <w:tblBorders>
          <w:top w:val="single" w:sz="4" w:space="0" w:color="auto"/>
          <w:bottom w:val="single" w:sz="4" w:space="0" w:color="auto"/>
        </w:tblBorders>
        <w:tblLayout w:type="fixed"/>
        <w:tblLook w:val="04A0" w:firstRow="1" w:lastRow="0" w:firstColumn="1" w:lastColumn="0" w:noHBand="0" w:noVBand="1"/>
      </w:tblPr>
      <w:tblGrid>
        <w:gridCol w:w="3227"/>
        <w:gridCol w:w="1488"/>
        <w:gridCol w:w="1488"/>
        <w:gridCol w:w="1489"/>
        <w:gridCol w:w="1488"/>
        <w:gridCol w:w="1488"/>
        <w:gridCol w:w="1489"/>
      </w:tblGrid>
      <w:tr w:rsidR="008A47B8" w:rsidRPr="00F52313" w:rsidTr="00C17F34">
        <w:trPr>
          <w:trHeight w:val="340"/>
        </w:trPr>
        <w:tc>
          <w:tcPr>
            <w:tcW w:w="3227" w:type="dxa"/>
            <w:tcBorders>
              <w:top w:val="single" w:sz="4" w:space="0" w:color="auto"/>
              <w:bottom w:val="nil"/>
            </w:tcBorders>
            <w:shd w:val="clear" w:color="auto" w:fill="auto"/>
            <w:noWrap/>
            <w:vAlign w:val="bottom"/>
          </w:tcPr>
          <w:p w:rsidR="008A47B8" w:rsidRPr="00F52313" w:rsidRDefault="008A47B8" w:rsidP="00C17F34">
            <w:pPr>
              <w:spacing w:after="0" w:line="240" w:lineRule="auto"/>
              <w:rPr>
                <w:rFonts w:ascii="Palatino Linotype" w:eastAsia="Times New Roman" w:hAnsi="Palatino Linotype" w:cstheme="minorHAnsi"/>
                <w:b/>
                <w:sz w:val="18"/>
                <w:szCs w:val="18"/>
                <w:lang w:eastAsia="en-AU"/>
              </w:rPr>
            </w:pPr>
          </w:p>
        </w:tc>
        <w:tc>
          <w:tcPr>
            <w:tcW w:w="4465" w:type="dxa"/>
            <w:gridSpan w:val="3"/>
            <w:tcBorders>
              <w:top w:val="single" w:sz="4" w:space="0" w:color="auto"/>
              <w:bottom w:val="nil"/>
            </w:tcBorders>
            <w:shd w:val="clear" w:color="auto" w:fill="auto"/>
            <w:noWrap/>
            <w:vAlign w:val="center"/>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Cardiovascular Disease</w:t>
            </w:r>
          </w:p>
        </w:tc>
        <w:tc>
          <w:tcPr>
            <w:tcW w:w="4465" w:type="dxa"/>
            <w:gridSpan w:val="3"/>
            <w:tcBorders>
              <w:top w:val="single" w:sz="4" w:space="0" w:color="auto"/>
              <w:bottom w:val="nil"/>
            </w:tcBorders>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Type 2 Diabetes</w:t>
            </w:r>
          </w:p>
        </w:tc>
      </w:tr>
      <w:tr w:rsidR="008A47B8" w:rsidRPr="00F52313" w:rsidTr="00C17F34">
        <w:trPr>
          <w:trHeight w:val="216"/>
        </w:trPr>
        <w:tc>
          <w:tcPr>
            <w:tcW w:w="3227" w:type="dxa"/>
            <w:tcBorders>
              <w:top w:val="nil"/>
              <w:bottom w:val="single" w:sz="4" w:space="0" w:color="auto"/>
            </w:tcBorders>
            <w:shd w:val="clear" w:color="auto" w:fill="auto"/>
            <w:noWrap/>
            <w:vAlign w:val="center"/>
          </w:tcPr>
          <w:p w:rsidR="008A47B8" w:rsidRPr="00F52313" w:rsidRDefault="008A47B8" w:rsidP="00C17F34">
            <w:pPr>
              <w:spacing w:after="0" w:line="240" w:lineRule="auto"/>
              <w:rPr>
                <w:rFonts w:ascii="Palatino Linotype" w:hAnsi="Palatino Linotype"/>
                <w:b/>
                <w:sz w:val="18"/>
                <w:szCs w:val="18"/>
                <w:lang w:eastAsia="en-AU"/>
              </w:rPr>
            </w:pPr>
          </w:p>
        </w:tc>
        <w:tc>
          <w:tcPr>
            <w:tcW w:w="1488" w:type="dxa"/>
            <w:tcBorders>
              <w:top w:val="nil"/>
              <w:bottom w:val="single" w:sz="4" w:space="0" w:color="auto"/>
            </w:tcBorders>
            <w:shd w:val="clear" w:color="auto" w:fill="auto"/>
            <w:noWrap/>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10% higher</w:t>
            </w:r>
          </w:p>
        </w:tc>
        <w:tc>
          <w:tcPr>
            <w:tcW w:w="1488" w:type="dxa"/>
            <w:tcBorders>
              <w:top w:val="nil"/>
              <w:bottom w:val="single" w:sz="4" w:space="0" w:color="auto"/>
            </w:tcBorders>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Adequate</w:t>
            </w:r>
          </w:p>
        </w:tc>
        <w:tc>
          <w:tcPr>
            <w:tcW w:w="1489" w:type="dxa"/>
            <w:tcBorders>
              <w:top w:val="nil"/>
              <w:bottom w:val="single" w:sz="4" w:space="0" w:color="auto"/>
            </w:tcBorders>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Target</w:t>
            </w:r>
          </w:p>
        </w:tc>
        <w:tc>
          <w:tcPr>
            <w:tcW w:w="1488" w:type="dxa"/>
            <w:tcBorders>
              <w:top w:val="nil"/>
              <w:bottom w:val="single" w:sz="4" w:space="0" w:color="auto"/>
            </w:tcBorders>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10% higher</w:t>
            </w:r>
          </w:p>
        </w:tc>
        <w:tc>
          <w:tcPr>
            <w:tcW w:w="1488" w:type="dxa"/>
            <w:tcBorders>
              <w:top w:val="nil"/>
              <w:bottom w:val="single" w:sz="4" w:space="0" w:color="auto"/>
            </w:tcBorders>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Adequate</w:t>
            </w:r>
          </w:p>
        </w:tc>
        <w:tc>
          <w:tcPr>
            <w:tcW w:w="1489" w:type="dxa"/>
            <w:tcBorders>
              <w:top w:val="nil"/>
              <w:bottom w:val="single" w:sz="4" w:space="0" w:color="auto"/>
            </w:tcBorders>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Target</w:t>
            </w:r>
          </w:p>
        </w:tc>
      </w:tr>
      <w:tr w:rsidR="008A47B8" w:rsidRPr="00F52313" w:rsidTr="00C17F34">
        <w:trPr>
          <w:trHeight w:val="216"/>
        </w:trPr>
        <w:tc>
          <w:tcPr>
            <w:tcW w:w="3227" w:type="dxa"/>
            <w:tcBorders>
              <w:top w:val="single" w:sz="4" w:space="0" w:color="auto"/>
            </w:tcBorders>
            <w:shd w:val="clear" w:color="auto" w:fill="auto"/>
            <w:noWrap/>
            <w:vAlign w:val="center"/>
            <w:hideMark/>
          </w:tcPr>
          <w:p w:rsidR="008A47B8" w:rsidRPr="00F52313" w:rsidRDefault="008A47B8" w:rsidP="00C17F34">
            <w:pPr>
              <w:spacing w:after="0" w:line="240" w:lineRule="auto"/>
              <w:rPr>
                <w:rFonts w:ascii="Palatino Linotype" w:eastAsia="Times New Roman" w:hAnsi="Palatino Linotype" w:cstheme="minorHAnsi"/>
                <w:b/>
                <w:color w:val="000000"/>
                <w:sz w:val="18"/>
                <w:szCs w:val="18"/>
                <w:lang w:eastAsia="en-AU"/>
              </w:rPr>
            </w:pPr>
            <w:r w:rsidRPr="00F52313">
              <w:rPr>
                <w:rFonts w:ascii="Palatino Linotype" w:hAnsi="Palatino Linotype"/>
                <w:b/>
                <w:sz w:val="18"/>
                <w:szCs w:val="18"/>
                <w:lang w:eastAsia="en-AU"/>
              </w:rPr>
              <w:t>Healthcare expenditure savings</w:t>
            </w:r>
          </w:p>
        </w:tc>
        <w:tc>
          <w:tcPr>
            <w:tcW w:w="1488" w:type="dxa"/>
            <w:tcBorders>
              <w:top w:val="single" w:sz="4" w:space="0" w:color="auto"/>
            </w:tcBorders>
            <w:shd w:val="clear" w:color="auto" w:fill="auto"/>
            <w:noWrap/>
            <w:vAlign w:val="center"/>
            <w:hideMark/>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8" w:type="dxa"/>
            <w:tcBorders>
              <w:top w:val="single" w:sz="4" w:space="0" w:color="auto"/>
            </w:tcBorders>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9" w:type="dxa"/>
            <w:tcBorders>
              <w:top w:val="single" w:sz="4" w:space="0" w:color="auto"/>
            </w:tcBorders>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p>
        </w:tc>
        <w:tc>
          <w:tcPr>
            <w:tcW w:w="1488" w:type="dxa"/>
            <w:tcBorders>
              <w:top w:val="single" w:sz="4" w:space="0" w:color="auto"/>
            </w:tcBorders>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8" w:type="dxa"/>
            <w:tcBorders>
              <w:top w:val="single" w:sz="4" w:space="0" w:color="auto"/>
            </w:tcBorders>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9" w:type="dxa"/>
            <w:tcBorders>
              <w:top w:val="single" w:sz="4" w:space="0" w:color="auto"/>
            </w:tcBorders>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r>
      <w:tr w:rsidR="008A47B8" w:rsidRPr="00F52313" w:rsidTr="00C17F34">
        <w:trPr>
          <w:trHeight w:val="214"/>
        </w:trPr>
        <w:tc>
          <w:tcPr>
            <w:tcW w:w="3227" w:type="dxa"/>
            <w:shd w:val="clear" w:color="auto" w:fill="auto"/>
            <w:noWrap/>
            <w:vAlign w:val="center"/>
            <w:hideMark/>
          </w:tcPr>
          <w:p w:rsidR="008A47B8" w:rsidRPr="00F52313" w:rsidRDefault="008A47B8" w:rsidP="00C17F34">
            <w:pPr>
              <w:spacing w:after="0" w:line="240" w:lineRule="auto"/>
              <w:ind w:firstLine="284"/>
              <w:rPr>
                <w:rFonts w:ascii="Palatino Linotype" w:eastAsia="Times New Roman" w:hAnsi="Palatino Linotype" w:cstheme="minorHAnsi"/>
                <w:color w:val="000000"/>
                <w:sz w:val="18"/>
                <w:szCs w:val="18"/>
                <w:lang w:eastAsia="en-AU"/>
              </w:rPr>
            </w:pPr>
            <w:r w:rsidRPr="00F52313">
              <w:rPr>
                <w:rFonts w:ascii="Palatino Linotype" w:hAnsi="Palatino Linotype"/>
                <w:sz w:val="18"/>
                <w:szCs w:val="18"/>
                <w:lang w:eastAsia="en-AU"/>
              </w:rPr>
              <w:t>Hospital</w:t>
            </w:r>
          </w:p>
        </w:tc>
        <w:tc>
          <w:tcPr>
            <w:tcW w:w="1488" w:type="dxa"/>
            <w:shd w:val="clear" w:color="auto" w:fill="auto"/>
            <w:noWrap/>
            <w:vAlign w:val="center"/>
            <w:hideMark/>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131.3</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278.1</w:t>
            </w:r>
          </w:p>
        </w:tc>
        <w:tc>
          <w:tcPr>
            <w:tcW w:w="1489"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620.8</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36.1</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78.0</w:t>
            </w:r>
          </w:p>
        </w:tc>
        <w:tc>
          <w:tcPr>
            <w:tcW w:w="1489"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171.2</w:t>
            </w:r>
          </w:p>
        </w:tc>
      </w:tr>
      <w:tr w:rsidR="008A47B8" w:rsidRPr="00F52313" w:rsidTr="00C17F34">
        <w:trPr>
          <w:trHeight w:val="214"/>
        </w:trPr>
        <w:tc>
          <w:tcPr>
            <w:tcW w:w="3227" w:type="dxa"/>
            <w:shd w:val="clear" w:color="auto" w:fill="auto"/>
            <w:noWrap/>
            <w:vAlign w:val="center"/>
            <w:hideMark/>
          </w:tcPr>
          <w:p w:rsidR="008A47B8" w:rsidRPr="00F52313" w:rsidRDefault="008A47B8" w:rsidP="00C17F34">
            <w:pPr>
              <w:spacing w:after="0" w:line="240" w:lineRule="auto"/>
              <w:ind w:firstLine="567"/>
              <w:rPr>
                <w:rFonts w:ascii="Palatino Linotype" w:eastAsia="Times New Roman" w:hAnsi="Palatino Linotype" w:cstheme="minorHAnsi"/>
                <w:color w:val="000000"/>
                <w:sz w:val="18"/>
                <w:szCs w:val="18"/>
                <w:lang w:eastAsia="en-AU"/>
              </w:rPr>
            </w:pPr>
            <w:r w:rsidRPr="00F52313">
              <w:rPr>
                <w:rFonts w:ascii="Palatino Linotype" w:hAnsi="Palatino Linotype"/>
                <w:sz w:val="18"/>
                <w:szCs w:val="18"/>
                <w:lang w:eastAsia="en-AU"/>
              </w:rPr>
              <w:t>Males</w:t>
            </w:r>
          </w:p>
        </w:tc>
        <w:tc>
          <w:tcPr>
            <w:tcW w:w="1488" w:type="dxa"/>
            <w:shd w:val="clear" w:color="auto" w:fill="auto"/>
            <w:noWrap/>
            <w:vAlign w:val="center"/>
            <w:hideMark/>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84.9</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185.6</w:t>
            </w:r>
          </w:p>
        </w:tc>
        <w:tc>
          <w:tcPr>
            <w:tcW w:w="1489"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461.8</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22.6</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50.1</w:t>
            </w:r>
          </w:p>
        </w:tc>
        <w:tc>
          <w:tcPr>
            <w:tcW w:w="1489"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123.7</w:t>
            </w:r>
          </w:p>
        </w:tc>
      </w:tr>
      <w:tr w:rsidR="008A47B8" w:rsidRPr="00F52313" w:rsidTr="00C17F34">
        <w:trPr>
          <w:trHeight w:val="214"/>
        </w:trPr>
        <w:tc>
          <w:tcPr>
            <w:tcW w:w="3227" w:type="dxa"/>
            <w:shd w:val="clear" w:color="auto" w:fill="auto"/>
            <w:noWrap/>
            <w:vAlign w:val="center"/>
            <w:hideMark/>
          </w:tcPr>
          <w:p w:rsidR="008A47B8" w:rsidRPr="00F52313" w:rsidRDefault="008A47B8" w:rsidP="00C17F34">
            <w:pPr>
              <w:spacing w:after="0" w:line="240" w:lineRule="auto"/>
              <w:ind w:firstLine="567"/>
              <w:rPr>
                <w:rFonts w:ascii="Palatino Linotype" w:eastAsia="Times New Roman" w:hAnsi="Palatino Linotype" w:cstheme="minorHAnsi"/>
                <w:color w:val="000000"/>
                <w:sz w:val="18"/>
                <w:szCs w:val="18"/>
                <w:lang w:eastAsia="en-AU"/>
              </w:rPr>
            </w:pPr>
            <w:r w:rsidRPr="00F52313">
              <w:rPr>
                <w:rFonts w:ascii="Palatino Linotype" w:hAnsi="Palatino Linotype"/>
                <w:sz w:val="18"/>
                <w:szCs w:val="18"/>
                <w:lang w:eastAsia="en-AU"/>
              </w:rPr>
              <w:t>Females</w:t>
            </w:r>
          </w:p>
        </w:tc>
        <w:tc>
          <w:tcPr>
            <w:tcW w:w="1488" w:type="dxa"/>
            <w:shd w:val="clear" w:color="auto" w:fill="auto"/>
            <w:noWrap/>
            <w:vAlign w:val="center"/>
            <w:hideMark/>
          </w:tcPr>
          <w:p w:rsidR="008A47B8" w:rsidRPr="00F52313" w:rsidRDefault="008A47B8" w:rsidP="00C17F34">
            <w:pPr>
              <w:spacing w:after="0" w:line="240" w:lineRule="auto"/>
              <w:jc w:val="center"/>
              <w:rPr>
                <w:rFonts w:ascii="Palatino Linotype" w:eastAsia="Times New Roman" w:hAnsi="Palatino Linotype" w:cstheme="minorHAnsi"/>
                <w:sz w:val="18"/>
                <w:szCs w:val="18"/>
                <w:lang w:eastAsia="en-AU"/>
              </w:rPr>
            </w:pPr>
            <w:r w:rsidRPr="00F52313">
              <w:rPr>
                <w:rFonts w:ascii="Palatino Linotype" w:eastAsia="Times New Roman" w:hAnsi="Palatino Linotype" w:cstheme="minorHAnsi"/>
                <w:sz w:val="18"/>
                <w:szCs w:val="18"/>
                <w:lang w:eastAsia="en-AU"/>
              </w:rPr>
              <w:t>46.4</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sz w:val="18"/>
                <w:szCs w:val="18"/>
                <w:lang w:eastAsia="en-AU"/>
              </w:rPr>
            </w:pPr>
            <w:r w:rsidRPr="00F52313">
              <w:rPr>
                <w:rFonts w:ascii="Palatino Linotype" w:eastAsia="Times New Roman" w:hAnsi="Palatino Linotype" w:cstheme="minorHAnsi"/>
                <w:sz w:val="18"/>
                <w:szCs w:val="18"/>
                <w:lang w:eastAsia="en-AU"/>
              </w:rPr>
              <w:t>92.5</w:t>
            </w:r>
          </w:p>
        </w:tc>
        <w:tc>
          <w:tcPr>
            <w:tcW w:w="1489"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159.3</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sz w:val="18"/>
                <w:szCs w:val="18"/>
                <w:lang w:eastAsia="en-AU"/>
              </w:rPr>
            </w:pPr>
            <w:r w:rsidRPr="00F52313">
              <w:rPr>
                <w:rFonts w:ascii="Palatino Linotype" w:eastAsia="Times New Roman" w:hAnsi="Palatino Linotype" w:cstheme="minorHAnsi"/>
                <w:sz w:val="18"/>
                <w:szCs w:val="18"/>
                <w:lang w:eastAsia="en-AU"/>
              </w:rPr>
              <w:t>13.5</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sz w:val="18"/>
                <w:szCs w:val="18"/>
                <w:lang w:eastAsia="en-AU"/>
              </w:rPr>
            </w:pPr>
            <w:r w:rsidRPr="00F52313">
              <w:rPr>
                <w:rFonts w:ascii="Palatino Linotype" w:eastAsia="Times New Roman" w:hAnsi="Palatino Linotype" w:cstheme="minorHAnsi"/>
                <w:sz w:val="18"/>
                <w:szCs w:val="18"/>
                <w:lang w:eastAsia="en-AU"/>
              </w:rPr>
              <w:t>27.9</w:t>
            </w:r>
          </w:p>
        </w:tc>
        <w:tc>
          <w:tcPr>
            <w:tcW w:w="1489"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sz w:val="18"/>
                <w:szCs w:val="18"/>
                <w:lang w:eastAsia="en-AU"/>
              </w:rPr>
            </w:pPr>
            <w:r w:rsidRPr="00F52313">
              <w:rPr>
                <w:rFonts w:ascii="Palatino Linotype" w:eastAsia="Times New Roman" w:hAnsi="Palatino Linotype" w:cstheme="minorHAnsi"/>
                <w:sz w:val="18"/>
                <w:szCs w:val="18"/>
                <w:lang w:eastAsia="en-AU"/>
              </w:rPr>
              <w:t>47.5</w:t>
            </w:r>
          </w:p>
        </w:tc>
      </w:tr>
      <w:tr w:rsidR="008A47B8" w:rsidRPr="00F52313" w:rsidTr="00C17F34">
        <w:trPr>
          <w:trHeight w:val="214"/>
        </w:trPr>
        <w:tc>
          <w:tcPr>
            <w:tcW w:w="3227" w:type="dxa"/>
            <w:shd w:val="clear" w:color="auto" w:fill="auto"/>
            <w:noWrap/>
            <w:vAlign w:val="center"/>
            <w:hideMark/>
          </w:tcPr>
          <w:p w:rsidR="008A47B8" w:rsidRPr="00F52313" w:rsidRDefault="008A47B8" w:rsidP="00C17F34">
            <w:pPr>
              <w:spacing w:after="0" w:line="240" w:lineRule="auto"/>
              <w:ind w:firstLine="284"/>
              <w:rPr>
                <w:rFonts w:ascii="Palatino Linotype" w:eastAsia="Times New Roman" w:hAnsi="Palatino Linotype" w:cstheme="minorHAnsi"/>
                <w:color w:val="000000"/>
                <w:sz w:val="18"/>
                <w:szCs w:val="18"/>
                <w:lang w:eastAsia="en-AU"/>
              </w:rPr>
            </w:pPr>
            <w:r w:rsidRPr="00F52313">
              <w:rPr>
                <w:rFonts w:ascii="Palatino Linotype" w:hAnsi="Palatino Linotype"/>
                <w:sz w:val="18"/>
                <w:szCs w:val="18"/>
                <w:lang w:eastAsia="en-AU"/>
              </w:rPr>
              <w:t>Out-of-hospital</w:t>
            </w:r>
          </w:p>
        </w:tc>
        <w:tc>
          <w:tcPr>
            <w:tcW w:w="1488" w:type="dxa"/>
            <w:shd w:val="clear" w:color="auto" w:fill="auto"/>
            <w:noWrap/>
            <w:vAlign w:val="center"/>
            <w:hideMark/>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42.6</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89.2</w:t>
            </w:r>
          </w:p>
        </w:tc>
        <w:tc>
          <w:tcPr>
            <w:tcW w:w="1489"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190.6</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11.6</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25.0</w:t>
            </w:r>
          </w:p>
        </w:tc>
        <w:tc>
          <w:tcPr>
            <w:tcW w:w="1489"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54.6</w:t>
            </w: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ind w:firstLine="567"/>
              <w:rPr>
                <w:rFonts w:ascii="Palatino Linotype" w:eastAsia="Times New Roman" w:hAnsi="Palatino Linotype" w:cstheme="minorHAnsi"/>
                <w:b/>
                <w:color w:val="000000"/>
                <w:sz w:val="18"/>
                <w:szCs w:val="18"/>
                <w:lang w:eastAsia="en-AU"/>
              </w:rPr>
            </w:pPr>
            <w:r w:rsidRPr="00F52313">
              <w:rPr>
                <w:rFonts w:ascii="Palatino Linotype" w:hAnsi="Palatino Linotype"/>
                <w:sz w:val="18"/>
                <w:szCs w:val="18"/>
                <w:lang w:eastAsia="en-AU"/>
              </w:rPr>
              <w:t>Males</w:t>
            </w:r>
          </w:p>
        </w:tc>
        <w:tc>
          <w:tcPr>
            <w:tcW w:w="1488" w:type="dxa"/>
            <w:shd w:val="clear" w:color="auto" w:fill="auto"/>
            <w:noWrap/>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22.1</w:t>
            </w:r>
          </w:p>
        </w:tc>
        <w:tc>
          <w:tcPr>
            <w:tcW w:w="1488"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48.4</w:t>
            </w:r>
          </w:p>
        </w:tc>
        <w:tc>
          <w:tcPr>
            <w:tcW w:w="1489"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120.3</w:t>
            </w:r>
          </w:p>
        </w:tc>
        <w:tc>
          <w:tcPr>
            <w:tcW w:w="1488"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7.1</w:t>
            </w:r>
          </w:p>
        </w:tc>
        <w:tc>
          <w:tcPr>
            <w:tcW w:w="1488"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15.7</w:t>
            </w:r>
          </w:p>
        </w:tc>
        <w:tc>
          <w:tcPr>
            <w:tcW w:w="1489"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38.9</w:t>
            </w:r>
          </w:p>
        </w:tc>
      </w:tr>
      <w:tr w:rsidR="008A47B8" w:rsidRPr="00F52313" w:rsidTr="00C17F34">
        <w:trPr>
          <w:trHeight w:val="214"/>
        </w:trPr>
        <w:tc>
          <w:tcPr>
            <w:tcW w:w="3227" w:type="dxa"/>
            <w:shd w:val="clear" w:color="auto" w:fill="auto"/>
            <w:noWrap/>
            <w:vAlign w:val="center"/>
            <w:hideMark/>
          </w:tcPr>
          <w:p w:rsidR="008A47B8" w:rsidRPr="00F52313" w:rsidRDefault="008A47B8" w:rsidP="00C17F34">
            <w:pPr>
              <w:spacing w:after="0" w:line="240" w:lineRule="auto"/>
              <w:ind w:firstLine="567"/>
              <w:rPr>
                <w:rFonts w:ascii="Palatino Linotype" w:eastAsia="Times New Roman" w:hAnsi="Palatino Linotype" w:cstheme="minorHAnsi"/>
                <w:color w:val="000000"/>
                <w:sz w:val="18"/>
                <w:szCs w:val="18"/>
                <w:lang w:eastAsia="en-AU"/>
              </w:rPr>
            </w:pPr>
            <w:r w:rsidRPr="00F52313">
              <w:rPr>
                <w:rFonts w:ascii="Palatino Linotype" w:hAnsi="Palatino Linotype"/>
                <w:sz w:val="18"/>
                <w:szCs w:val="18"/>
                <w:lang w:eastAsia="en-AU"/>
              </w:rPr>
              <w:t>Females</w:t>
            </w:r>
          </w:p>
        </w:tc>
        <w:tc>
          <w:tcPr>
            <w:tcW w:w="1488" w:type="dxa"/>
            <w:shd w:val="clear" w:color="auto" w:fill="auto"/>
            <w:noWrap/>
            <w:vAlign w:val="center"/>
            <w:hideMark/>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20.5</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40.9</w:t>
            </w:r>
          </w:p>
        </w:tc>
        <w:tc>
          <w:tcPr>
            <w:tcW w:w="1489" w:type="dxa"/>
            <w:shd w:val="clear" w:color="auto" w:fill="auto"/>
            <w:vAlign w:val="center"/>
          </w:tcPr>
          <w:p w:rsidR="008A47B8" w:rsidRPr="00F52313" w:rsidRDefault="008A47B8" w:rsidP="00C17F34">
            <w:pPr>
              <w:spacing w:after="0" w:line="240" w:lineRule="auto"/>
              <w:jc w:val="center"/>
              <w:rPr>
                <w:rFonts w:ascii="Palatino Linotype" w:hAnsi="Palatino Linotype"/>
                <w:sz w:val="18"/>
                <w:szCs w:val="18"/>
                <w:lang w:eastAsia="en-AU"/>
              </w:rPr>
            </w:pPr>
            <w:r w:rsidRPr="00F52313">
              <w:rPr>
                <w:rFonts w:ascii="Palatino Linotype" w:hAnsi="Palatino Linotype"/>
                <w:sz w:val="18"/>
                <w:szCs w:val="18"/>
                <w:lang w:eastAsia="en-AU"/>
              </w:rPr>
              <w:t>70.3</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4.5</w:t>
            </w:r>
          </w:p>
        </w:tc>
        <w:tc>
          <w:tcPr>
            <w:tcW w:w="1488"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9.3</w:t>
            </w:r>
          </w:p>
        </w:tc>
        <w:tc>
          <w:tcPr>
            <w:tcW w:w="1489" w:type="dxa"/>
            <w:shd w:val="clear" w:color="auto" w:fill="auto"/>
            <w:vAlign w:val="center"/>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15.8</w:t>
            </w:r>
          </w:p>
        </w:tc>
      </w:tr>
      <w:tr w:rsidR="008A47B8" w:rsidRPr="00F52313" w:rsidTr="00C17F34">
        <w:trPr>
          <w:trHeight w:val="240"/>
        </w:trPr>
        <w:tc>
          <w:tcPr>
            <w:tcW w:w="3227" w:type="dxa"/>
            <w:shd w:val="clear" w:color="auto" w:fill="auto"/>
            <w:noWrap/>
            <w:vAlign w:val="center"/>
            <w:hideMark/>
          </w:tcPr>
          <w:p w:rsidR="008A47B8" w:rsidRPr="00F52313" w:rsidRDefault="008A47B8" w:rsidP="00C17F34">
            <w:pPr>
              <w:spacing w:after="0" w:line="240" w:lineRule="auto"/>
              <w:ind w:firstLine="284"/>
              <w:rPr>
                <w:rFonts w:ascii="Palatino Linotype" w:eastAsia="Times New Roman" w:hAnsi="Palatino Linotype" w:cstheme="minorHAnsi"/>
                <w:color w:val="000000"/>
                <w:sz w:val="18"/>
                <w:szCs w:val="18"/>
                <w:lang w:eastAsia="en-AU"/>
              </w:rPr>
            </w:pPr>
            <w:r w:rsidRPr="00F52313">
              <w:rPr>
                <w:rFonts w:ascii="Palatino Linotype" w:hAnsi="Palatino Linotype"/>
                <w:sz w:val="18"/>
                <w:szCs w:val="18"/>
                <w:lang w:eastAsia="en-AU"/>
              </w:rPr>
              <w:t>Pharmaceutical</w:t>
            </w:r>
          </w:p>
        </w:tc>
        <w:tc>
          <w:tcPr>
            <w:tcW w:w="1488" w:type="dxa"/>
            <w:shd w:val="clear" w:color="auto" w:fill="auto"/>
            <w:noWrap/>
            <w:hideMark/>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47.6</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100.0</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215.2</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13.0</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28.0</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60.1</w:t>
            </w:r>
          </w:p>
        </w:tc>
      </w:tr>
      <w:tr w:rsidR="008A47B8" w:rsidRPr="00F52313" w:rsidTr="00C17F34">
        <w:trPr>
          <w:trHeight w:val="214"/>
        </w:trPr>
        <w:tc>
          <w:tcPr>
            <w:tcW w:w="3227" w:type="dxa"/>
            <w:shd w:val="clear" w:color="auto" w:fill="auto"/>
            <w:noWrap/>
            <w:vAlign w:val="center"/>
            <w:hideMark/>
          </w:tcPr>
          <w:p w:rsidR="008A47B8" w:rsidRPr="00F52313" w:rsidRDefault="008A47B8" w:rsidP="00C17F34">
            <w:pPr>
              <w:spacing w:after="0" w:line="240" w:lineRule="auto"/>
              <w:ind w:firstLine="567"/>
              <w:rPr>
                <w:rFonts w:ascii="Palatino Linotype" w:eastAsia="Times New Roman" w:hAnsi="Palatino Linotype" w:cstheme="minorHAnsi"/>
                <w:color w:val="000000"/>
                <w:sz w:val="18"/>
                <w:szCs w:val="18"/>
                <w:lang w:eastAsia="en-AU"/>
              </w:rPr>
            </w:pPr>
            <w:r w:rsidRPr="00F52313">
              <w:rPr>
                <w:rFonts w:ascii="Palatino Linotype" w:hAnsi="Palatino Linotype"/>
                <w:sz w:val="18"/>
                <w:szCs w:val="18"/>
                <w:lang w:eastAsia="en-AU"/>
              </w:rPr>
              <w:t>Males</w:t>
            </w:r>
          </w:p>
        </w:tc>
        <w:tc>
          <w:tcPr>
            <w:tcW w:w="1488" w:type="dxa"/>
            <w:shd w:val="clear" w:color="auto" w:fill="auto"/>
            <w:noWrap/>
            <w:hideMark/>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25.7</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56.3</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139.9</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7.3</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16.3</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40.1</w:t>
            </w: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ind w:firstLine="567"/>
              <w:rPr>
                <w:rFonts w:ascii="Palatino Linotype" w:eastAsia="Times New Roman" w:hAnsi="Palatino Linotype" w:cstheme="minorHAnsi"/>
                <w:color w:val="000000"/>
                <w:sz w:val="18"/>
                <w:szCs w:val="18"/>
                <w:lang w:eastAsia="en-AU"/>
              </w:rPr>
            </w:pPr>
            <w:r w:rsidRPr="00F52313">
              <w:rPr>
                <w:rFonts w:ascii="Palatino Linotype" w:hAnsi="Palatino Linotype"/>
                <w:sz w:val="18"/>
                <w:szCs w:val="18"/>
                <w:lang w:eastAsia="en-AU"/>
              </w:rPr>
              <w:t>Females</w:t>
            </w:r>
          </w:p>
        </w:tc>
        <w:tc>
          <w:tcPr>
            <w:tcW w:w="1488" w:type="dxa"/>
            <w:shd w:val="clear" w:color="auto" w:fill="auto"/>
            <w:noWrap/>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22.0</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43.7</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75.2</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5.7</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11.7</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19.9</w:t>
            </w: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ind w:firstLine="284"/>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Total</w:t>
            </w:r>
          </w:p>
        </w:tc>
        <w:tc>
          <w:tcPr>
            <w:tcW w:w="1488" w:type="dxa"/>
            <w:shd w:val="clear" w:color="auto" w:fill="auto"/>
            <w:noWrap/>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221.5</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467.3</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1,026.5</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60.7</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131.0</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275.9</w:t>
            </w: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rPr>
                <w:rFonts w:ascii="Palatino Linotype" w:hAnsi="Palatino Linotype"/>
                <w:b/>
                <w:sz w:val="18"/>
                <w:szCs w:val="18"/>
                <w:lang w:eastAsia="en-AU"/>
              </w:rPr>
            </w:pPr>
            <w:r w:rsidRPr="00F52313">
              <w:rPr>
                <w:rFonts w:ascii="Palatino Linotype" w:eastAsia="Times New Roman" w:hAnsi="Palatino Linotype" w:cstheme="minorHAnsi"/>
                <w:b/>
                <w:color w:val="000000"/>
                <w:sz w:val="18"/>
                <w:szCs w:val="18"/>
                <w:lang w:eastAsia="en-AU"/>
              </w:rPr>
              <w:t>Productivity cost savings</w:t>
            </w:r>
          </w:p>
        </w:tc>
        <w:tc>
          <w:tcPr>
            <w:tcW w:w="1488" w:type="dxa"/>
            <w:shd w:val="clear" w:color="auto" w:fill="auto"/>
            <w:noWrap/>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ind w:firstLine="284"/>
              <w:rPr>
                <w:rFonts w:ascii="Palatino Linotype" w:hAnsi="Palatino Linotype"/>
                <w:b/>
                <w:sz w:val="18"/>
                <w:szCs w:val="18"/>
                <w:lang w:eastAsia="en-AU"/>
              </w:rPr>
            </w:pPr>
            <w:r w:rsidRPr="00F52313">
              <w:rPr>
                <w:rFonts w:ascii="Palatino Linotype" w:hAnsi="Palatino Linotype"/>
                <w:sz w:val="18"/>
                <w:szCs w:val="18"/>
                <w:lang w:eastAsia="en-AU"/>
              </w:rPr>
              <w:t>Increased employment</w:t>
            </w:r>
          </w:p>
        </w:tc>
        <w:tc>
          <w:tcPr>
            <w:tcW w:w="1488" w:type="dxa"/>
            <w:shd w:val="clear" w:color="auto" w:fill="auto"/>
            <w:noWrap/>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29.8</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62.7</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136.9</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69.0</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142.3</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242.2</w:t>
            </w: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ind w:firstLine="284"/>
              <w:rPr>
                <w:rFonts w:ascii="Palatino Linotype" w:hAnsi="Palatino Linotype"/>
                <w:b/>
                <w:sz w:val="18"/>
                <w:szCs w:val="18"/>
                <w:lang w:eastAsia="en-AU"/>
              </w:rPr>
            </w:pPr>
            <w:r w:rsidRPr="00F52313">
              <w:rPr>
                <w:rFonts w:ascii="Palatino Linotype" w:hAnsi="Palatino Linotype"/>
                <w:sz w:val="18"/>
                <w:szCs w:val="18"/>
                <w:lang w:eastAsia="en-AU"/>
              </w:rPr>
              <w:t>Premature death averted</w:t>
            </w:r>
          </w:p>
        </w:tc>
        <w:tc>
          <w:tcPr>
            <w:tcW w:w="1488" w:type="dxa"/>
            <w:shd w:val="clear" w:color="auto" w:fill="auto"/>
            <w:noWrap/>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39.9</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78.9</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173.1</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15.6</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34.3</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81.0</w:t>
            </w: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ind w:firstLine="284"/>
              <w:rPr>
                <w:rFonts w:ascii="Palatino Linotype" w:hAnsi="Palatino Linotype"/>
                <w:b/>
                <w:sz w:val="18"/>
                <w:szCs w:val="18"/>
                <w:lang w:eastAsia="en-AU"/>
              </w:rPr>
            </w:pPr>
            <w:r w:rsidRPr="00F52313">
              <w:rPr>
                <w:rFonts w:ascii="Palatino Linotype" w:hAnsi="Palatino Linotype"/>
                <w:sz w:val="18"/>
                <w:szCs w:val="18"/>
                <w:lang w:eastAsia="en-AU"/>
              </w:rPr>
              <w:t>Absenteeism reduced</w:t>
            </w:r>
          </w:p>
        </w:tc>
        <w:tc>
          <w:tcPr>
            <w:tcW w:w="1488" w:type="dxa"/>
            <w:shd w:val="clear" w:color="auto" w:fill="auto"/>
            <w:noWrap/>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1.3</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2.7</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6.0</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17.9</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39.0</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90.0</w:t>
            </w: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ind w:firstLine="284"/>
              <w:rPr>
                <w:rFonts w:ascii="Palatino Linotype" w:hAnsi="Palatino Linotype"/>
                <w:b/>
                <w:sz w:val="18"/>
                <w:szCs w:val="18"/>
                <w:lang w:eastAsia="en-AU"/>
              </w:rPr>
            </w:pPr>
            <w:proofErr w:type="spellStart"/>
            <w:r w:rsidRPr="00F52313">
              <w:rPr>
                <w:rFonts w:ascii="Palatino Linotype" w:hAnsi="Palatino Linotype"/>
                <w:sz w:val="18"/>
                <w:szCs w:val="18"/>
                <w:lang w:eastAsia="en-AU"/>
              </w:rPr>
              <w:t>Presenteeism</w:t>
            </w:r>
            <w:proofErr w:type="spellEnd"/>
            <w:r w:rsidRPr="00F52313">
              <w:rPr>
                <w:rFonts w:ascii="Palatino Linotype" w:hAnsi="Palatino Linotype"/>
                <w:sz w:val="18"/>
                <w:szCs w:val="18"/>
                <w:lang w:eastAsia="en-AU"/>
              </w:rPr>
              <w:t xml:space="preserve"> reduced</w:t>
            </w:r>
            <w:r w:rsidRPr="00F52313">
              <w:rPr>
                <w:rFonts w:ascii="Palatino Linotype" w:eastAsia="Times New Roman" w:hAnsi="Palatino Linotype" w:cstheme="minorHAnsi"/>
                <w:color w:val="000000"/>
                <w:sz w:val="18"/>
                <w:szCs w:val="18"/>
                <w:vertAlign w:val="superscript"/>
                <w:lang w:eastAsia="en-AU"/>
              </w:rPr>
              <w:t>†</w:t>
            </w:r>
          </w:p>
        </w:tc>
        <w:tc>
          <w:tcPr>
            <w:tcW w:w="1488" w:type="dxa"/>
            <w:shd w:val="clear" w:color="auto" w:fill="auto"/>
            <w:noWrap/>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63.8</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134.4</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293.5</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200.1</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437.0</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color w:val="000000"/>
                <w:sz w:val="18"/>
                <w:szCs w:val="18"/>
                <w:lang w:eastAsia="en-AU"/>
              </w:rPr>
            </w:pPr>
            <w:r w:rsidRPr="00F52313">
              <w:rPr>
                <w:rFonts w:ascii="Palatino Linotype" w:eastAsia="Times New Roman" w:hAnsi="Palatino Linotype" w:cstheme="minorHAnsi"/>
                <w:color w:val="000000"/>
                <w:sz w:val="18"/>
                <w:szCs w:val="18"/>
                <w:lang w:eastAsia="en-AU"/>
              </w:rPr>
              <w:t>1,008.7</w:t>
            </w:r>
          </w:p>
        </w:tc>
      </w:tr>
      <w:tr w:rsidR="008A47B8" w:rsidRPr="00F52313" w:rsidTr="00C17F34">
        <w:trPr>
          <w:trHeight w:val="214"/>
        </w:trPr>
        <w:tc>
          <w:tcPr>
            <w:tcW w:w="3227" w:type="dxa"/>
            <w:shd w:val="clear" w:color="auto" w:fill="auto"/>
            <w:noWrap/>
            <w:vAlign w:val="center"/>
          </w:tcPr>
          <w:p w:rsidR="008A47B8" w:rsidRPr="00F52313" w:rsidRDefault="008A47B8" w:rsidP="00C17F34">
            <w:pPr>
              <w:spacing w:after="0" w:line="240" w:lineRule="auto"/>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Total</w:t>
            </w:r>
          </w:p>
        </w:tc>
        <w:tc>
          <w:tcPr>
            <w:tcW w:w="1488" w:type="dxa"/>
            <w:shd w:val="clear" w:color="auto" w:fill="auto"/>
            <w:noWrap/>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134.8</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278.8</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609.4</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302.6</w:t>
            </w:r>
          </w:p>
        </w:tc>
        <w:tc>
          <w:tcPr>
            <w:tcW w:w="1488"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652.6</w:t>
            </w:r>
          </w:p>
        </w:tc>
        <w:tc>
          <w:tcPr>
            <w:tcW w:w="1489" w:type="dxa"/>
            <w:shd w:val="clear" w:color="auto" w:fill="auto"/>
          </w:tcPr>
          <w:p w:rsidR="008A47B8" w:rsidRPr="00F52313" w:rsidRDefault="008A47B8" w:rsidP="00C17F34">
            <w:pPr>
              <w:spacing w:after="0" w:line="240" w:lineRule="auto"/>
              <w:jc w:val="center"/>
              <w:rPr>
                <w:rFonts w:ascii="Palatino Linotype" w:eastAsia="Times New Roman" w:hAnsi="Palatino Linotype" w:cstheme="minorHAnsi"/>
                <w:b/>
                <w:color w:val="000000"/>
                <w:sz w:val="18"/>
                <w:szCs w:val="18"/>
                <w:lang w:eastAsia="en-AU"/>
              </w:rPr>
            </w:pPr>
            <w:r w:rsidRPr="00F52313">
              <w:rPr>
                <w:rFonts w:ascii="Palatino Linotype" w:eastAsia="Times New Roman" w:hAnsi="Palatino Linotype" w:cstheme="minorHAnsi"/>
                <w:b/>
                <w:color w:val="000000"/>
                <w:sz w:val="18"/>
                <w:szCs w:val="18"/>
                <w:lang w:eastAsia="en-AU"/>
              </w:rPr>
              <w:t>1,421.9</w:t>
            </w:r>
          </w:p>
        </w:tc>
      </w:tr>
    </w:tbl>
    <w:p w:rsidR="008A47B8" w:rsidRPr="00F52313" w:rsidRDefault="008A47B8" w:rsidP="008A47B8">
      <w:pPr>
        <w:pStyle w:val="ListParagraph"/>
        <w:ind w:left="-567"/>
        <w:rPr>
          <w:rFonts w:ascii="Palatino Linotype" w:hAnsi="Palatino Linotype" w:cstheme="minorHAnsi"/>
          <w:sz w:val="18"/>
          <w:szCs w:val="18"/>
        </w:rPr>
      </w:pPr>
    </w:p>
    <w:p w:rsidR="008A47B8" w:rsidRPr="00F52313" w:rsidRDefault="008A47B8" w:rsidP="008A47B8">
      <w:pPr>
        <w:ind w:left="-900" w:hanging="93"/>
        <w:rPr>
          <w:rFonts w:ascii="Palatino Linotype" w:hAnsi="Palatino Linotype" w:cstheme="minorHAnsi"/>
          <w:sz w:val="18"/>
          <w:szCs w:val="18"/>
        </w:rPr>
      </w:pPr>
    </w:p>
    <w:p w:rsidR="008A47B8" w:rsidRPr="00F52313" w:rsidRDefault="008A47B8" w:rsidP="008A47B8">
      <w:pPr>
        <w:ind w:left="-900" w:hanging="93"/>
        <w:rPr>
          <w:rFonts w:ascii="Palatino Linotype" w:hAnsi="Palatino Linotype" w:cstheme="minorHAnsi"/>
          <w:sz w:val="18"/>
          <w:szCs w:val="18"/>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8A47B8" w:rsidRPr="00F52313" w:rsidRDefault="008A47B8" w:rsidP="008A47B8">
      <w:pPr>
        <w:pStyle w:val="NoSpacing"/>
        <w:ind w:left="-900"/>
        <w:rPr>
          <w:rFonts w:ascii="Palatino Linotype" w:eastAsia="Times New Roman" w:hAnsi="Palatino Linotype" w:cstheme="minorHAnsi"/>
          <w:color w:val="000000"/>
          <w:sz w:val="18"/>
          <w:szCs w:val="18"/>
          <w:vertAlign w:val="superscript"/>
          <w:lang w:eastAsia="en-AU"/>
        </w:rPr>
      </w:pPr>
    </w:p>
    <w:p w:rsidR="00F52313" w:rsidRDefault="00F52313" w:rsidP="008A47B8">
      <w:pPr>
        <w:pStyle w:val="NoSpacing"/>
        <w:ind w:left="-993" w:right="-1210"/>
        <w:rPr>
          <w:rFonts w:ascii="Palatino Linotype" w:hAnsi="Palatino Linotype"/>
          <w:sz w:val="18"/>
          <w:szCs w:val="18"/>
          <w:lang w:eastAsia="en-AU"/>
        </w:rPr>
      </w:pPr>
    </w:p>
    <w:p w:rsidR="00F52313" w:rsidRDefault="00F52313" w:rsidP="008A47B8">
      <w:pPr>
        <w:pStyle w:val="NoSpacing"/>
        <w:ind w:left="-993" w:right="-1210"/>
        <w:rPr>
          <w:rFonts w:ascii="Palatino Linotype" w:hAnsi="Palatino Linotype"/>
          <w:sz w:val="18"/>
          <w:szCs w:val="18"/>
          <w:lang w:eastAsia="en-AU"/>
        </w:rPr>
      </w:pPr>
    </w:p>
    <w:p w:rsidR="003C70C6" w:rsidRDefault="003C70C6" w:rsidP="008A47B8">
      <w:pPr>
        <w:pStyle w:val="NoSpacing"/>
        <w:ind w:left="-993" w:right="-1210"/>
        <w:rPr>
          <w:rFonts w:ascii="Palatino Linotype" w:hAnsi="Palatino Linotype"/>
          <w:sz w:val="18"/>
          <w:szCs w:val="18"/>
          <w:lang w:eastAsia="en-AU"/>
        </w:rPr>
      </w:pPr>
    </w:p>
    <w:p w:rsidR="008A47B8" w:rsidRPr="00F52313" w:rsidRDefault="008A47B8" w:rsidP="008A47B8">
      <w:pPr>
        <w:pStyle w:val="NoSpacing"/>
        <w:ind w:left="-993" w:right="-1210"/>
        <w:rPr>
          <w:rFonts w:ascii="Palatino Linotype" w:hAnsi="Palatino Linotype"/>
          <w:sz w:val="18"/>
          <w:szCs w:val="18"/>
        </w:rPr>
      </w:pPr>
      <w:bookmarkStart w:id="0" w:name="_GoBack"/>
      <w:bookmarkEnd w:id="0"/>
      <w:r w:rsidRPr="00F52313">
        <w:rPr>
          <w:rFonts w:ascii="Palatino Linotype" w:hAnsi="Palatino Linotype"/>
          <w:sz w:val="18"/>
          <w:szCs w:val="18"/>
          <w:lang w:eastAsia="en-AU"/>
        </w:rPr>
        <w:t>‘10% higher’ is a 10% increase in current fibre intakes and is equivalent to an increase of between 2.1-2.5 grams per day; ‘adequate intake’ is an increase in current dietary fibre intake to 30 grams per day for males and 25 grams per day for females and is equivalent to an increase of 3.9-5.2 grams per day; and ‘target intake’ is an increase in current dietary intake to 38 grams per day for males and 28 grams per day for females and is equivalent to an increase of 6.9-13.2 grams per day. All scenarios increase fibre intake using cereal fibre.</w:t>
      </w:r>
    </w:p>
    <w:p w:rsidR="008A47B8" w:rsidRPr="00F52313" w:rsidRDefault="008A47B8" w:rsidP="008A47B8">
      <w:pPr>
        <w:pStyle w:val="NoSpacing"/>
        <w:ind w:left="-993"/>
        <w:rPr>
          <w:rFonts w:ascii="Palatino Linotype" w:hAnsi="Palatino Linotype"/>
          <w:sz w:val="18"/>
          <w:szCs w:val="18"/>
        </w:rPr>
      </w:pPr>
      <w:r w:rsidRPr="00F52313">
        <w:rPr>
          <w:rFonts w:ascii="Palatino Linotype" w:eastAsia="Times New Roman" w:hAnsi="Palatino Linotype" w:cstheme="minorHAnsi"/>
          <w:color w:val="000000"/>
          <w:sz w:val="18"/>
          <w:szCs w:val="18"/>
          <w:vertAlign w:val="superscript"/>
          <w:lang w:eastAsia="en-AU"/>
        </w:rPr>
        <w:t>†</w:t>
      </w:r>
      <w:r w:rsidRPr="00F52313">
        <w:rPr>
          <w:rFonts w:ascii="Palatino Linotype" w:hAnsi="Palatino Linotype"/>
          <w:sz w:val="18"/>
          <w:szCs w:val="18"/>
        </w:rPr>
        <w:t xml:space="preserve">Cardiovascular disease </w:t>
      </w:r>
      <w:proofErr w:type="spellStart"/>
      <w:r w:rsidRPr="00F52313">
        <w:rPr>
          <w:rFonts w:ascii="Palatino Linotype" w:hAnsi="Palatino Linotype"/>
          <w:sz w:val="18"/>
          <w:szCs w:val="18"/>
        </w:rPr>
        <w:t>presenteeism</w:t>
      </w:r>
      <w:proofErr w:type="spellEnd"/>
      <w:r w:rsidRPr="00F52313">
        <w:rPr>
          <w:rFonts w:ascii="Palatino Linotype" w:hAnsi="Palatino Linotype"/>
          <w:sz w:val="18"/>
          <w:szCs w:val="18"/>
        </w:rPr>
        <w:t xml:space="preserve"> is based on </w:t>
      </w:r>
      <w:proofErr w:type="spellStart"/>
      <w:r w:rsidRPr="00F52313">
        <w:rPr>
          <w:rFonts w:ascii="Palatino Linotype" w:hAnsi="Palatino Linotype"/>
          <w:sz w:val="18"/>
          <w:szCs w:val="18"/>
        </w:rPr>
        <w:t>presenteeism</w:t>
      </w:r>
      <w:proofErr w:type="spellEnd"/>
      <w:r w:rsidRPr="00F52313">
        <w:rPr>
          <w:rFonts w:ascii="Palatino Linotype" w:hAnsi="Palatino Linotype"/>
          <w:sz w:val="18"/>
          <w:szCs w:val="18"/>
        </w:rPr>
        <w:t xml:space="preserve"> costs for stroke.</w:t>
      </w:r>
    </w:p>
    <w:p w:rsidR="008A47B8" w:rsidRDefault="008A47B8" w:rsidP="008A47B8">
      <w:pPr>
        <w:ind w:left="-900" w:hanging="93"/>
        <w:rPr>
          <w:rFonts w:cstheme="minorHAnsi"/>
          <w:b/>
        </w:rPr>
      </w:pPr>
    </w:p>
    <w:p w:rsidR="00E8495D" w:rsidRDefault="003C70C6"/>
    <w:sectPr w:rsidR="00E8495D" w:rsidSect="008A47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7B8"/>
    <w:rsid w:val="00352667"/>
    <w:rsid w:val="003C70C6"/>
    <w:rsid w:val="008A47B8"/>
    <w:rsid w:val="008B7A84"/>
    <w:rsid w:val="00934EC4"/>
    <w:rsid w:val="00A5202A"/>
    <w:rsid w:val="00AE0DB0"/>
    <w:rsid w:val="00F052DA"/>
    <w:rsid w:val="00F47C51"/>
    <w:rsid w:val="00F523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E44A4A"/>
  <w15:docId w15:val="{97428EAC-824E-4A5C-8F47-FCD23879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47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7B8"/>
    <w:pPr>
      <w:spacing w:after="0" w:line="240" w:lineRule="auto"/>
      <w:ind w:left="720"/>
      <w:contextualSpacing/>
    </w:pPr>
    <w:rPr>
      <w:rFonts w:eastAsiaTheme="minorEastAsia"/>
      <w:sz w:val="24"/>
      <w:szCs w:val="24"/>
      <w:lang w:val="en-US"/>
    </w:rPr>
  </w:style>
  <w:style w:type="paragraph" w:styleId="NoSpacing">
    <w:name w:val="No Spacing"/>
    <w:uiPriority w:val="1"/>
    <w:qFormat/>
    <w:rsid w:val="008A47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Tuck</dc:creator>
  <cp:keywords/>
  <dc:description/>
  <cp:lastModifiedBy>Kate Tuck</cp:lastModifiedBy>
  <cp:revision>5</cp:revision>
  <dcterms:created xsi:type="dcterms:W3CDTF">2017-10-25T01:58:00Z</dcterms:created>
  <dcterms:modified xsi:type="dcterms:W3CDTF">2017-10-29T10:41:00Z</dcterms:modified>
</cp:coreProperties>
</file>