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4100" w:rsidRDefault="00E11825" w:rsidP="00DB367C">
      <w:pPr>
        <w:adjustRightInd w:val="0"/>
        <w:snapToGrid w:val="0"/>
        <w:spacing w:line="240" w:lineRule="atLeast"/>
        <w:jc w:val="both"/>
        <w:rPr>
          <w:rFonts w:ascii="Palatino Linotype" w:hAnsi="Palatino Linotype" w:cs="Times New Roman"/>
          <w:b/>
          <w:sz w:val="20"/>
        </w:rPr>
      </w:pPr>
      <w:r w:rsidRPr="00DB367C">
        <w:rPr>
          <w:rFonts w:ascii="Palatino Linotype" w:hAnsi="Palatino Linotype" w:cs="Times New Roman"/>
          <w:b/>
          <w:sz w:val="20"/>
        </w:rPr>
        <w:t>Legends for supplementary figure</w:t>
      </w:r>
    </w:p>
    <w:p w:rsidR="005C360A" w:rsidRDefault="005C360A" w:rsidP="00DB367C">
      <w:pPr>
        <w:adjustRightInd w:val="0"/>
        <w:snapToGrid w:val="0"/>
        <w:spacing w:line="240" w:lineRule="atLeast"/>
        <w:jc w:val="both"/>
        <w:rPr>
          <w:rFonts w:ascii="Palatino Linotype" w:hAnsi="Palatino Linotype" w:cs="Times New Roman"/>
          <w:b/>
          <w:sz w:val="20"/>
        </w:rPr>
      </w:pPr>
    </w:p>
    <w:p w:rsidR="005C360A" w:rsidRDefault="005C360A" w:rsidP="005C360A">
      <w:pPr>
        <w:adjustRightInd w:val="0"/>
        <w:snapToGrid w:val="0"/>
        <w:spacing w:line="240" w:lineRule="atLeast"/>
        <w:jc w:val="both"/>
        <w:rPr>
          <w:rFonts w:ascii="Palatino Linotype" w:hAnsi="Palatino Linotype" w:cs="Times New Roman"/>
          <w:sz w:val="20"/>
        </w:rPr>
      </w:pPr>
      <w:r w:rsidRPr="00DB367C">
        <w:rPr>
          <w:rFonts w:ascii="Palatino Linotype" w:hAnsi="Palatino Linotype" w:cs="Times New Roman"/>
          <w:b/>
          <w:sz w:val="20"/>
        </w:rPr>
        <w:t>Figure S</w:t>
      </w:r>
      <w:r>
        <w:rPr>
          <w:rFonts w:ascii="Palatino Linotype" w:hAnsi="Palatino Linotype" w:cs="Times New Roman" w:hint="eastAsia"/>
          <w:b/>
          <w:sz w:val="20"/>
        </w:rPr>
        <w:t>1</w:t>
      </w:r>
      <w:r w:rsidRPr="00DB367C">
        <w:rPr>
          <w:rFonts w:ascii="Palatino Linotype" w:hAnsi="Palatino Linotype" w:cs="Times New Roman"/>
          <w:b/>
          <w:sz w:val="20"/>
        </w:rPr>
        <w:t>.</w:t>
      </w:r>
      <w:r>
        <w:rPr>
          <w:rFonts w:ascii="Palatino Linotype" w:hAnsi="Palatino Linotype" w:cs="Times New Roman" w:hint="eastAsia"/>
          <w:b/>
          <w:sz w:val="20"/>
        </w:rPr>
        <w:t xml:space="preserve"> </w:t>
      </w:r>
      <w:r w:rsidRPr="00DB367C">
        <w:rPr>
          <w:rFonts w:ascii="Palatino Linotype" w:hAnsi="Palatino Linotype" w:cs="Times New Roman"/>
          <w:sz w:val="20"/>
        </w:rPr>
        <w:t xml:space="preserve">The inhibitory activities of </w:t>
      </w:r>
      <w:r>
        <w:rPr>
          <w:rFonts w:ascii="Palatino Linotype" w:hAnsi="Palatino Linotype" w:cs="Times New Roman"/>
          <w:sz w:val="20"/>
        </w:rPr>
        <w:t xml:space="preserve">peel and pulp of </w:t>
      </w:r>
      <w:r w:rsidRPr="00DB367C">
        <w:rPr>
          <w:rFonts w:ascii="Palatino Linotype" w:hAnsi="Palatino Linotype" w:cs="Times New Roman"/>
          <w:sz w:val="20"/>
        </w:rPr>
        <w:t>pomegranate fruit.</w:t>
      </w:r>
      <w:bookmarkStart w:id="0" w:name="_GoBack"/>
      <w:bookmarkEnd w:id="0"/>
      <w:r w:rsidRPr="00DB367C">
        <w:rPr>
          <w:rFonts w:ascii="Palatino Linotype" w:hAnsi="Palatino Linotype" w:cs="Times New Roman"/>
          <w:sz w:val="20"/>
        </w:rPr>
        <w:t xml:space="preserve"> T24 </w:t>
      </w:r>
      <w:r>
        <w:rPr>
          <w:rFonts w:ascii="Palatino Linotype" w:hAnsi="Palatino Linotype" w:cs="Times New Roman" w:hint="eastAsia"/>
          <w:sz w:val="20"/>
        </w:rPr>
        <w:t xml:space="preserve">(A) </w:t>
      </w:r>
      <w:r w:rsidRPr="00DB367C">
        <w:rPr>
          <w:rFonts w:ascii="Palatino Linotype" w:hAnsi="Palatino Linotype" w:cs="Times New Roman"/>
          <w:sz w:val="20"/>
        </w:rPr>
        <w:t xml:space="preserve">or J82 </w:t>
      </w:r>
      <w:r>
        <w:rPr>
          <w:rFonts w:ascii="Palatino Linotype" w:hAnsi="Palatino Linotype" w:cs="Times New Roman" w:hint="eastAsia"/>
          <w:sz w:val="20"/>
        </w:rPr>
        <w:t xml:space="preserve">(B) </w:t>
      </w:r>
      <w:r w:rsidRPr="00DB367C">
        <w:rPr>
          <w:rFonts w:ascii="Palatino Linotype" w:hAnsi="Palatino Linotype" w:cs="Times New Roman"/>
          <w:sz w:val="20"/>
        </w:rPr>
        <w:t>cells were used to examine the inhibitory activities</w:t>
      </w:r>
      <w:r>
        <w:rPr>
          <w:rFonts w:ascii="Palatino Linotype" w:hAnsi="Palatino Linotype" w:cs="Times New Roman" w:hint="eastAsia"/>
          <w:sz w:val="20"/>
        </w:rPr>
        <w:t>.</w:t>
      </w:r>
      <w:r w:rsidRPr="00DB367C">
        <w:rPr>
          <w:rFonts w:ascii="Palatino Linotype" w:hAnsi="Palatino Linotype" w:cs="Times New Roman"/>
          <w:sz w:val="20"/>
        </w:rPr>
        <w:t xml:space="preserve"> </w:t>
      </w:r>
      <w:r>
        <w:rPr>
          <w:rFonts w:ascii="Palatino Linotype" w:hAnsi="Palatino Linotype" w:cs="Times New Roman"/>
          <w:sz w:val="20"/>
        </w:rPr>
        <w:t xml:space="preserve">PEP2 and PEP3 fractions </w:t>
      </w:r>
      <w:r w:rsidRPr="00DB367C">
        <w:rPr>
          <w:rFonts w:ascii="Palatino Linotype" w:hAnsi="Palatino Linotype" w:cs="Times New Roman"/>
          <w:sz w:val="20"/>
        </w:rPr>
        <w:t>from the EtOAc layer were examined for the toxicity to normal-like E7 cells</w:t>
      </w:r>
      <w:r>
        <w:rPr>
          <w:rFonts w:ascii="Palatino Linotype" w:hAnsi="Palatino Linotype" w:cs="Times New Roman"/>
          <w:sz w:val="20"/>
        </w:rPr>
        <w:t xml:space="preserve"> (C)</w:t>
      </w:r>
      <w:r w:rsidRPr="00DB367C">
        <w:rPr>
          <w:rFonts w:ascii="Palatino Linotype" w:hAnsi="Palatino Linotype" w:cs="Times New Roman"/>
          <w:sz w:val="20"/>
        </w:rPr>
        <w:t>.</w:t>
      </w:r>
    </w:p>
    <w:p w:rsidR="005C360A" w:rsidRDefault="005C360A" w:rsidP="005C360A">
      <w:pPr>
        <w:adjustRightInd w:val="0"/>
        <w:snapToGrid w:val="0"/>
        <w:spacing w:line="240" w:lineRule="atLeast"/>
        <w:jc w:val="both"/>
        <w:rPr>
          <w:rFonts w:ascii="Palatino Linotype" w:hAnsi="Palatino Linotype" w:cs="Times New Roman"/>
          <w:sz w:val="20"/>
        </w:rPr>
      </w:pPr>
    </w:p>
    <w:p w:rsidR="002007CD" w:rsidRDefault="000C76EA" w:rsidP="00DB367C">
      <w:pPr>
        <w:adjustRightInd w:val="0"/>
        <w:snapToGrid w:val="0"/>
        <w:spacing w:line="240" w:lineRule="atLeast"/>
        <w:jc w:val="both"/>
        <w:rPr>
          <w:rFonts w:ascii="Palatino Linotype" w:hAnsi="Palatino Linotype" w:cs="Times New Roman"/>
          <w:sz w:val="20"/>
        </w:rPr>
      </w:pPr>
      <w:r w:rsidRPr="00DB367C">
        <w:rPr>
          <w:rFonts w:ascii="Palatino Linotype" w:hAnsi="Palatino Linotype" w:cs="Times New Roman"/>
          <w:b/>
          <w:sz w:val="20"/>
        </w:rPr>
        <w:t>Figure</w:t>
      </w:r>
      <w:r w:rsidR="002007CD" w:rsidRPr="00DB367C">
        <w:rPr>
          <w:rFonts w:ascii="Palatino Linotype" w:hAnsi="Palatino Linotype" w:cs="Times New Roman"/>
          <w:b/>
          <w:sz w:val="20"/>
        </w:rPr>
        <w:t xml:space="preserve"> </w:t>
      </w:r>
      <w:r w:rsidR="00E30686" w:rsidRPr="00DB367C">
        <w:rPr>
          <w:rFonts w:ascii="Palatino Linotype" w:hAnsi="Palatino Linotype" w:cs="Times New Roman"/>
          <w:b/>
          <w:sz w:val="20"/>
        </w:rPr>
        <w:t>S</w:t>
      </w:r>
      <w:r w:rsidR="005C360A">
        <w:rPr>
          <w:rFonts w:ascii="Palatino Linotype" w:hAnsi="Palatino Linotype" w:cs="Times New Roman"/>
          <w:b/>
          <w:sz w:val="20"/>
        </w:rPr>
        <w:t>2</w:t>
      </w:r>
      <w:r w:rsidRPr="00DB367C">
        <w:rPr>
          <w:rFonts w:ascii="Palatino Linotype" w:hAnsi="Palatino Linotype" w:cs="Times New Roman"/>
          <w:b/>
          <w:sz w:val="20"/>
        </w:rPr>
        <w:t xml:space="preserve">. </w:t>
      </w:r>
      <w:r w:rsidR="002007CD" w:rsidRPr="00DB367C">
        <w:rPr>
          <w:rFonts w:ascii="Palatino Linotype" w:hAnsi="Palatino Linotype" w:cs="Times New Roman"/>
          <w:sz w:val="20"/>
        </w:rPr>
        <w:t>The HPLC profiles of EtOAc layer of PEP and PEPE2.</w:t>
      </w:r>
      <w:r w:rsidRPr="00DB367C">
        <w:rPr>
          <w:rFonts w:ascii="Palatino Linotype" w:hAnsi="Palatino Linotype" w:cs="Times New Roman"/>
          <w:sz w:val="20"/>
        </w:rPr>
        <w:t xml:space="preserve"> (A)</w:t>
      </w:r>
      <w:r w:rsidR="00DB367C">
        <w:rPr>
          <w:rFonts w:ascii="Palatino Linotype" w:hAnsi="Palatino Linotype" w:cs="Times New Roman" w:hint="eastAsia"/>
          <w:sz w:val="20"/>
        </w:rPr>
        <w:t xml:space="preserve"> </w:t>
      </w:r>
      <w:r w:rsidR="002007CD" w:rsidRPr="00DB367C">
        <w:rPr>
          <w:rFonts w:ascii="Palatino Linotype" w:hAnsi="Palatino Linotype" w:cs="Times New Roman"/>
          <w:sz w:val="20"/>
        </w:rPr>
        <w:t>The HPLC profile of EtOAc layer of PEP. (B) The profile of PEPE2.</w:t>
      </w:r>
    </w:p>
    <w:p w:rsidR="00DB367C" w:rsidRPr="00DB367C" w:rsidRDefault="00DB367C" w:rsidP="00DB367C">
      <w:pPr>
        <w:adjustRightInd w:val="0"/>
        <w:snapToGrid w:val="0"/>
        <w:spacing w:line="240" w:lineRule="atLeast"/>
        <w:jc w:val="both"/>
        <w:rPr>
          <w:rFonts w:ascii="Palatino Linotype" w:hAnsi="Palatino Linotype" w:cs="Times New Roman"/>
          <w:sz w:val="20"/>
        </w:rPr>
      </w:pPr>
    </w:p>
    <w:p w:rsidR="001F0AE1" w:rsidRDefault="001F0AE1" w:rsidP="00DB367C">
      <w:pPr>
        <w:adjustRightInd w:val="0"/>
        <w:snapToGrid w:val="0"/>
        <w:spacing w:line="240" w:lineRule="atLeast"/>
        <w:jc w:val="both"/>
        <w:rPr>
          <w:rFonts w:ascii="Palatino Linotype" w:hAnsi="Palatino Linotype" w:cs="Times New Roman"/>
          <w:sz w:val="20"/>
        </w:rPr>
      </w:pPr>
      <w:r w:rsidRPr="001F0AE1">
        <w:rPr>
          <w:rFonts w:ascii="Palatino Linotype" w:hAnsi="Palatino Linotype" w:cs="Times New Roman" w:hint="eastAsia"/>
          <w:b/>
          <w:sz w:val="20"/>
        </w:rPr>
        <w:t>F</w:t>
      </w:r>
      <w:r w:rsidRPr="001F0AE1">
        <w:rPr>
          <w:rFonts w:ascii="Palatino Linotype" w:hAnsi="Palatino Linotype" w:cs="Times New Roman"/>
          <w:b/>
          <w:sz w:val="20"/>
        </w:rPr>
        <w:t>igure S3.</w:t>
      </w:r>
      <w:r>
        <w:rPr>
          <w:rFonts w:ascii="Palatino Linotype" w:hAnsi="Palatino Linotype" w:cs="Times New Roman"/>
          <w:sz w:val="20"/>
        </w:rPr>
        <w:t xml:space="preserve"> </w:t>
      </w:r>
      <w:r w:rsidR="00994AF5" w:rsidRPr="00994AF5">
        <w:rPr>
          <w:rFonts w:ascii="Palatino Linotype" w:hAnsi="Palatino Linotype" w:cs="Times New Roman"/>
          <w:sz w:val="20"/>
        </w:rPr>
        <w:t>The molecular mechanisms of apoptotic pathway evoked in PEPE2-incubated UBUC</w:t>
      </w:r>
      <w:r w:rsidR="00994AF5">
        <w:rPr>
          <w:rFonts w:ascii="Palatino Linotype" w:hAnsi="Palatino Linotype" w:cs="Times New Roman"/>
          <w:sz w:val="20"/>
        </w:rPr>
        <w:t xml:space="preserve"> J82</w:t>
      </w:r>
      <w:r w:rsidR="00994AF5" w:rsidRPr="00994AF5">
        <w:rPr>
          <w:rFonts w:ascii="Palatino Linotype" w:hAnsi="Palatino Linotype" w:cs="Times New Roman"/>
          <w:sz w:val="20"/>
        </w:rPr>
        <w:t xml:space="preserve"> cells</w:t>
      </w:r>
      <w:r w:rsidR="00994AF5">
        <w:rPr>
          <w:rFonts w:ascii="Palatino Linotype" w:hAnsi="Palatino Linotype" w:cs="Times New Roman"/>
          <w:sz w:val="20"/>
        </w:rPr>
        <w:t>.</w:t>
      </w:r>
      <w:r w:rsidR="00994AF5" w:rsidRPr="00994AF5">
        <w:rPr>
          <w:rFonts w:ascii="Palatino Linotype" w:hAnsi="Palatino Linotype" w:cs="Times New Roman"/>
          <w:sz w:val="20"/>
        </w:rPr>
        <w:t xml:space="preserve"> (</w:t>
      </w:r>
      <w:r w:rsidR="00994AF5">
        <w:rPr>
          <w:rFonts w:ascii="Palatino Linotype" w:hAnsi="Palatino Linotype" w:cs="Times New Roman"/>
          <w:sz w:val="20"/>
        </w:rPr>
        <w:t>A</w:t>
      </w:r>
      <w:r w:rsidR="00994AF5" w:rsidRPr="00994AF5">
        <w:rPr>
          <w:rFonts w:ascii="Palatino Linotype" w:hAnsi="Palatino Linotype" w:cs="Times New Roman"/>
          <w:sz w:val="20"/>
        </w:rPr>
        <w:t>) pro-/cleaved caspase-8, DR4 and DR5</w:t>
      </w:r>
      <w:r w:rsidR="00994AF5">
        <w:rPr>
          <w:rFonts w:ascii="Palatino Linotype" w:hAnsi="Palatino Linotype" w:cs="Times New Roman"/>
          <w:sz w:val="20"/>
        </w:rPr>
        <w:t xml:space="preserve">, </w:t>
      </w:r>
      <w:r w:rsidR="00994AF5" w:rsidRPr="00994AF5">
        <w:rPr>
          <w:rFonts w:ascii="Palatino Linotype" w:hAnsi="Palatino Linotype" w:cs="Times New Roman"/>
          <w:sz w:val="20"/>
        </w:rPr>
        <w:t>(</w:t>
      </w:r>
      <w:r w:rsidR="00994AF5">
        <w:rPr>
          <w:rFonts w:ascii="Palatino Linotype" w:hAnsi="Palatino Linotype" w:cs="Times New Roman"/>
          <w:sz w:val="20"/>
        </w:rPr>
        <w:t>B</w:t>
      </w:r>
      <w:r w:rsidR="00994AF5" w:rsidRPr="00994AF5">
        <w:rPr>
          <w:rFonts w:ascii="Palatino Linotype" w:hAnsi="Palatino Linotype" w:cs="Times New Roman"/>
          <w:sz w:val="20"/>
        </w:rPr>
        <w:t>) pro-/cleaved caspase-9, Bax and Bcl-2</w:t>
      </w:r>
      <w:r w:rsidR="00994AF5">
        <w:rPr>
          <w:rFonts w:ascii="Palatino Linotype" w:hAnsi="Palatino Linotype" w:cs="Times New Roman"/>
          <w:sz w:val="20"/>
        </w:rPr>
        <w:t>,</w:t>
      </w:r>
      <w:r w:rsidR="00994AF5" w:rsidRPr="00994AF5">
        <w:rPr>
          <w:rFonts w:ascii="Palatino Linotype" w:hAnsi="Palatino Linotype" w:cs="Times New Roman"/>
          <w:sz w:val="20"/>
        </w:rPr>
        <w:t xml:space="preserve"> (</w:t>
      </w:r>
      <w:r w:rsidR="00994AF5">
        <w:rPr>
          <w:rFonts w:ascii="Palatino Linotype" w:hAnsi="Palatino Linotype" w:cs="Times New Roman"/>
          <w:sz w:val="20"/>
        </w:rPr>
        <w:t>C</w:t>
      </w:r>
      <w:r w:rsidR="00994AF5" w:rsidRPr="00994AF5">
        <w:rPr>
          <w:rFonts w:ascii="Palatino Linotype" w:hAnsi="Palatino Linotype" w:cs="Times New Roman"/>
          <w:sz w:val="20"/>
        </w:rPr>
        <w:t xml:space="preserve">) Bip, VCP and pro- caspase-12 </w:t>
      </w:r>
      <w:r w:rsidR="00994AF5" w:rsidRPr="001F0AE1">
        <w:rPr>
          <w:rFonts w:ascii="Palatino Linotype" w:hAnsi="Palatino Linotype" w:cs="Times New Roman"/>
          <w:sz w:val="20"/>
        </w:rPr>
        <w:t>in PEPE2-incubated J82 cells</w:t>
      </w:r>
      <w:r w:rsidR="00994AF5">
        <w:rPr>
          <w:rFonts w:ascii="Palatino Linotype" w:hAnsi="Palatino Linotype" w:cs="Times New Roman"/>
          <w:sz w:val="20"/>
        </w:rPr>
        <w:t xml:space="preserve">. </w:t>
      </w:r>
      <w:r w:rsidR="000E0CC4" w:rsidRPr="000E0CC4">
        <w:rPr>
          <w:rFonts w:ascii="Palatino Linotype" w:hAnsi="Palatino Linotype" w:cs="Times New Roman"/>
          <w:sz w:val="20"/>
        </w:rPr>
        <w:t>The immunoblot in each figure was the representative result of at least three independent experiments. The diagram (ratio [mean±SD]) under each immunoblot indicated the ratio of normalized protein intensity (observed protein/actin) of PEPE2-treated cells at indicated time interval divided by that at 0-hour time point.*</w:t>
      </w:r>
      <w:r w:rsidR="000E0CC4" w:rsidRPr="00B14D3B">
        <w:rPr>
          <w:rFonts w:ascii="Palatino Linotype" w:hAnsi="Palatino Linotype" w:cs="Times New Roman"/>
          <w:i/>
          <w:sz w:val="20"/>
        </w:rPr>
        <w:t>P</w:t>
      </w:r>
      <w:r w:rsidR="000E0CC4" w:rsidRPr="000E0CC4">
        <w:rPr>
          <w:rFonts w:ascii="Palatino Linotype" w:hAnsi="Palatino Linotype" w:cs="Times New Roman"/>
          <w:sz w:val="20"/>
        </w:rPr>
        <w:t xml:space="preserve"> ≤ 0.05, **</w:t>
      </w:r>
      <w:r w:rsidR="000E0CC4" w:rsidRPr="00B14D3B">
        <w:rPr>
          <w:rFonts w:ascii="Palatino Linotype" w:hAnsi="Palatino Linotype" w:cs="Times New Roman"/>
          <w:i/>
          <w:sz w:val="20"/>
        </w:rPr>
        <w:t xml:space="preserve">P </w:t>
      </w:r>
      <w:r w:rsidR="000E0CC4" w:rsidRPr="000E0CC4">
        <w:rPr>
          <w:rFonts w:ascii="Palatino Linotype" w:hAnsi="Palatino Linotype" w:cs="Times New Roman"/>
          <w:sz w:val="20"/>
        </w:rPr>
        <w:t>≤ 0.01, ***</w:t>
      </w:r>
      <w:r w:rsidR="000E0CC4" w:rsidRPr="00B14D3B">
        <w:rPr>
          <w:rFonts w:ascii="Palatino Linotype" w:hAnsi="Palatino Linotype" w:cs="Times New Roman"/>
          <w:i/>
          <w:sz w:val="20"/>
        </w:rPr>
        <w:t>P</w:t>
      </w:r>
      <w:r w:rsidR="000E0CC4" w:rsidRPr="000E0CC4">
        <w:rPr>
          <w:rFonts w:ascii="Palatino Linotype" w:hAnsi="Palatino Linotype" w:cs="Times New Roman"/>
          <w:sz w:val="20"/>
        </w:rPr>
        <w:t xml:space="preserve"> ≤ 0.001.</w:t>
      </w:r>
    </w:p>
    <w:p w:rsidR="00236913" w:rsidRDefault="00236913" w:rsidP="00DB367C">
      <w:pPr>
        <w:adjustRightInd w:val="0"/>
        <w:snapToGrid w:val="0"/>
        <w:spacing w:line="240" w:lineRule="atLeast"/>
        <w:jc w:val="both"/>
        <w:rPr>
          <w:rFonts w:ascii="Palatino Linotype" w:hAnsi="Palatino Linotype" w:cs="Times New Roman"/>
          <w:sz w:val="20"/>
        </w:rPr>
      </w:pPr>
    </w:p>
    <w:p w:rsidR="00236913" w:rsidRPr="00236913" w:rsidRDefault="00236913" w:rsidP="00DB367C">
      <w:pPr>
        <w:adjustRightInd w:val="0"/>
        <w:snapToGrid w:val="0"/>
        <w:spacing w:line="240" w:lineRule="atLeast"/>
        <w:jc w:val="both"/>
        <w:rPr>
          <w:rFonts w:ascii="Palatino Linotype" w:hAnsi="Palatino Linotype" w:cs="Times New Roman" w:hint="eastAsia"/>
          <w:sz w:val="20"/>
        </w:rPr>
      </w:pPr>
      <w:r w:rsidRPr="00236913">
        <w:rPr>
          <w:rFonts w:ascii="Palatino Linotype" w:hAnsi="Palatino Linotype" w:cs="Times New Roman"/>
          <w:b/>
          <w:sz w:val="20"/>
        </w:rPr>
        <w:t>Figure S4</w:t>
      </w:r>
      <w:r w:rsidRPr="00236913">
        <w:rPr>
          <w:rFonts w:ascii="Palatino Linotype" w:hAnsi="Palatino Linotype" w:cs="Times New Roman" w:hint="eastAsia"/>
          <w:b/>
          <w:sz w:val="20"/>
        </w:rPr>
        <w:t>.</w:t>
      </w:r>
      <w:r>
        <w:rPr>
          <w:rFonts w:ascii="Palatino Linotype" w:hAnsi="Palatino Linotype" w:cs="Times New Roman"/>
          <w:sz w:val="20"/>
        </w:rPr>
        <w:t xml:space="preserve"> L</w:t>
      </w:r>
      <w:r w:rsidRPr="00236913">
        <w:rPr>
          <w:rFonts w:ascii="Palatino Linotype" w:hAnsi="Palatino Linotype" w:cs="Times New Roman"/>
          <w:sz w:val="20"/>
        </w:rPr>
        <w:t>iver specimens collected at 10th week from non-fed- and EtOAc layer-fed xenografted mice.</w:t>
      </w:r>
    </w:p>
    <w:sectPr w:rsidR="00236913" w:rsidRPr="0023691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B64" w:rsidRDefault="00375B64" w:rsidP="003C65A4">
      <w:r>
        <w:separator/>
      </w:r>
    </w:p>
  </w:endnote>
  <w:endnote w:type="continuationSeparator" w:id="0">
    <w:p w:rsidR="00375B64" w:rsidRDefault="00375B64" w:rsidP="003C6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B64" w:rsidRDefault="00375B64" w:rsidP="003C65A4">
      <w:r>
        <w:separator/>
      </w:r>
    </w:p>
  </w:footnote>
  <w:footnote w:type="continuationSeparator" w:id="0">
    <w:p w:rsidR="00375B64" w:rsidRDefault="00375B64" w:rsidP="003C65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24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C17"/>
    <w:rsid w:val="000C76EA"/>
    <w:rsid w:val="000E0CC4"/>
    <w:rsid w:val="000F5DB2"/>
    <w:rsid w:val="00170B2B"/>
    <w:rsid w:val="001F0AE1"/>
    <w:rsid w:val="002007CD"/>
    <w:rsid w:val="00236913"/>
    <w:rsid w:val="002F1DEB"/>
    <w:rsid w:val="00375B64"/>
    <w:rsid w:val="003C65A4"/>
    <w:rsid w:val="00454F10"/>
    <w:rsid w:val="004801C2"/>
    <w:rsid w:val="004E522A"/>
    <w:rsid w:val="005A0A0F"/>
    <w:rsid w:val="005C360A"/>
    <w:rsid w:val="00684C11"/>
    <w:rsid w:val="007120BF"/>
    <w:rsid w:val="008B2FB0"/>
    <w:rsid w:val="00994AF5"/>
    <w:rsid w:val="009E36C9"/>
    <w:rsid w:val="00A80C20"/>
    <w:rsid w:val="00AB202B"/>
    <w:rsid w:val="00AD695F"/>
    <w:rsid w:val="00B10292"/>
    <w:rsid w:val="00B14D3B"/>
    <w:rsid w:val="00BE2B67"/>
    <w:rsid w:val="00BF4309"/>
    <w:rsid w:val="00C26011"/>
    <w:rsid w:val="00CB2A28"/>
    <w:rsid w:val="00CE090A"/>
    <w:rsid w:val="00CE152D"/>
    <w:rsid w:val="00CF68F9"/>
    <w:rsid w:val="00D86A73"/>
    <w:rsid w:val="00DB367C"/>
    <w:rsid w:val="00DE4100"/>
    <w:rsid w:val="00E11825"/>
    <w:rsid w:val="00E30686"/>
    <w:rsid w:val="00EA75CD"/>
    <w:rsid w:val="00FA3C17"/>
    <w:rsid w:val="00FA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100F8"/>
  <w15:docId w15:val="{A18EEA5A-89AE-4E71-90CD-864775ADD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3C1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65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C65A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C65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C65A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吳先生</cp:lastModifiedBy>
  <cp:revision>23</cp:revision>
  <dcterms:created xsi:type="dcterms:W3CDTF">2017-10-08T03:47:00Z</dcterms:created>
  <dcterms:modified xsi:type="dcterms:W3CDTF">2018-04-26T10:48:00Z</dcterms:modified>
</cp:coreProperties>
</file>