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7A6" w:rsidRPr="006E1258" w:rsidRDefault="009077A6" w:rsidP="00046E0E">
      <w:pPr>
        <w:pStyle w:val="MDPI41tablecaption"/>
        <w:jc w:val="left"/>
      </w:pPr>
      <w:r w:rsidRPr="006E1258">
        <w:rPr>
          <w:b/>
        </w:rPr>
        <w:t>Table S9.</w:t>
      </w:r>
      <w:r w:rsidRPr="006E1258">
        <w:t xml:space="preserve"> Compositions of the diets</w:t>
      </w:r>
      <w:r w:rsidR="00F708E4">
        <w:t xml:space="preserve"> in experiment 2</w:t>
      </w:r>
    </w:p>
    <w:tbl>
      <w:tblPr>
        <w:tblW w:w="4741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21"/>
        <w:gridCol w:w="1135"/>
        <w:gridCol w:w="1135"/>
        <w:gridCol w:w="1129"/>
        <w:gridCol w:w="1134"/>
        <w:gridCol w:w="1132"/>
      </w:tblGrid>
      <w:tr w:rsidR="00F708E4" w:rsidRPr="009077A6" w:rsidTr="00F708E4">
        <w:trPr>
          <w:trHeight w:val="112"/>
        </w:trPr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b/>
                <w:sz w:val="16"/>
                <w:szCs w:val="16"/>
              </w:rPr>
            </w:pPr>
            <w:r w:rsidRPr="00F708E4">
              <w:rPr>
                <w:b/>
                <w:sz w:val="16"/>
                <w:szCs w:val="16"/>
              </w:rPr>
              <w:t>Components (g/kg diet)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b/>
                <w:sz w:val="16"/>
                <w:szCs w:val="16"/>
              </w:rPr>
            </w:pPr>
            <w:r w:rsidRPr="00F708E4">
              <w:rPr>
                <w:b/>
                <w:sz w:val="16"/>
                <w:szCs w:val="16"/>
              </w:rPr>
              <w:t>Fresh cod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b/>
                <w:sz w:val="16"/>
                <w:szCs w:val="16"/>
              </w:rPr>
            </w:pPr>
            <w:r w:rsidRPr="00F708E4">
              <w:rPr>
                <w:b/>
                <w:sz w:val="16"/>
                <w:szCs w:val="16"/>
              </w:rPr>
              <w:t>Pork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b/>
                <w:sz w:val="16"/>
                <w:szCs w:val="16"/>
              </w:rPr>
            </w:pPr>
            <w:r w:rsidRPr="00F708E4">
              <w:rPr>
                <w:b/>
                <w:sz w:val="16"/>
                <w:szCs w:val="16"/>
              </w:rPr>
              <w:t>Pork n-3 TAG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b/>
                <w:sz w:val="16"/>
                <w:szCs w:val="16"/>
              </w:rPr>
            </w:pPr>
            <w:r w:rsidRPr="00F708E4">
              <w:rPr>
                <w:b/>
                <w:sz w:val="16"/>
                <w:szCs w:val="16"/>
              </w:rPr>
              <w:t>Pork n-3 PL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b/>
                <w:sz w:val="16"/>
                <w:szCs w:val="16"/>
              </w:rPr>
            </w:pPr>
            <w:r w:rsidRPr="00F708E4">
              <w:rPr>
                <w:b/>
                <w:sz w:val="16"/>
                <w:szCs w:val="16"/>
              </w:rPr>
              <w:t>Low fat</w:t>
            </w: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F708E4" w:rsidP="009077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Freeze </w:t>
            </w:r>
            <w:r w:rsidR="009077A6" w:rsidRPr="00F708E4">
              <w:rPr>
                <w:sz w:val="16"/>
                <w:szCs w:val="16"/>
              </w:rPr>
              <w:t xml:space="preserve">dried fresh cod fillets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241.9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F708E4" w:rsidP="009077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Freeze </w:t>
            </w:r>
            <w:r w:rsidR="009077A6" w:rsidRPr="00F708E4">
              <w:rPr>
                <w:sz w:val="16"/>
                <w:szCs w:val="16"/>
              </w:rPr>
              <w:t>dried pork sirloins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240.6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240.6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240.6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Casein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217.5</w:t>
            </w: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Corn starch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281.6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288.0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288.0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288.0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Dextrin from potato starch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100.0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100.0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100.0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100.0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512.0</w:t>
            </w: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Sucrose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80.0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80.0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80.0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80.0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100.0</w:t>
            </w: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Soybean oil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12.0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12.0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12.0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2.6*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Corn oil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8.0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8.0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8.0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70.0</w:t>
            </w: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Milk fat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58.2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56.5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51.3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53.3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Lard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58.2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56.5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51.3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53.3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Margarine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58.2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56.5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51.3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53.3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 xml:space="preserve">Cod liver oil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15.4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F708E4" w:rsidP="009077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PL-soybean oil 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18.7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F708E4" w:rsidP="009077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</w:t>
            </w:r>
            <w:r w:rsidR="00046E0E">
              <w:rPr>
                <w:sz w:val="16"/>
                <w:szCs w:val="16"/>
              </w:rPr>
              <w:t xml:space="preserve"> from freeze </w:t>
            </w:r>
            <w:r w:rsidR="009077A6" w:rsidRPr="00F708E4">
              <w:rPr>
                <w:sz w:val="16"/>
                <w:szCs w:val="16"/>
              </w:rPr>
              <w:t>dried cod loins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5.5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F708E4" w:rsidP="009077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</w:t>
            </w:r>
            <w:r w:rsidR="00046E0E">
              <w:rPr>
                <w:sz w:val="16"/>
                <w:szCs w:val="16"/>
              </w:rPr>
              <w:t xml:space="preserve"> from freeze </w:t>
            </w:r>
            <w:bookmarkStart w:id="0" w:name="_GoBack"/>
            <w:bookmarkEnd w:id="0"/>
            <w:r w:rsidR="009077A6" w:rsidRPr="00F708E4">
              <w:rPr>
                <w:sz w:val="16"/>
                <w:szCs w:val="16"/>
              </w:rPr>
              <w:t>dried pork sirloins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F708E4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Cholesterol</w:t>
            </w:r>
          </w:p>
        </w:tc>
        <w:tc>
          <w:tcPr>
            <w:tcW w:w="677" w:type="pct"/>
            <w:tcBorders>
              <w:top w:val="nil"/>
              <w:left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1.5</w:t>
            </w:r>
          </w:p>
        </w:tc>
        <w:tc>
          <w:tcPr>
            <w:tcW w:w="677" w:type="pct"/>
            <w:tcBorders>
              <w:top w:val="nil"/>
              <w:left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1.5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1.5</w:t>
            </w:r>
          </w:p>
        </w:tc>
        <w:tc>
          <w:tcPr>
            <w:tcW w:w="676" w:type="pct"/>
            <w:tcBorders>
              <w:top w:val="nil"/>
              <w:left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1.5</w:t>
            </w:r>
          </w:p>
        </w:tc>
        <w:tc>
          <w:tcPr>
            <w:tcW w:w="676" w:type="pct"/>
            <w:tcBorders>
              <w:top w:val="nil"/>
              <w:left w:val="nil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F708E4" w:rsidP="009077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Analyz</w:t>
            </w:r>
            <w:r w:rsidR="009077A6" w:rsidRPr="00F708E4">
              <w:rPr>
                <w:sz w:val="16"/>
                <w:szCs w:val="16"/>
              </w:rPr>
              <w:t>ed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F708E4" w:rsidRPr="009077A6" w:rsidTr="00F708E4">
        <w:trPr>
          <w:trHeight w:val="112"/>
        </w:trPr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Energy (KJ/g diet)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20.6 ± 0.1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21.17 ± 0.03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21.17 ± 0.03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21.07 ± 0.08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7A6" w:rsidRPr="00F708E4" w:rsidRDefault="009077A6" w:rsidP="009077A6">
            <w:pPr>
              <w:pStyle w:val="MDPI42tablebody"/>
              <w:rPr>
                <w:sz w:val="16"/>
                <w:szCs w:val="16"/>
              </w:rPr>
            </w:pPr>
            <w:r w:rsidRPr="00F708E4">
              <w:rPr>
                <w:sz w:val="16"/>
                <w:szCs w:val="16"/>
              </w:rPr>
              <w:t>18.60 ± 0.01</w:t>
            </w:r>
          </w:p>
        </w:tc>
      </w:tr>
    </w:tbl>
    <w:p w:rsidR="009077A6" w:rsidRPr="006E1258" w:rsidRDefault="009077A6" w:rsidP="009077A6">
      <w:pPr>
        <w:pStyle w:val="MDPI43tablefooter"/>
      </w:pPr>
      <w:r w:rsidRPr="00472659">
        <w:t xml:space="preserve">All diets </w:t>
      </w:r>
      <w:proofErr w:type="gramStart"/>
      <w:r w:rsidRPr="00472659">
        <w:t>were supplemented</w:t>
      </w:r>
      <w:proofErr w:type="gramEnd"/>
      <w:r w:rsidRPr="00472659">
        <w:t xml:space="preserve"> with 0.014 g/kg </w:t>
      </w:r>
      <w:r w:rsidRPr="00472659">
        <w:rPr>
          <w:kern w:val="24"/>
          <w:lang w:eastAsia="nb-NO"/>
        </w:rPr>
        <w:t>t-</w:t>
      </w:r>
      <w:proofErr w:type="spellStart"/>
      <w:r w:rsidRPr="00472659">
        <w:rPr>
          <w:kern w:val="24"/>
          <w:lang w:eastAsia="nb-NO"/>
        </w:rPr>
        <w:t>Butylhydroquinone</w:t>
      </w:r>
      <w:proofErr w:type="spellEnd"/>
      <w:r w:rsidRPr="00472659">
        <w:t>, 35 g/kg AIN93G mineral mix, 10 g/kg AIN93VX NCR95 compliant vitamin mix, 3g/kg L-</w:t>
      </w:r>
      <w:proofErr w:type="spellStart"/>
      <w:r w:rsidRPr="00472659">
        <w:t>cystine</w:t>
      </w:r>
      <w:proofErr w:type="spellEnd"/>
      <w:r w:rsidRPr="00472659">
        <w:t xml:space="preserve">, 2.5g/kg choline </w:t>
      </w:r>
      <w:proofErr w:type="spellStart"/>
      <w:r w:rsidRPr="00472659">
        <w:t>bitartrate</w:t>
      </w:r>
      <w:proofErr w:type="spellEnd"/>
      <w:r w:rsidRPr="00472659">
        <w:t xml:space="preserve"> and 50g/kg cellul</w:t>
      </w:r>
      <w:r w:rsidR="00F708E4">
        <w:t xml:space="preserve">ose. The amount of fresh </w:t>
      </w:r>
      <w:proofErr w:type="gramStart"/>
      <w:r w:rsidR="00F708E4">
        <w:t xml:space="preserve">freeze </w:t>
      </w:r>
      <w:r w:rsidRPr="00472659">
        <w:t>dried</w:t>
      </w:r>
      <w:proofErr w:type="gramEnd"/>
      <w:r w:rsidR="00F708E4">
        <w:t xml:space="preserve"> fresh cod fillets, freeze dried pork sirloins and</w:t>
      </w:r>
      <w:r w:rsidRPr="00472659">
        <w:t xml:space="preserve"> casein added is based on measurements of nitrogen in the protein powders. Crude protein concentration was calculated </w:t>
      </w:r>
      <w:r>
        <w:t>using the formula N*6.15</w:t>
      </w:r>
      <w:r w:rsidRPr="00472659">
        <w:t xml:space="preserve"> for casein and N*5.60 for</w:t>
      </w:r>
      <w:r w:rsidR="00F708E4">
        <w:t xml:space="preserve"> </w:t>
      </w:r>
      <w:r w:rsidRPr="00472659">
        <w:t>cod fillets and pork. Th</w:t>
      </w:r>
      <w:r w:rsidR="00F708E4">
        <w:t>e calculated contribution of fatty acids (FAs)</w:t>
      </w:r>
      <w:r w:rsidRPr="00472659">
        <w:t xml:space="preserve"> present in the protein sources </w:t>
      </w:r>
      <w:proofErr w:type="gramStart"/>
      <w:r w:rsidRPr="00472659">
        <w:t>is based</w:t>
      </w:r>
      <w:proofErr w:type="gramEnd"/>
      <w:r w:rsidRPr="00472659">
        <w:t xml:space="preserve"> on measurements of</w:t>
      </w:r>
      <w:r>
        <w:t xml:space="preserve"> </w:t>
      </w:r>
      <w:r w:rsidR="00F708E4">
        <w:t>FA in the polar and neutral lipid</w:t>
      </w:r>
      <w:r w:rsidRPr="00472659">
        <w:t xml:space="preserve"> </w:t>
      </w:r>
      <w:r w:rsidR="00F708E4">
        <w:t>fractions</w:t>
      </w:r>
      <w:r w:rsidRPr="00472659">
        <w:t xml:space="preserve"> </w:t>
      </w:r>
      <w:r w:rsidR="00F708E4">
        <w:t>from the</w:t>
      </w:r>
      <w:r w:rsidRPr="00472659">
        <w:t xml:space="preserve"> protein powders</w:t>
      </w:r>
      <w:r w:rsidR="00F708E4">
        <w:t xml:space="preserve"> measured with GC-FID. Analyz</w:t>
      </w:r>
      <w:r w:rsidRPr="00472659">
        <w:t>ed values represents mean ± SEM of three samples.</w:t>
      </w:r>
      <w:r>
        <w:t xml:space="preserve"> </w:t>
      </w:r>
      <w:r w:rsidR="00AD2DA6">
        <w:t>*T</w:t>
      </w:r>
      <w:r w:rsidR="00AD2DA6" w:rsidRPr="00472659">
        <w:t>he PL-soy</w:t>
      </w:r>
      <w:r w:rsidR="00AD2DA6">
        <w:t>bean oil</w:t>
      </w:r>
      <w:r w:rsidR="00AD2DA6" w:rsidRPr="00472659">
        <w:t xml:space="preserve"> contributed with 9.4 g</w:t>
      </w:r>
      <w:r w:rsidR="00AD2DA6">
        <w:t xml:space="preserve"> soybean</w:t>
      </w:r>
      <w:r w:rsidR="004D61A1">
        <w:t xml:space="preserve"> </w:t>
      </w:r>
      <w:r w:rsidR="00AD2DA6">
        <w:t>oil</w:t>
      </w:r>
      <w:r w:rsidR="00AD2DA6" w:rsidRPr="00472659">
        <w:t>/kg diet. Hen</w:t>
      </w:r>
      <w:r w:rsidR="00AD2DA6">
        <w:t xml:space="preserve">ce, the final content of soybean oil in the </w:t>
      </w:r>
      <w:r w:rsidR="00AD2DA6" w:rsidRPr="00472659">
        <w:t>Pork</w:t>
      </w:r>
      <w:r w:rsidR="00AD2DA6">
        <w:t xml:space="preserve"> n-3</w:t>
      </w:r>
      <w:r w:rsidR="00AD2DA6" w:rsidRPr="00472659">
        <w:t xml:space="preserve"> PL</w:t>
      </w:r>
      <w:r w:rsidR="00AD2DA6">
        <w:t xml:space="preserve"> diet</w:t>
      </w:r>
      <w:r w:rsidR="00AD2DA6" w:rsidRPr="00472659">
        <w:t xml:space="preserve"> was 12.0 g/diet. </w:t>
      </w:r>
      <w:r w:rsidRPr="00472659">
        <w:t>Abbreviations:</w:t>
      </w:r>
      <w:r w:rsidR="00AD2DA6">
        <w:t xml:space="preserve"> FAs; Fatty acids,</w:t>
      </w:r>
      <w:r w:rsidRPr="00472659">
        <w:t xml:space="preserve"> PL; phospholipids</w:t>
      </w:r>
      <w:r>
        <w:t xml:space="preserve">. </w:t>
      </w:r>
    </w:p>
    <w:p w:rsidR="00A22697" w:rsidRPr="000C3A8A" w:rsidRDefault="00A22697" w:rsidP="001844F7">
      <w:pPr>
        <w:pStyle w:val="MDPI51figurecaption"/>
        <w:ind w:left="0"/>
        <w:rPr>
          <w:lang w:val="en"/>
        </w:rPr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E46C1" w:rsidRPr="00EC6B9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5A77E5" w:rsidRPr="00EC6B97">
      <w:rPr>
        <w:rFonts w:ascii="Palatino Linotype" w:hAnsi="Palatino Linotype"/>
        <w:noProof/>
        <w:sz w:val="16"/>
        <w:lang w:val="en-US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46E0E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5E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1A1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077A6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2DA6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6E86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08E4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069C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CE915-D6D6-4D24-965C-DEE4404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6</cp:revision>
  <dcterms:created xsi:type="dcterms:W3CDTF">2018-05-07T16:27:00Z</dcterms:created>
  <dcterms:modified xsi:type="dcterms:W3CDTF">2018-05-11T08:43:00Z</dcterms:modified>
</cp:coreProperties>
</file>