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04" w:rsidRPr="00D21B4E" w:rsidRDefault="00DD1B04" w:rsidP="00765AF7">
      <w:pPr>
        <w:pStyle w:val="MDPI41tablecaption"/>
        <w:tabs>
          <w:tab w:val="left" w:pos="0"/>
        </w:tabs>
        <w:ind w:left="0"/>
        <w:jc w:val="left"/>
        <w:rPr>
          <w:rFonts w:cs="Times New Roman"/>
          <w:b/>
          <w:color w:val="auto"/>
          <w:sz w:val="20"/>
          <w:szCs w:val="20"/>
          <w:lang w:val="de-DE"/>
        </w:rPr>
      </w:pPr>
      <w:r w:rsidRPr="00765AF7">
        <w:rPr>
          <w:b/>
          <w:bCs/>
          <w:color w:val="auto"/>
          <w:sz w:val="20"/>
          <w:szCs w:val="20"/>
        </w:rPr>
        <w:t>Table S</w:t>
      </w:r>
      <w:r w:rsidR="00765AF7" w:rsidRPr="00765AF7">
        <w:rPr>
          <w:b/>
          <w:bCs/>
          <w:color w:val="auto"/>
          <w:sz w:val="20"/>
          <w:szCs w:val="20"/>
        </w:rPr>
        <w:t>5</w:t>
      </w:r>
      <w:r w:rsidRPr="00765AF7">
        <w:rPr>
          <w:b/>
          <w:bCs/>
          <w:color w:val="auto"/>
          <w:sz w:val="20"/>
          <w:szCs w:val="20"/>
        </w:rPr>
        <w:t>.</w:t>
      </w:r>
      <w:r w:rsidRPr="00D21B4E">
        <w:rPr>
          <w:color w:val="auto"/>
          <w:sz w:val="20"/>
          <w:szCs w:val="20"/>
        </w:rPr>
        <w:t xml:space="preserve"> Within-group differences (baseline versus follow up) in mean change of total energy (kcal/day) and macro- and micronutrient intakes (g/day) among school-aged children (n=178).</w:t>
      </w:r>
    </w:p>
    <w:p w:rsidR="00DD1B04" w:rsidRPr="00D21B4E" w:rsidRDefault="00DD1B04" w:rsidP="00DD1B04">
      <w:pPr>
        <w:rPr>
          <w:sz w:val="20"/>
          <w:lang w:val="de-DE"/>
        </w:rPr>
      </w:pPr>
    </w:p>
    <w:p w:rsidR="00DD1B04" w:rsidRPr="00D21B4E" w:rsidRDefault="00DD1B04" w:rsidP="00DD1B04">
      <w:pPr>
        <w:rPr>
          <w:sz w:val="20"/>
        </w:rPr>
      </w:pPr>
    </w:p>
    <w:p w:rsidR="00DD1B04" w:rsidRPr="00D21B4E" w:rsidRDefault="00DD1B04" w:rsidP="00DD1B04">
      <w:pPr>
        <w:rPr>
          <w:sz w:val="20"/>
        </w:rPr>
      </w:pPr>
    </w:p>
    <w:tbl>
      <w:tblPr>
        <w:tblStyle w:val="TableGrid71"/>
        <w:tblpPr w:leftFromText="180" w:rightFromText="180" w:vertAnchor="page" w:horzAnchor="page" w:tblpX="1918" w:tblpY="2483"/>
        <w:tblW w:w="10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1"/>
        <w:gridCol w:w="1607"/>
        <w:gridCol w:w="1620"/>
        <w:gridCol w:w="990"/>
        <w:gridCol w:w="1620"/>
        <w:gridCol w:w="1620"/>
        <w:gridCol w:w="1260"/>
      </w:tblGrid>
      <w:tr w:rsidR="00DD1B04" w:rsidRPr="00D21B4E" w:rsidTr="005D0404">
        <w:trPr>
          <w:trHeight w:val="206"/>
        </w:trPr>
        <w:tc>
          <w:tcPr>
            <w:tcW w:w="2281" w:type="dxa"/>
            <w:tcBorders>
              <w:top w:val="single" w:sz="4" w:space="0" w:color="auto"/>
            </w:tcBorders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rFonts w:cstheme="minorBidi"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Intervention (n=99)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rFonts w:cstheme="minorBidi"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Intervention(n=</w:t>
            </w:r>
            <w:r w:rsidRPr="00D21B4E">
              <w:rPr>
                <w:bCs/>
                <w:color w:val="auto"/>
              </w:rPr>
              <w:t>79)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</w:tr>
      <w:tr w:rsidR="00DD1B04" w:rsidRPr="00D21B4E" w:rsidTr="005D0404">
        <w:trPr>
          <w:trHeight w:val="206"/>
        </w:trPr>
        <w:tc>
          <w:tcPr>
            <w:tcW w:w="2281" w:type="dxa"/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</w:pPr>
          </w:p>
        </w:tc>
        <w:tc>
          <w:tcPr>
            <w:tcW w:w="1607" w:type="dxa"/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bCs/>
                <w:snapToGrid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Baseline</w:t>
            </w:r>
          </w:p>
        </w:tc>
        <w:tc>
          <w:tcPr>
            <w:tcW w:w="1620" w:type="dxa"/>
            <w:shd w:val="clear" w:color="auto" w:fill="auto"/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</w:pPr>
            <w:r w:rsidRPr="00D21B4E"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  <w:t>Follow up</w:t>
            </w:r>
          </w:p>
        </w:tc>
        <w:tc>
          <w:tcPr>
            <w:tcW w:w="990" w:type="dxa"/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b/>
                <w:bCs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bCs/>
                <w:snapToGrid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Baseline</w:t>
            </w:r>
          </w:p>
        </w:tc>
        <w:tc>
          <w:tcPr>
            <w:tcW w:w="1620" w:type="dxa"/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</w:pPr>
            <w:r w:rsidRPr="00D21B4E"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  <w:t>Follow up</w:t>
            </w:r>
          </w:p>
        </w:tc>
        <w:tc>
          <w:tcPr>
            <w:tcW w:w="1260" w:type="dxa"/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b/>
                <w:bCs/>
                <w:sz w:val="20"/>
                <w:lang w:bidi="en-US"/>
              </w:rPr>
            </w:pPr>
          </w:p>
        </w:tc>
      </w:tr>
      <w:tr w:rsidR="00DD1B04" w:rsidRPr="00D21B4E" w:rsidTr="005D0404">
        <w:trPr>
          <w:trHeight w:val="206"/>
        </w:trPr>
        <w:tc>
          <w:tcPr>
            <w:tcW w:w="2281" w:type="dxa"/>
            <w:tcBorders>
              <w:bottom w:val="single" w:sz="4" w:space="0" w:color="auto"/>
            </w:tcBorders>
          </w:tcPr>
          <w:p w:rsidR="00DD1B04" w:rsidRPr="00D21B4E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b/>
                <w:bCs/>
                <w:color w:val="auto"/>
                <w:sz w:val="20"/>
                <w:lang w:bidi="en-US"/>
              </w:rPr>
            </w:pPr>
          </w:p>
        </w:tc>
        <w:tc>
          <w:tcPr>
            <w:tcW w:w="3227" w:type="dxa"/>
            <w:gridSpan w:val="2"/>
            <w:tcBorders>
              <w:bottom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rFonts w:cstheme="minorBidi"/>
                <w:b w:val="0"/>
                <w:bCs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Mean ± SE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contextualSpacing/>
              <w:jc w:val="center"/>
              <w:rPr>
                <w:bCs/>
                <w:snapToGrid/>
              </w:rPr>
            </w:pPr>
            <w:r w:rsidRPr="00D21B4E">
              <w:rPr>
                <w:rFonts w:cstheme="minorBidi"/>
                <w:bCs/>
                <w:snapToGrid/>
              </w:rPr>
              <w:t>p-value</w:t>
            </w:r>
            <w:r w:rsidRPr="00D21B4E">
              <w:rPr>
                <w:b w:val="0"/>
                <w:bCs/>
                <w:color w:val="auto"/>
                <w:vertAlign w:val="superscript"/>
              </w:rPr>
              <w:t>†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jc w:val="center"/>
              <w:rPr>
                <w:rFonts w:cstheme="minorBidi"/>
                <w:b w:val="0"/>
                <w:bCs/>
                <w:color w:val="auto"/>
              </w:rPr>
            </w:pPr>
            <w:r w:rsidRPr="00D21B4E">
              <w:rPr>
                <w:bCs/>
                <w:snapToGrid/>
                <w:color w:val="auto"/>
              </w:rPr>
              <w:t>Mean ± SE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D1B04" w:rsidRPr="00D21B4E" w:rsidRDefault="00DD1B04" w:rsidP="005D0404">
            <w:pPr>
              <w:pStyle w:val="MDPI42tablebody"/>
              <w:autoSpaceDE w:val="0"/>
              <w:autoSpaceDN w:val="0"/>
              <w:contextualSpacing/>
              <w:jc w:val="center"/>
              <w:rPr>
                <w:bCs/>
                <w:snapToGrid/>
              </w:rPr>
            </w:pPr>
            <w:r w:rsidRPr="00D21B4E">
              <w:rPr>
                <w:rFonts w:cstheme="minorBidi"/>
                <w:bCs/>
                <w:snapToGrid/>
              </w:rPr>
              <w:t>p-value</w:t>
            </w:r>
            <w:r w:rsidRPr="00D21B4E">
              <w:rPr>
                <w:b w:val="0"/>
                <w:bCs/>
                <w:color w:val="auto"/>
                <w:vertAlign w:val="superscript"/>
              </w:rPr>
              <w:t>†</w:t>
            </w:r>
          </w:p>
        </w:tc>
      </w:tr>
      <w:tr w:rsidR="00DD1B04" w:rsidRPr="00386138" w:rsidTr="005D0404">
        <w:trPr>
          <w:trHeight w:val="206"/>
        </w:trPr>
        <w:tc>
          <w:tcPr>
            <w:tcW w:w="2281" w:type="dxa"/>
            <w:tcBorders>
              <w:top w:val="single" w:sz="4" w:space="0" w:color="auto"/>
            </w:tcBorders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Energy intake (Kcal)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1,199.82±46.09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1,287.17±62.99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0.168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1,325.41±47.69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1,217.24±45.14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0.099</w:t>
            </w:r>
          </w:p>
        </w:tc>
      </w:tr>
      <w:tr w:rsidR="00DD1B04" w:rsidRPr="00386138" w:rsidTr="005D0404">
        <w:trPr>
          <w:trHeight w:val="33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u w:val="single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u w:val="single"/>
                <w:lang w:bidi="en-US"/>
              </w:rPr>
              <w:t>Macronutrients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Carbohydrates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153.27±6.69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160.18±7.86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0.072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170.39±7.42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162.76±6.98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0.189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Sugar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32.15±2.60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29.88±2.75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0.692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29.06±2.36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31.15±2.38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0.625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Dietary fiber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11.74±0.65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13.13±0.76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0.400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13.79±0.70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11.39±0.56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0.046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Protein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28.88±1.28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34.39±1.81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0.087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29.08±1.32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28.44±1.44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0.921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Total fat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53.62±2.78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57.78±3.59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0.504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59.89±2.90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51.40±2.54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0.011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MUFA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24.62±1.62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26.90±2.05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0.542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29.02±1.72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23.80±1.40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0.006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PUFA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13.18±0.89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12.72±0.82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0.932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14.79±0.89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13.06±0.82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0.050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Saturated fat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8.78±0.51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10.35±0.78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0.190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10.48±0.71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8.77±0.57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0.030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Trans fat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0.15±0.03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0.096±0.02</w:t>
            </w:r>
          </w:p>
        </w:tc>
        <w:tc>
          <w:tcPr>
            <w:tcW w:w="990" w:type="dxa"/>
            <w:vAlign w:val="center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0.732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0.11±0.03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0.13±0.02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0.678</w:t>
            </w:r>
          </w:p>
        </w:tc>
      </w:tr>
      <w:tr w:rsidR="00DD1B04" w:rsidRPr="00386138" w:rsidTr="005D0404">
        <w:trPr>
          <w:trHeight w:val="75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990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260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u w:val="single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u w:val="single"/>
                <w:lang w:bidi="en-US"/>
              </w:rPr>
              <w:t>Micronutrients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990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</w:p>
        </w:tc>
        <w:tc>
          <w:tcPr>
            <w:tcW w:w="1260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C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35.24±4.22 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40.97±4.39 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0.273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24.36±2.20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25.86±3.69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0.662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A (µg)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125.43±45.21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215.35±22.96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0.535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88.55±12.73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88.35±10.45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0.077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D (µg)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0.31±0.06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0.65±0.19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0.178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0.33±0.10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0.47±0.16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0.834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E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7.50±0.55 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7.71±0.51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0.969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8.16±0.45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6.62±0.40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0.006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K (µg)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110.30±9.37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226.39±19.59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0.057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153.34±11.20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118.24±9.55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0.516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B1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1.02±0.05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1.10±0.05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0.044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1.08±0.06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1.06±0.06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0.667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lastRenderedPageBreak/>
              <w:t>Vitamin B2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1.01±0.21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0.97±0.096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0.941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0.93±0.15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0.76±0.04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0.469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B3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7.61±0.54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8.81±0.71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0.482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7.07±0.45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7.11±0.54  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0.594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B6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0.65±0.04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0.72±0.05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0.197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0.61±0.04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0.59±0.04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0.743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Vitamin B12 (µg)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0.64±0.23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0.65±0.11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0.617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0.39±0.07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0.63±0.11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0.346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Folate (µg)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180.41±13.89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200.25±13.68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0.474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152.34±12.79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135.43±10.97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0.717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Iron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8.83±0.58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9.88±0.64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0.660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11.27±0.56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 xml:space="preserve">8.88±0.57 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0.003</w:t>
            </w:r>
          </w:p>
        </w:tc>
      </w:tr>
      <w:tr w:rsidR="00DD1B04" w:rsidRPr="00386138" w:rsidTr="005D0404">
        <w:trPr>
          <w:trHeight w:val="287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Zinc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4.44±0.30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4.74±0.30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0.252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6.47 ±0.33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4.86±0.30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0.004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Calcium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293.84±18.27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433.29±33.59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0.051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349.15±19.95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323.51±26.85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0.842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Phosphorus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440.32±23.39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524.20±33.07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0.147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450.41±22.96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435.11±23.92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0.680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Magnesium (mg)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135.81±7.01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168.25±9.50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0.156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148.78±6.03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131.29±5.70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0.193</w:t>
            </w:r>
          </w:p>
        </w:tc>
      </w:tr>
      <w:tr w:rsidR="00DD1B04" w:rsidRPr="00386138" w:rsidTr="005D0404">
        <w:trPr>
          <w:trHeight w:val="264"/>
        </w:trPr>
        <w:tc>
          <w:tcPr>
            <w:tcW w:w="2281" w:type="dxa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Sodium (g)</w:t>
            </w:r>
          </w:p>
        </w:tc>
        <w:tc>
          <w:tcPr>
            <w:tcW w:w="1607" w:type="dxa"/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1.47±0.07</w:t>
            </w:r>
          </w:p>
        </w:tc>
        <w:tc>
          <w:tcPr>
            <w:tcW w:w="1620" w:type="dxa"/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1.70±0.11</w:t>
            </w:r>
          </w:p>
        </w:tc>
        <w:tc>
          <w:tcPr>
            <w:tcW w:w="99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0.149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1.37±0.78</w:t>
            </w:r>
          </w:p>
        </w:tc>
        <w:tc>
          <w:tcPr>
            <w:tcW w:w="1620" w:type="dxa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1.39±0.07</w:t>
            </w:r>
          </w:p>
        </w:tc>
        <w:tc>
          <w:tcPr>
            <w:tcW w:w="1260" w:type="dxa"/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0.655</w:t>
            </w:r>
          </w:p>
        </w:tc>
      </w:tr>
      <w:tr w:rsidR="00DD1B04" w:rsidRPr="00386138" w:rsidTr="005D0404">
        <w:trPr>
          <w:trHeight w:val="80"/>
        </w:trPr>
        <w:tc>
          <w:tcPr>
            <w:tcW w:w="2281" w:type="dxa"/>
            <w:tcBorders>
              <w:bottom w:val="single" w:sz="4" w:space="0" w:color="auto"/>
            </w:tcBorders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left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Potassium (g)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DD1B04" w:rsidRPr="00386138" w:rsidRDefault="00DD1B04" w:rsidP="005D0404">
            <w:pPr>
              <w:jc w:val="left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1.27±0.07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1.43±0.09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0.251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1.19±0.07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B04" w:rsidRPr="00386138" w:rsidRDefault="00DD1B04" w:rsidP="005D0404">
            <w:pPr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color w:val="auto"/>
                <w:sz w:val="20"/>
                <w:lang w:bidi="en-US"/>
              </w:rPr>
              <w:t>1.16±0.06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DD1B04" w:rsidRPr="00386138" w:rsidRDefault="00DD1B04" w:rsidP="005D0404">
            <w:pPr>
              <w:spacing w:line="240" w:lineRule="auto"/>
              <w:ind w:left="-108" w:right="-108"/>
              <w:contextualSpacing/>
              <w:jc w:val="center"/>
              <w:rPr>
                <w:rFonts w:ascii="Palatino Linotype" w:hAnsi="Palatino Linotype" w:cstheme="minorBidi"/>
                <w:sz w:val="20"/>
                <w:lang w:bidi="en-US"/>
              </w:rPr>
            </w:pPr>
            <w:r w:rsidRPr="00386138">
              <w:rPr>
                <w:rFonts w:ascii="Palatino Linotype" w:hAnsi="Palatino Linotype" w:cstheme="minorBidi"/>
                <w:sz w:val="20"/>
                <w:lang w:bidi="en-US"/>
              </w:rPr>
              <w:t>0.857</w:t>
            </w:r>
          </w:p>
        </w:tc>
      </w:tr>
      <w:tr w:rsidR="00DD1B04" w:rsidRPr="00386138" w:rsidTr="005D0404">
        <w:trPr>
          <w:trHeight w:val="80"/>
        </w:trPr>
        <w:tc>
          <w:tcPr>
            <w:tcW w:w="10998" w:type="dxa"/>
            <w:gridSpan w:val="7"/>
            <w:tcBorders>
              <w:top w:val="single" w:sz="4" w:space="0" w:color="auto"/>
            </w:tcBorders>
          </w:tcPr>
          <w:p w:rsidR="00DD1B04" w:rsidRPr="00386138" w:rsidRDefault="00386138" w:rsidP="00604D2B">
            <w:pPr>
              <w:spacing w:line="240" w:lineRule="auto"/>
              <w:ind w:left="-108" w:right="-108"/>
              <w:contextualSpacing/>
              <w:jc w:val="left"/>
              <w:rPr>
                <w:color w:val="auto"/>
                <w:sz w:val="20"/>
              </w:rPr>
            </w:pPr>
            <w:r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 xml:space="preserve">† </w:t>
            </w:r>
            <w:bookmarkStart w:id="0" w:name="_GoBack"/>
            <w:bookmarkEnd w:id="0"/>
            <w:r w:rsidR="00DD1B04" w:rsidRPr="00386138"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 xml:space="preserve">Paired t-tests were conducted to compare nutrient intakes between </w:t>
            </w:r>
            <w:proofErr w:type="gramStart"/>
            <w:r w:rsidR="00DD1B04" w:rsidRPr="00386138"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>baseline</w:t>
            </w:r>
            <w:proofErr w:type="gramEnd"/>
            <w:r w:rsidR="00DD1B04" w:rsidRPr="00386138"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 xml:space="preserve"> and follow up within intervention and control</w:t>
            </w:r>
            <w:r w:rsidR="00604D2B" w:rsidRPr="00386138"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 xml:space="preserve"> groups</w:t>
            </w:r>
            <w:r w:rsidR="00DD1B04" w:rsidRPr="00386138">
              <w:rPr>
                <w:rFonts w:ascii="Palatino Linotype" w:hAnsi="Palatino Linotype"/>
                <w:snapToGrid w:val="0"/>
                <w:color w:val="auto"/>
                <w:sz w:val="20"/>
                <w:lang w:bidi="en-US"/>
              </w:rPr>
              <w:t>.  Statistical significance was determined at p-value &lt;0.05.</w:t>
            </w:r>
          </w:p>
        </w:tc>
      </w:tr>
    </w:tbl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rPr>
          <w:sz w:val="20"/>
        </w:rPr>
      </w:pPr>
    </w:p>
    <w:p w:rsidR="00DD1B04" w:rsidRPr="00386138" w:rsidRDefault="00DD1B04" w:rsidP="00DD1B04">
      <w:pPr>
        <w:tabs>
          <w:tab w:val="left" w:pos="1070"/>
        </w:tabs>
      </w:pPr>
    </w:p>
    <w:p w:rsidR="006A1D3E" w:rsidRDefault="006A1D3E"/>
    <w:sectPr w:rsidR="006A1D3E" w:rsidSect="009322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04"/>
    <w:rsid w:val="00386138"/>
    <w:rsid w:val="00604D2B"/>
    <w:rsid w:val="006A1D3E"/>
    <w:rsid w:val="00765AF7"/>
    <w:rsid w:val="00DD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54FD82-81F7-4F1B-A4FA-DADB24BF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B0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DD1B0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42tablebody">
    <w:name w:val="MDPI_4.2_table_body"/>
    <w:qFormat/>
    <w:rsid w:val="00DD1B04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customStyle="1" w:styleId="TableGrid71">
    <w:name w:val="Table Grid71"/>
    <w:basedOn w:val="TableNormal"/>
    <w:uiPriority w:val="59"/>
    <w:rsid w:val="00DD1B0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Diab El-Harakeh</dc:creator>
  <cp:lastModifiedBy>Lamis Jomaa</cp:lastModifiedBy>
  <cp:revision>4</cp:revision>
  <dcterms:created xsi:type="dcterms:W3CDTF">2018-07-02T12:24:00Z</dcterms:created>
  <dcterms:modified xsi:type="dcterms:W3CDTF">2018-07-16T11:58:00Z</dcterms:modified>
</cp:coreProperties>
</file>