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084" w:rsidRPr="00DA474A" w:rsidRDefault="00D05E86" w:rsidP="00756084">
      <w:pPr>
        <w:rPr>
          <w:rFonts w:ascii="Palatino Linotype" w:hAnsi="Palatino Linotype" w:cs="Times New Roman"/>
          <w:sz w:val="20"/>
          <w:szCs w:val="20"/>
        </w:rPr>
      </w:pPr>
      <w:r w:rsidRPr="00DA474A">
        <w:rPr>
          <w:rFonts w:ascii="Palatino Linotype" w:hAnsi="Palatino Linotype" w:cs="Times New Roman"/>
          <w:b/>
          <w:sz w:val="20"/>
          <w:szCs w:val="20"/>
        </w:rPr>
        <w:t>Table S1:</w:t>
      </w:r>
      <w:r w:rsidR="00756084" w:rsidRPr="00DA474A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="00C524D2" w:rsidRPr="00DA474A">
        <w:rPr>
          <w:rFonts w:ascii="Palatino Linotype" w:hAnsi="Palatino Linotype" w:cs="Times New Roman"/>
          <w:sz w:val="20"/>
          <w:szCs w:val="20"/>
        </w:rPr>
        <w:t xml:space="preserve">Associations of patients’ characteristics, body composition, laboratory parameters with </w:t>
      </w:r>
      <w:r w:rsidR="00A82154" w:rsidRPr="00DA474A">
        <w:rPr>
          <w:rFonts w:ascii="Palatino Linotype" w:hAnsi="Palatino Linotype" w:cs="Times New Roman"/>
          <w:sz w:val="20"/>
          <w:szCs w:val="20"/>
        </w:rPr>
        <w:t xml:space="preserve">all-cause mortality via </w:t>
      </w:r>
      <w:r w:rsidR="00A82154" w:rsidRPr="00DA474A">
        <w:rPr>
          <w:rFonts w:ascii="Palatino Linotype" w:hAnsi="Palatino Linotype" w:cs="Times New Roman"/>
          <w:color w:val="0070C0"/>
          <w:sz w:val="20"/>
          <w:szCs w:val="20"/>
        </w:rPr>
        <w:t>un</w:t>
      </w:r>
      <w:r w:rsidR="00756084" w:rsidRPr="00DA474A">
        <w:rPr>
          <w:rFonts w:ascii="Palatino Linotype" w:hAnsi="Palatino Linotype" w:cs="Times New Roman"/>
          <w:sz w:val="20"/>
          <w:szCs w:val="20"/>
        </w:rPr>
        <w:t>ivariate Cox proportional hazards model (N=370).</w:t>
      </w:r>
    </w:p>
    <w:tbl>
      <w:tblPr>
        <w:tblStyle w:val="TableGrid"/>
        <w:tblW w:w="5000" w:type="pct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4"/>
        <w:gridCol w:w="2807"/>
        <w:gridCol w:w="1605"/>
      </w:tblGrid>
      <w:tr w:rsidR="00756084" w:rsidRPr="00DA474A" w:rsidTr="00ED1A56">
        <w:tc>
          <w:tcPr>
            <w:tcW w:w="2556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15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Variables</w:t>
            </w:r>
          </w:p>
        </w:tc>
        <w:tc>
          <w:tcPr>
            <w:tcW w:w="1555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HR (95%CI)</w:t>
            </w:r>
          </w:p>
        </w:tc>
        <w:tc>
          <w:tcPr>
            <w:tcW w:w="889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756084" w:rsidRPr="00DA474A" w:rsidRDefault="00C524D2" w:rsidP="00ED1A56">
            <w:pPr>
              <w:spacing w:line="276" w:lineRule="auto"/>
              <w:ind w:left="-5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</w:pPr>
            <w:r w:rsidRPr="00DA474A">
              <w:rPr>
                <w:rFonts w:ascii="Palatino Linotype" w:hAnsi="Palatino Linotype" w:cs="Times New Roman"/>
                <w:i/>
                <w:sz w:val="20"/>
                <w:szCs w:val="20"/>
              </w:rPr>
              <w:t>p-</w:t>
            </w: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value</w:t>
            </w:r>
          </w:p>
        </w:tc>
      </w:tr>
      <w:tr w:rsidR="00756084" w:rsidRPr="00DA474A" w:rsidTr="00ED1A56">
        <w:tc>
          <w:tcPr>
            <w:tcW w:w="2556" w:type="pct"/>
            <w:tcBorders>
              <w:top w:val="single" w:sz="12" w:space="0" w:color="auto"/>
            </w:tcBorders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51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Age, year</w:t>
            </w:r>
          </w:p>
        </w:tc>
        <w:tc>
          <w:tcPr>
            <w:tcW w:w="1555" w:type="pct"/>
            <w:tcBorders>
              <w:top w:val="single" w:sz="12" w:space="0" w:color="auto"/>
            </w:tcBorders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1.05 (1.02 - 1.07)</w:t>
            </w:r>
          </w:p>
        </w:tc>
        <w:tc>
          <w:tcPr>
            <w:tcW w:w="889" w:type="pct"/>
            <w:tcBorders>
              <w:top w:val="single" w:sz="12" w:space="0" w:color="auto"/>
            </w:tcBorders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0.001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51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Gender, male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1.78 (0.97 - 3.30)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0.065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51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Hemodialysis vintage, year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0.93 (0.86 - 1.00)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0.055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51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CCI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1.35 (1.11 - 1.64)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0.003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51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PA, MET-min/wk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0.93 (0.84 - 1.04)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0.218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51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BMI,  kg/m</w:t>
            </w:r>
            <w:r w:rsidRPr="00DA474A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0.96 (0.89 - 1.04)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0.330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Body composition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51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FFM, kg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1.01 (0.99 - 1.04)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0.296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51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BFM, kg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0.97 (0.94 - 1.01)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0.179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Laboratory parameters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53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hs-CRP, mg/dL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1.24 (1.08 - 1.42)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0.002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40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Hgb, g/dL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0.88 (0.68 - 1.13)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0.310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40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FPG (mg/dL)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1.00 (1.00 - 1.01)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0.218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40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Insulin, µU/mL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1.00 (0.99 - 1.01)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0.935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40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TG (mg/dL)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1.00 (0.99 - 1.00)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0.212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40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HDL-C (mg/dL)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1.01 (0.99 - 1.02)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0.396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40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LDL-C, mg/dL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0.99 (0.98 - 1.00)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0.089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40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 xml:space="preserve">TC, mg/dL 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0.99 (0.99 - 1.00)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0.181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40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Ca, mg/dL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0.99 (0.90 - 1.09)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0.844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40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PO4, mg/dL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0.83 (0.64 - 1.09)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0.179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40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iPTH, pg/mL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1.00 (0.99 - 1.00)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0.251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40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Hcy,  µmol/L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 xml:space="preserve">0.99 (0.95 - 1.04) 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0.779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40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Albumin, g/dL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0.43 (0.21 - 0.88)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0.021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40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Pre-BUN, mg/dL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0.99 (0.98 - 1.01)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0.281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40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Creatinine,  mg/dL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0.79 (0.68 - 0.91)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0.002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40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K, mEq/L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0.98 (0.79 - 1.21)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0.817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40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Uric acid, mg/dL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0.73 (0.60 - 0.89)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0.002</w:t>
            </w:r>
          </w:p>
        </w:tc>
      </w:tr>
      <w:tr w:rsidR="00756084" w:rsidRPr="00DA474A" w:rsidTr="00ED1A56">
        <w:tc>
          <w:tcPr>
            <w:tcW w:w="2556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240"/>
              <w:contextualSpacing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 xml:space="preserve">eKt/V </w:t>
            </w:r>
          </w:p>
        </w:tc>
        <w:tc>
          <w:tcPr>
            <w:tcW w:w="1555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ind w:left="-17" w:right="-18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0.19 (0.06 - 0.65)</w:t>
            </w:r>
          </w:p>
        </w:tc>
        <w:tc>
          <w:tcPr>
            <w:tcW w:w="889" w:type="pct"/>
            <w:shd w:val="clear" w:color="auto" w:fill="auto"/>
          </w:tcPr>
          <w:p w:rsidR="00756084" w:rsidRPr="00DA474A" w:rsidRDefault="00756084" w:rsidP="00ED1A5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A474A">
              <w:rPr>
                <w:rFonts w:ascii="Palatino Linotype" w:hAnsi="Palatino Linotype" w:cs="Times New Roman"/>
                <w:sz w:val="20"/>
                <w:szCs w:val="20"/>
              </w:rPr>
              <w:t>0.008</w:t>
            </w:r>
          </w:p>
        </w:tc>
      </w:tr>
    </w:tbl>
    <w:p w:rsidR="00756084" w:rsidRPr="00DA474A" w:rsidRDefault="008A145C" w:rsidP="0083375B">
      <w:pPr>
        <w:spacing w:after="0" w:line="276" w:lineRule="auto"/>
        <w:rPr>
          <w:rFonts w:ascii="Palatino Linotype" w:hAnsi="Palatino Linotype" w:cs="Times New Roman"/>
          <w:sz w:val="18"/>
          <w:szCs w:val="18"/>
        </w:rPr>
      </w:pPr>
      <w:r w:rsidRPr="00DA474A">
        <w:rPr>
          <w:rFonts w:ascii="Palatino Linotype" w:hAnsi="Palatino Linotype" w:cs="Times New Roman"/>
          <w:sz w:val="18"/>
          <w:szCs w:val="18"/>
        </w:rPr>
        <w:t>HR, hazard ratio; CI,</w:t>
      </w:r>
      <w:r w:rsidR="00756084" w:rsidRPr="00DA474A">
        <w:rPr>
          <w:rFonts w:ascii="Palatino Linotype" w:hAnsi="Palatino Linotype" w:cs="Times New Roman"/>
          <w:sz w:val="18"/>
          <w:szCs w:val="18"/>
        </w:rPr>
        <w:t xml:space="preserve"> </w:t>
      </w:r>
      <w:r w:rsidRPr="00DA474A">
        <w:rPr>
          <w:rFonts w:ascii="Palatino Linotype" w:hAnsi="Palatino Linotype" w:cs="Times New Roman"/>
          <w:sz w:val="18"/>
          <w:szCs w:val="18"/>
        </w:rPr>
        <w:t>conference interval;</w:t>
      </w:r>
      <w:r w:rsidR="00756084" w:rsidRPr="00DA474A">
        <w:rPr>
          <w:rFonts w:ascii="Palatino Linotype" w:hAnsi="Palatino Linotype" w:cs="Times New Roman"/>
          <w:sz w:val="18"/>
          <w:szCs w:val="18"/>
        </w:rPr>
        <w:t xml:space="preserve"> </w:t>
      </w:r>
      <w:r w:rsidRPr="00DA474A">
        <w:rPr>
          <w:rFonts w:ascii="Palatino Linotype" w:hAnsi="Palatino Linotype" w:cs="Times New Roman"/>
          <w:sz w:val="18"/>
          <w:szCs w:val="18"/>
        </w:rPr>
        <w:t>CCI, Charlson comorbidity index; PA</w:t>
      </w:r>
      <w:r w:rsidR="00FD007F" w:rsidRPr="00DA474A">
        <w:rPr>
          <w:rFonts w:ascii="Palatino Linotype" w:hAnsi="Palatino Linotype" w:cs="Times New Roman"/>
          <w:sz w:val="18"/>
          <w:szCs w:val="18"/>
        </w:rPr>
        <w:t>,</w:t>
      </w:r>
      <w:r w:rsidRPr="00DA474A">
        <w:rPr>
          <w:rFonts w:ascii="Palatino Linotype" w:hAnsi="Palatino Linotype" w:cs="Times New Roman"/>
          <w:sz w:val="18"/>
          <w:szCs w:val="18"/>
        </w:rPr>
        <w:t xml:space="preserve"> physical activity; MET, metabolic equivalent minute/ week; BMI, body mass index; FFM, fat free mass; BFM, body fat mass; CRP, high-sensitivity C-reactive protein; Hgb, hemoglobin; FPG, fasting plasma glucose; TG, triglyceride; HDL-C, high density lipoprotein cholesterol; LDL-C, low density lipoprotein cholesterol; TC, total cholesterol; Ca, serum calcium; PO4, serum phospha</w:t>
      </w:r>
      <w:bookmarkStart w:id="0" w:name="_GoBack"/>
      <w:bookmarkEnd w:id="0"/>
      <w:r w:rsidRPr="00DA474A">
        <w:rPr>
          <w:rFonts w:ascii="Palatino Linotype" w:hAnsi="Palatino Linotype" w:cs="Times New Roman"/>
          <w:sz w:val="18"/>
          <w:szCs w:val="18"/>
        </w:rPr>
        <w:t>te; iPTH, intact parathyroid hormone; Hcy, homocysteine; Pre-BUN, pre-dialysis blood urea nitrogen; K, serum potassium; eKt/V, equilibrated Kt/V (dialysis adequacy).</w:t>
      </w:r>
    </w:p>
    <w:p w:rsidR="00AA455A" w:rsidRPr="00DA474A" w:rsidRDefault="00AA455A">
      <w:pPr>
        <w:rPr>
          <w:rFonts w:ascii="Palatino Linotype" w:hAnsi="Palatino Linotype"/>
          <w:sz w:val="18"/>
          <w:szCs w:val="18"/>
        </w:rPr>
      </w:pPr>
    </w:p>
    <w:sectPr w:rsidR="00AA455A" w:rsidRPr="00DA474A" w:rsidSect="0075608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QwMzcyNLM0NLUwtzRU0lEKTi0uzszPAykwrQUAad+HQywAAAA="/>
  </w:docVars>
  <w:rsids>
    <w:rsidRoot w:val="00756084"/>
    <w:rsid w:val="000D4BE1"/>
    <w:rsid w:val="00722FE0"/>
    <w:rsid w:val="00756084"/>
    <w:rsid w:val="0083375B"/>
    <w:rsid w:val="008A145C"/>
    <w:rsid w:val="009B5C94"/>
    <w:rsid w:val="00A82154"/>
    <w:rsid w:val="00AA455A"/>
    <w:rsid w:val="00C524D2"/>
    <w:rsid w:val="00D05E86"/>
    <w:rsid w:val="00DA474A"/>
    <w:rsid w:val="00F82E87"/>
    <w:rsid w:val="00FD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E88079-4C1C-48C8-BF16-307A06221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0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6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2019-05-31T06:43:00Z</dcterms:created>
  <dcterms:modified xsi:type="dcterms:W3CDTF">2019-05-31T06:43:00Z</dcterms:modified>
</cp:coreProperties>
</file>