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B83" w:rsidRPr="00C27F3E" w:rsidRDefault="00D3167F" w:rsidP="00D3167F">
      <w:pPr>
        <w:spacing w:before="240" w:after="120" w:line="260" w:lineRule="atLeast"/>
        <w:ind w:left="425" w:right="425"/>
        <w:jc w:val="center"/>
        <w:rPr>
          <w:rFonts w:ascii="Palatino Linotype" w:hAnsi="Palatino Linotype" w:cstheme="majorBidi"/>
          <w:b/>
          <w:bCs/>
          <w:sz w:val="18"/>
          <w:szCs w:val="18"/>
        </w:rPr>
      </w:pPr>
      <w:r w:rsidRPr="00D3167F">
        <w:rPr>
          <w:rFonts w:ascii="Palatino Linotype" w:hAnsi="Palatino Linotype" w:cstheme="majorBidi"/>
          <w:b/>
          <w:bCs/>
          <w:sz w:val="18"/>
          <w:szCs w:val="18"/>
          <w:lang w:bidi="en-US"/>
        </w:rPr>
        <w:t>Supplementary Table 1</w:t>
      </w:r>
      <w:r w:rsidR="00041B83" w:rsidRPr="00C27F3E">
        <w:rPr>
          <w:rFonts w:ascii="Palatino Linotype" w:hAnsi="Palatino Linotype" w:cstheme="majorBidi"/>
          <w:b/>
          <w:bCs/>
          <w:sz w:val="18"/>
          <w:szCs w:val="18"/>
        </w:rPr>
        <w:t xml:space="preserve">. </w:t>
      </w:r>
      <w:r w:rsidR="00041B83" w:rsidRPr="00C27F3E">
        <w:rPr>
          <w:rFonts w:ascii="Palatino Linotype" w:hAnsi="Palatino Linotype" w:cstheme="majorBidi"/>
          <w:bCs/>
          <w:sz w:val="18"/>
          <w:szCs w:val="18"/>
        </w:rPr>
        <w:t>Characteristics of study sample according to EE group</w:t>
      </w:r>
    </w:p>
    <w:tbl>
      <w:tblPr>
        <w:tblW w:w="9626" w:type="dxa"/>
        <w:tblInd w:w="-855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2692"/>
        <w:gridCol w:w="1267"/>
        <w:gridCol w:w="1415"/>
        <w:gridCol w:w="1175"/>
        <w:gridCol w:w="881"/>
      </w:tblGrid>
      <w:tr w:rsidR="00041B83" w:rsidRPr="00DF0062" w:rsidTr="00041B83">
        <w:trPr>
          <w:trHeight w:val="114"/>
        </w:trPr>
        <w:tc>
          <w:tcPr>
            <w:tcW w:w="4888" w:type="dxa"/>
            <w:gridSpan w:val="2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 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jc w:val="center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Emotional Eating (EE) categories</w:t>
            </w:r>
          </w:p>
        </w:tc>
        <w:tc>
          <w:tcPr>
            <w:tcW w:w="88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41B83" w:rsidRPr="004C17CC" w:rsidRDefault="00041B83" w:rsidP="00B41F33">
            <w:pPr>
              <w:spacing w:after="0" w:line="276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08"/>
        </w:trPr>
        <w:tc>
          <w:tcPr>
            <w:tcW w:w="4888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Low EE</w:t>
            </w:r>
          </w:p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≤27.5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Moderate EE</w:t>
            </w:r>
          </w:p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27.6-43.6</w:t>
            </w:r>
          </w:p>
        </w:tc>
        <w:tc>
          <w:tcPr>
            <w:tcW w:w="11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High EE</w:t>
            </w:r>
          </w:p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≥43.7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97392E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97392E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P-values</w:t>
            </w:r>
          </w:p>
        </w:tc>
      </w:tr>
      <w:tr w:rsidR="00041B83" w:rsidRPr="00DF0062" w:rsidTr="00C45B46">
        <w:trPr>
          <w:trHeight w:val="141"/>
        </w:trPr>
        <w:tc>
          <w:tcPr>
            <w:tcW w:w="488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 (%)</w:t>
            </w:r>
          </w:p>
        </w:tc>
        <w:tc>
          <w:tcPr>
            <w:tcW w:w="126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335 (52.5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202 (31.7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101 (15.8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C45B46">
        <w:trPr>
          <w:trHeight w:val="160"/>
        </w:trPr>
        <w:tc>
          <w:tcPr>
            <w:tcW w:w="4888" w:type="dxa"/>
            <w:gridSpan w:val="2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Age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(in years)</w:t>
            </w:r>
          </w:p>
        </w:tc>
        <w:tc>
          <w:tcPr>
            <w:tcW w:w="12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22.1 ± 1.9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21.7 ± 1.7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F33" w:rsidRPr="004D41BE" w:rsidRDefault="00B41F33" w:rsidP="00F2669F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22.</w:t>
            </w:r>
            <w:r w:rsidR="00F2669F">
              <w:rPr>
                <w:rFonts w:ascii="Palatino Linotype" w:eastAsia="Times New Roman" w:hAnsi="Palatino Linotype" w:cstheme="majorBidi"/>
                <w:sz w:val="18"/>
                <w:szCs w:val="18"/>
              </w:rPr>
              <w:t>3</w:t>
            </w: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± 2.</w:t>
            </w:r>
            <w:r w:rsidR="00F2669F">
              <w:rPr>
                <w:rFonts w:ascii="Palatino Linotype" w:eastAsia="Times New Roman" w:hAnsi="Palatino Linotype" w:cstheme="majorBidi"/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1F33" w:rsidRPr="004C17CC" w:rsidRDefault="00AB691C" w:rsidP="00B41F33">
            <w:pPr>
              <w:spacing w:after="0" w:line="276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</w:t>
            </w:r>
            <w:r w:rsidR="00F2669F">
              <w:rPr>
                <w:rFonts w:ascii="Palatino Linotype" w:eastAsia="Times New Roman" w:hAnsi="Palatino Linotype" w:cstheme="majorBidi"/>
                <w:sz w:val="18"/>
                <w:szCs w:val="18"/>
              </w:rPr>
              <w:t>06</w:t>
            </w:r>
          </w:p>
        </w:tc>
      </w:tr>
      <w:tr w:rsidR="00B41F33" w:rsidRPr="00DF0062" w:rsidTr="00C45B46">
        <w:trPr>
          <w:trHeight w:val="108"/>
        </w:trPr>
        <w:tc>
          <w:tcPr>
            <w:tcW w:w="4888" w:type="dxa"/>
            <w:gridSpan w:val="2"/>
            <w:shd w:val="clear" w:color="auto" w:fill="auto"/>
            <w:noWrap/>
          </w:tcPr>
          <w:p w:rsidR="00B41F33" w:rsidRPr="004C17CC" w:rsidRDefault="00B41F33" w:rsidP="00B41F33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 xml:space="preserve">BMI 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(kg/m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  <w:vertAlign w:val="superscript"/>
              </w:rPr>
              <w:t>2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267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22.7 ± 4.9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F33" w:rsidRPr="004D41BE" w:rsidRDefault="00B41F33" w:rsidP="00AB691C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23.4 ± 6.4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F33" w:rsidRPr="004D41BE" w:rsidRDefault="00B41F33" w:rsidP="00C45B46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25.4 ± 6.3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41F33" w:rsidRPr="004C17CC" w:rsidRDefault="00B41F33" w:rsidP="00B41F33">
            <w:pPr>
              <w:spacing w:after="0" w:line="276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hAnsi="Palatino Linotype" w:cs="URWPalladioL-Roma"/>
                <w:sz w:val="18"/>
                <w:szCs w:val="18"/>
              </w:rPr>
              <w:t>&lt;0.001</w:t>
            </w:r>
          </w:p>
        </w:tc>
      </w:tr>
      <w:tr w:rsidR="00041B83" w:rsidRPr="00DF0062" w:rsidTr="00C45B46">
        <w:trPr>
          <w:trHeight w:val="108"/>
        </w:trPr>
        <w:tc>
          <w:tcPr>
            <w:tcW w:w="4888" w:type="dxa"/>
            <w:gridSpan w:val="2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BMI categories</w:t>
            </w:r>
          </w:p>
        </w:tc>
        <w:tc>
          <w:tcPr>
            <w:tcW w:w="1267" w:type="dxa"/>
            <w:tcBorders>
              <w:top w:val="nil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1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88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318"/>
        </w:trPr>
        <w:tc>
          <w:tcPr>
            <w:tcW w:w="4888" w:type="dxa"/>
            <w:gridSpan w:val="2"/>
            <w:shd w:val="clear" w:color="auto" w:fill="auto"/>
            <w:noWrap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Obese 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21 (6.3)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 (9.9)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17 (16.8)</w:t>
            </w:r>
          </w:p>
        </w:tc>
        <w:tc>
          <w:tcPr>
            <w:tcW w:w="881" w:type="dxa"/>
            <w:vMerge w:val="restart"/>
            <w:shd w:val="clear" w:color="auto" w:fill="auto"/>
            <w:noWrap/>
            <w:vAlign w:val="bottom"/>
          </w:tcPr>
          <w:p w:rsidR="00B41F33" w:rsidRPr="004C17CC" w:rsidRDefault="00B41F3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0.003</w:t>
            </w:r>
          </w:p>
        </w:tc>
      </w:tr>
      <w:tr w:rsidR="00B41F33" w:rsidRPr="00DF0062" w:rsidTr="00B41F33">
        <w:trPr>
          <w:trHeight w:val="108"/>
        </w:trPr>
        <w:tc>
          <w:tcPr>
            <w:tcW w:w="4888" w:type="dxa"/>
            <w:gridSpan w:val="2"/>
            <w:shd w:val="clear" w:color="auto" w:fill="auto"/>
            <w:noWrap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Overweight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56 (16.8)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35 (17.3)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 (23.8)</w:t>
            </w:r>
          </w:p>
        </w:tc>
        <w:tc>
          <w:tcPr>
            <w:tcW w:w="881" w:type="dxa"/>
            <w:vMerge/>
            <w:shd w:val="clear" w:color="auto" w:fill="auto"/>
            <w:noWrap/>
            <w:vAlign w:val="bottom"/>
          </w:tcPr>
          <w:p w:rsidR="00B41F33" w:rsidRPr="004C17CC" w:rsidRDefault="00B41F3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12"/>
        </w:trPr>
        <w:tc>
          <w:tcPr>
            <w:tcW w:w="4888" w:type="dxa"/>
            <w:gridSpan w:val="2"/>
            <w:shd w:val="clear" w:color="auto" w:fill="auto"/>
            <w:noWrap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Normal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208 (62.3)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120 (59.4)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57 (56.4)</w:t>
            </w:r>
          </w:p>
        </w:tc>
        <w:tc>
          <w:tcPr>
            <w:tcW w:w="881" w:type="dxa"/>
            <w:vMerge/>
            <w:shd w:val="clear" w:color="auto" w:fill="auto"/>
            <w:noWrap/>
            <w:vAlign w:val="bottom"/>
          </w:tcPr>
          <w:p w:rsidR="00B41F33" w:rsidRPr="004C17CC" w:rsidRDefault="00B41F3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4888" w:type="dxa"/>
            <w:gridSpan w:val="2"/>
            <w:shd w:val="clear" w:color="auto" w:fill="auto"/>
            <w:noWrap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Underweight</w:t>
            </w:r>
          </w:p>
        </w:tc>
        <w:tc>
          <w:tcPr>
            <w:tcW w:w="1267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49 (14.7)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 (13.4)</w:t>
            </w:r>
          </w:p>
        </w:tc>
        <w:tc>
          <w:tcPr>
            <w:tcW w:w="1175" w:type="dxa"/>
            <w:shd w:val="clear" w:color="auto" w:fill="auto"/>
            <w:noWrap/>
            <w:vAlign w:val="center"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 (3.0)</w:t>
            </w:r>
          </w:p>
        </w:tc>
        <w:tc>
          <w:tcPr>
            <w:tcW w:w="881" w:type="dxa"/>
            <w:vMerge/>
            <w:shd w:val="clear" w:color="auto" w:fill="auto"/>
            <w:noWrap/>
            <w:vAlign w:val="bottom"/>
          </w:tcPr>
          <w:p w:rsidR="00B41F33" w:rsidRPr="004C17CC" w:rsidRDefault="00B41F3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4D41BE">
        <w:trPr>
          <w:trHeight w:val="515"/>
        </w:trPr>
        <w:tc>
          <w:tcPr>
            <w:tcW w:w="2196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hAnsi="Palatino Linotype" w:cstheme="majorBidi"/>
                <w:b/>
                <w:bCs/>
                <w:sz w:val="18"/>
                <w:szCs w:val="18"/>
              </w:rPr>
              <w:t>Sociodemographic</w:t>
            </w:r>
          </w:p>
        </w:tc>
        <w:tc>
          <w:tcPr>
            <w:tcW w:w="2692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54"/>
        </w:trPr>
        <w:tc>
          <w:tcPr>
            <w:tcW w:w="2196" w:type="dxa"/>
            <w:vMerge w:val="restart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Education level</w:t>
            </w:r>
          </w:p>
        </w:tc>
        <w:tc>
          <w:tcPr>
            <w:tcW w:w="2692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Bachelor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209 (62.4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134 (66.3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70 (69.3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 w:val="restart"/>
            <w:shd w:val="clear" w:color="auto" w:fill="auto"/>
            <w:noWrap/>
            <w:vAlign w:val="bottom"/>
            <w:hideMark/>
          </w:tcPr>
          <w:p w:rsidR="00041B83" w:rsidRPr="004C17CC" w:rsidRDefault="00AB691C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0.338</w:t>
            </w:r>
          </w:p>
        </w:tc>
      </w:tr>
      <w:tr w:rsidR="00041B83" w:rsidRPr="00DF0062" w:rsidTr="00041B8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Internship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39 (11.6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18 (8.9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5 (9.7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88"/>
        </w:trPr>
        <w:tc>
          <w:tcPr>
            <w:tcW w:w="2196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Graduate or higher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87 (26.0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50 (24.8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26 (25.8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4888" w:type="dxa"/>
            <w:gridSpan w:val="2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GPA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4.2 ± 1.0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4.4 ± 0.8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4.3 ± 0.8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B41F33" w:rsidRPr="004C17CC" w:rsidRDefault="00AB691C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0.275</w:t>
            </w: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 w:val="restart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Occupation</w:t>
            </w: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Unemployed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305 (91.0)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181 (89.6)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93 (92.1)</w:t>
            </w:r>
          </w:p>
        </w:tc>
        <w:tc>
          <w:tcPr>
            <w:tcW w:w="881" w:type="dxa"/>
            <w:vMerge w:val="restart"/>
            <w:shd w:val="clear" w:color="auto" w:fill="auto"/>
            <w:noWrap/>
            <w:vAlign w:val="bottom"/>
            <w:hideMark/>
          </w:tcPr>
          <w:p w:rsidR="00B41F33" w:rsidRPr="004C17CC" w:rsidRDefault="00AB691C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0.522</w:t>
            </w: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Health Sector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(.6)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(2.0)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(2.0)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Government non-health sector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 (2.4)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(1.0)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(1.0)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Private sector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 (5.7)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 (5.9)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(4.0)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Business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(.3)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 (1.5)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(1.0)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08"/>
        </w:trPr>
        <w:tc>
          <w:tcPr>
            <w:tcW w:w="2196" w:type="dxa"/>
            <w:vMerge w:val="restart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bookmarkStart w:id="0" w:name="_Hlk48603725"/>
          </w:p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Family monthly income</w:t>
            </w:r>
          </w:p>
        </w:tc>
        <w:tc>
          <w:tcPr>
            <w:tcW w:w="2692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881" w:type="dxa"/>
            <w:vMerge w:val="restart"/>
            <w:shd w:val="clear" w:color="auto" w:fill="auto"/>
            <w:noWrap/>
            <w:vAlign w:val="bottom"/>
          </w:tcPr>
          <w:p w:rsidR="00041B83" w:rsidRPr="004C17CC" w:rsidRDefault="00AB691C" w:rsidP="000B542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</w:t>
            </w:r>
            <w:r w:rsidR="000B542E">
              <w:rPr>
                <w:rFonts w:ascii="Palatino Linotype" w:eastAsia="Times New Roman" w:hAnsi="Palatino Linotype" w:cstheme="majorBidi"/>
                <w:sz w:val="18"/>
                <w:szCs w:val="18"/>
              </w:rPr>
              <w:t>090</w:t>
            </w:r>
            <w:bookmarkStart w:id="1" w:name="_GoBack"/>
            <w:bookmarkEnd w:id="1"/>
          </w:p>
        </w:tc>
      </w:tr>
      <w:bookmarkEnd w:id="0"/>
      <w:tr w:rsidR="000B542E" w:rsidRPr="00DF0062" w:rsidTr="00CB1B85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Less than 5000 Saudi Riyals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22 (7.3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14 (5.4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6 (7.6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B542E" w:rsidRPr="00DF0062" w:rsidTr="00CB1B85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5000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–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10000 Saudi Riyals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51 (16.9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59 (22.9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6 (7.6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B542E" w:rsidRPr="00DF0062" w:rsidTr="00CB1B85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10000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–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20000 Saudi Riyals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104 (34.6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89 (34.5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33 (41.8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B542E" w:rsidRPr="00DF0062" w:rsidTr="00D5264C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&gt;20000 Saudi Riyals</w:t>
            </w:r>
          </w:p>
        </w:tc>
        <w:tc>
          <w:tcPr>
            <w:tcW w:w="1267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124 (41.2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96 (37.2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34 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(43.0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881" w:type="dxa"/>
            <w:vMerge/>
            <w:vAlign w:val="center"/>
            <w:hideMark/>
          </w:tcPr>
          <w:p w:rsidR="000B542E" w:rsidRPr="004C17CC" w:rsidRDefault="000B542E" w:rsidP="000B542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 w:val="restart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Area of residency</w:t>
            </w: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North 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134 (40.1)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81 (40.1)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44 (43.6)</w:t>
            </w:r>
          </w:p>
        </w:tc>
        <w:tc>
          <w:tcPr>
            <w:tcW w:w="881" w:type="dxa"/>
            <w:vMerge w:val="restart"/>
            <w:shd w:val="clear" w:color="auto" w:fill="auto"/>
            <w:noWrap/>
            <w:vAlign w:val="bottom"/>
            <w:hideMark/>
          </w:tcPr>
          <w:p w:rsidR="00B41F33" w:rsidRPr="004C17CC" w:rsidRDefault="00AB691C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0.691</w:t>
            </w: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South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35 (10.5)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25 (12.4)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 (11.9)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DF0062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East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74 (22.2)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41 (20.3)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 (23.8)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DF0062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West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63 (18.9)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37 (18.3)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15 (14.9)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DF0062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  <w:tr w:rsidR="00B41F33" w:rsidRPr="00DF0062" w:rsidTr="00B41F33">
        <w:trPr>
          <w:trHeight w:val="108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Middle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16 (4.8)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 (2.5)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(4.0)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DF0062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  <w:tr w:rsidR="00B41F33" w:rsidRPr="00DF0062" w:rsidTr="00B41F33">
        <w:trPr>
          <w:trHeight w:val="475"/>
        </w:trPr>
        <w:tc>
          <w:tcPr>
            <w:tcW w:w="2196" w:type="dxa"/>
            <w:vMerge/>
            <w:vAlign w:val="center"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  <w:hideMark/>
          </w:tcPr>
          <w:p w:rsidR="00B41F33" w:rsidRPr="004C17CC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Other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 (3.6)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13 (6.4)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B41F33" w:rsidRPr="004D41BE" w:rsidRDefault="00B41F33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(2.0)</w:t>
            </w:r>
          </w:p>
        </w:tc>
        <w:tc>
          <w:tcPr>
            <w:tcW w:w="881" w:type="dxa"/>
            <w:vMerge/>
            <w:vAlign w:val="center"/>
            <w:hideMark/>
          </w:tcPr>
          <w:p w:rsidR="00B41F33" w:rsidRPr="00DF0062" w:rsidRDefault="00B41F3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  <w:tr w:rsidR="00041B83" w:rsidRPr="00DF0062" w:rsidTr="00041B83">
        <w:trPr>
          <w:trHeight w:val="475"/>
        </w:trPr>
        <w:tc>
          <w:tcPr>
            <w:tcW w:w="2196" w:type="dxa"/>
            <w:vAlign w:val="center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92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267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881" w:type="dxa"/>
            <w:vAlign w:val="center"/>
          </w:tcPr>
          <w:p w:rsidR="00041B83" w:rsidRPr="00DF0062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</w:tbl>
    <w:p w:rsidR="00041B83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  <w:r w:rsidRPr="00C27F3E">
        <w:rPr>
          <w:rFonts w:ascii="Palatino Linotype" w:hAnsi="Palatino Linotype"/>
          <w:b w:val="0"/>
          <w:color w:val="auto"/>
          <w:sz w:val="18"/>
          <w:szCs w:val="18"/>
        </w:rPr>
        <w:t>Data presented as mean ± SD for continuous and N (%) for categorical variables; grade point average (GPA). P-value &lt; 0.05 considered significant</w:t>
      </w:r>
      <w:r w:rsidRPr="00C27F3E">
        <w:rPr>
          <w:rFonts w:ascii="Palatino Linotype" w:hAnsi="Palatino Linotype"/>
          <w:color w:val="auto"/>
          <w:sz w:val="18"/>
          <w:szCs w:val="18"/>
        </w:rPr>
        <w:t>.</w:t>
      </w:r>
    </w:p>
    <w:p w:rsidR="00041B83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</w:p>
    <w:p w:rsidR="00041B83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</w:p>
    <w:p w:rsidR="00041B83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</w:p>
    <w:p w:rsidR="00041B83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</w:p>
    <w:p w:rsidR="00041B83" w:rsidRPr="00C27F3E" w:rsidRDefault="00D3167F" w:rsidP="00D3167F">
      <w:pPr>
        <w:keepNext/>
        <w:spacing w:before="240" w:after="120" w:line="260" w:lineRule="atLeast"/>
        <w:ind w:left="425" w:right="425"/>
        <w:jc w:val="center"/>
        <w:rPr>
          <w:rFonts w:ascii="Palatino Linotype" w:hAnsi="Palatino Linotype" w:cstheme="majorBidi"/>
          <w:b/>
          <w:bCs/>
          <w:sz w:val="18"/>
          <w:szCs w:val="18"/>
        </w:rPr>
      </w:pPr>
      <w:r w:rsidRPr="00D3167F">
        <w:rPr>
          <w:rFonts w:ascii="Palatino Linotype" w:hAnsi="Palatino Linotype" w:cstheme="majorBidi"/>
          <w:b/>
          <w:bCs/>
          <w:sz w:val="18"/>
          <w:szCs w:val="18"/>
          <w:lang w:bidi="en-US"/>
        </w:rPr>
        <w:t xml:space="preserve">Supplementary Table </w:t>
      </w:r>
      <w:r>
        <w:rPr>
          <w:rFonts w:ascii="Palatino Linotype" w:hAnsi="Palatino Linotype" w:cstheme="majorBidi"/>
          <w:b/>
          <w:bCs/>
          <w:sz w:val="18"/>
          <w:szCs w:val="18"/>
          <w:lang w:bidi="en-US"/>
        </w:rPr>
        <w:t>2</w:t>
      </w:r>
      <w:r w:rsidR="00041B83" w:rsidRPr="00C27F3E">
        <w:rPr>
          <w:rFonts w:ascii="Palatino Linotype" w:hAnsi="Palatino Linotype" w:cstheme="majorBidi"/>
          <w:b/>
          <w:bCs/>
          <w:sz w:val="18"/>
          <w:szCs w:val="18"/>
        </w:rPr>
        <w:t xml:space="preserve">. </w:t>
      </w:r>
      <w:r w:rsidR="00041B83" w:rsidRPr="00C27F3E">
        <w:rPr>
          <w:rFonts w:ascii="Palatino Linotype" w:hAnsi="Palatino Linotype" w:cstheme="majorBidi"/>
          <w:bCs/>
          <w:sz w:val="18"/>
          <w:szCs w:val="18"/>
        </w:rPr>
        <w:t>General mental status and parameters related to COVID-19 and according to EES groups.</w:t>
      </w:r>
    </w:p>
    <w:tbl>
      <w:tblPr>
        <w:tblW w:w="939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1269"/>
        <w:gridCol w:w="221"/>
        <w:gridCol w:w="1877"/>
        <w:gridCol w:w="1518"/>
        <w:gridCol w:w="1575"/>
        <w:gridCol w:w="948"/>
        <w:gridCol w:w="461"/>
        <w:gridCol w:w="1524"/>
      </w:tblGrid>
      <w:tr w:rsidR="00041B83" w:rsidRPr="00DF0062" w:rsidTr="00041B83">
        <w:trPr>
          <w:trHeight w:val="197"/>
        </w:trPr>
        <w:tc>
          <w:tcPr>
            <w:tcW w:w="336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 </w:t>
            </w:r>
          </w:p>
        </w:tc>
        <w:tc>
          <w:tcPr>
            <w:tcW w:w="450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Emotional Eating (EE) categories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A973FE" w:rsidRPr="00DF0062" w:rsidTr="00041B83">
        <w:trPr>
          <w:trHeight w:val="188"/>
        </w:trPr>
        <w:tc>
          <w:tcPr>
            <w:tcW w:w="3367" w:type="dxa"/>
            <w:gridSpan w:val="3"/>
            <w:vMerge/>
            <w:tcBorders>
              <w:bottom w:val="single" w:sz="4" w:space="0" w:color="auto"/>
            </w:tcBorders>
            <w:vAlign w:val="center"/>
            <w:hideMark/>
          </w:tcPr>
          <w:p w:rsidR="00A973FE" w:rsidRPr="004C17CC" w:rsidRDefault="00A973FE" w:rsidP="00A973F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Low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≤27.5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Moderate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27.6-43.6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High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≥43.7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P-values</w:t>
            </w:r>
          </w:p>
        </w:tc>
      </w:tr>
      <w:tr w:rsidR="00A973FE" w:rsidRPr="00DF0062" w:rsidTr="00041B83">
        <w:trPr>
          <w:trHeight w:val="188"/>
        </w:trPr>
        <w:tc>
          <w:tcPr>
            <w:tcW w:w="3367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973FE" w:rsidRPr="004C17CC" w:rsidRDefault="00A973FE" w:rsidP="00A973F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</w:t>
            </w:r>
          </w:p>
        </w:tc>
        <w:tc>
          <w:tcPr>
            <w:tcW w:w="15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335 (52.5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202 (31.7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9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101 (15.8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88"/>
        </w:trPr>
        <w:tc>
          <w:tcPr>
            <w:tcW w:w="3367" w:type="dxa"/>
            <w:gridSpan w:val="3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 xml:space="preserve">Stress 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243"/>
        </w:trPr>
        <w:tc>
          <w:tcPr>
            <w:tcW w:w="3367" w:type="dxa"/>
            <w:gridSpan w:val="3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Total PSS score</w:t>
            </w:r>
          </w:p>
        </w:tc>
        <w:tc>
          <w:tcPr>
            <w:tcW w:w="1518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18.7 ± 6.5</w:t>
            </w:r>
          </w:p>
        </w:tc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19.4 ± 5.8</w:t>
            </w:r>
          </w:p>
        </w:tc>
        <w:tc>
          <w:tcPr>
            <w:tcW w:w="948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20.3 ± 5.9</w:t>
            </w: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:rsidR="0052688B" w:rsidRPr="004C17CC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                  </w:t>
            </w:r>
            <w:r w:rsidR="00B951E6">
              <w:rPr>
                <w:rFonts w:ascii="Palatino Linotype" w:eastAsia="Times New Roman" w:hAnsi="Palatino Linotype" w:cstheme="majorBidi"/>
                <w:sz w:val="18"/>
                <w:szCs w:val="18"/>
              </w:rPr>
              <w:t>0.066</w:t>
            </w:r>
          </w:p>
        </w:tc>
      </w:tr>
      <w:tr w:rsidR="0052688B" w:rsidRPr="00DF0062" w:rsidTr="00C45B46">
        <w:trPr>
          <w:trHeight w:val="243"/>
        </w:trPr>
        <w:tc>
          <w:tcPr>
            <w:tcW w:w="1269" w:type="dxa"/>
            <w:vMerge w:val="restart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PSS score groups</w:t>
            </w:r>
          </w:p>
        </w:tc>
        <w:tc>
          <w:tcPr>
            <w:tcW w:w="2098" w:type="dxa"/>
            <w:gridSpan w:val="2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Low stress</w:t>
            </w:r>
          </w:p>
        </w:tc>
        <w:tc>
          <w:tcPr>
            <w:tcW w:w="151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64 (19.1)</w:t>
            </w:r>
          </w:p>
        </w:tc>
        <w:tc>
          <w:tcPr>
            <w:tcW w:w="1575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 (13.4)</w:t>
            </w:r>
          </w:p>
        </w:tc>
        <w:tc>
          <w:tcPr>
            <w:tcW w:w="94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 (11.9)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noWrap/>
            <w:vAlign w:val="bottom"/>
          </w:tcPr>
          <w:p w:rsidR="0052688B" w:rsidRPr="004C17CC" w:rsidRDefault="0052688B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        </w:t>
            </w:r>
            <w:r w:rsidR="00B951E6">
              <w:rPr>
                <w:rFonts w:ascii="Palatino Linotype" w:eastAsia="Times New Roman" w:hAnsi="Palatino Linotype" w:cstheme="majorBidi"/>
                <w:sz w:val="18"/>
                <w:szCs w:val="18"/>
              </w:rPr>
              <w:t>0.130</w:t>
            </w:r>
          </w:p>
        </w:tc>
      </w:tr>
      <w:tr w:rsidR="0052688B" w:rsidRPr="00DF0062" w:rsidTr="00C45B46">
        <w:trPr>
          <w:trHeight w:val="243"/>
        </w:trPr>
        <w:tc>
          <w:tcPr>
            <w:tcW w:w="1269" w:type="dxa"/>
            <w:vMerge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jc w:val="right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Moderate stress</w:t>
            </w:r>
          </w:p>
        </w:tc>
        <w:tc>
          <w:tcPr>
            <w:tcW w:w="151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233 (69.6)</w:t>
            </w:r>
          </w:p>
        </w:tc>
        <w:tc>
          <w:tcPr>
            <w:tcW w:w="1575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151 (74.8)</w:t>
            </w:r>
          </w:p>
        </w:tc>
        <w:tc>
          <w:tcPr>
            <w:tcW w:w="94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71 (70.3)</w:t>
            </w:r>
          </w:p>
        </w:tc>
        <w:tc>
          <w:tcPr>
            <w:tcW w:w="1985" w:type="dxa"/>
            <w:gridSpan w:val="2"/>
            <w:vMerge/>
            <w:shd w:val="clear" w:color="auto" w:fill="auto"/>
            <w:noWrap/>
            <w:vAlign w:val="bottom"/>
          </w:tcPr>
          <w:p w:rsidR="0052688B" w:rsidRPr="004C17CC" w:rsidRDefault="0052688B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243"/>
        </w:trPr>
        <w:tc>
          <w:tcPr>
            <w:tcW w:w="1269" w:type="dxa"/>
            <w:vMerge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jc w:val="right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098" w:type="dxa"/>
            <w:gridSpan w:val="2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Severe stress</w:t>
            </w:r>
          </w:p>
        </w:tc>
        <w:tc>
          <w:tcPr>
            <w:tcW w:w="151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38 (11.3)</w:t>
            </w:r>
          </w:p>
        </w:tc>
        <w:tc>
          <w:tcPr>
            <w:tcW w:w="1575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 (11.9)</w:t>
            </w:r>
          </w:p>
        </w:tc>
        <w:tc>
          <w:tcPr>
            <w:tcW w:w="948" w:type="dxa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 (17.8)</w:t>
            </w:r>
          </w:p>
        </w:tc>
        <w:tc>
          <w:tcPr>
            <w:tcW w:w="1985" w:type="dxa"/>
            <w:gridSpan w:val="2"/>
            <w:vMerge/>
            <w:shd w:val="clear" w:color="auto" w:fill="auto"/>
            <w:noWrap/>
            <w:vAlign w:val="bottom"/>
          </w:tcPr>
          <w:p w:rsidR="0052688B" w:rsidRPr="004C17CC" w:rsidRDefault="0052688B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88"/>
        </w:trPr>
        <w:tc>
          <w:tcPr>
            <w:tcW w:w="3367" w:type="dxa"/>
            <w:gridSpan w:val="3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trike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Depression</w:t>
            </w:r>
            <w:r w:rsidRPr="004C17CC">
              <w:rPr>
                <w:rFonts w:ascii="Palatino Linotype" w:eastAsia="Times New Roman" w:hAnsi="Palatino Linotype" w:cstheme="majorBidi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D41BE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D41BE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</w:tcPr>
          <w:p w:rsidR="00041B83" w:rsidRPr="004D41BE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</w:tcPr>
          <w:p w:rsidR="00041B83" w:rsidRPr="004D41BE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3367" w:type="dxa"/>
            <w:gridSpan w:val="3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Total PHQ-9 score</w:t>
            </w:r>
          </w:p>
        </w:tc>
        <w:tc>
          <w:tcPr>
            <w:tcW w:w="1518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9.3 ± 5.7</w:t>
            </w:r>
          </w:p>
        </w:tc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9.0 ± 5.0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10.0 ± 5.3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0.266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PHQ-</w:t>
            </w:r>
            <w:proofErr w:type="gramStart"/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9  groups</w:t>
            </w:r>
            <w:proofErr w:type="gramEnd"/>
          </w:p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 depression (&lt;10)</w:t>
            </w:r>
          </w:p>
        </w:tc>
        <w:tc>
          <w:tcPr>
            <w:tcW w:w="1518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187 (55.8)</w:t>
            </w:r>
          </w:p>
        </w:tc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126 (62.4)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52 (51.5)</w:t>
            </w:r>
          </w:p>
        </w:tc>
        <w:tc>
          <w:tcPr>
            <w:tcW w:w="1524" w:type="dxa"/>
            <w:vMerge w:val="restart"/>
            <w:shd w:val="clear" w:color="auto" w:fill="auto"/>
            <w:noWrap/>
            <w:vAlign w:val="bottom"/>
            <w:hideMark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0.148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Depression (≥10)</w:t>
            </w:r>
          </w:p>
        </w:tc>
        <w:tc>
          <w:tcPr>
            <w:tcW w:w="1518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148 (44.2)</w:t>
            </w:r>
          </w:p>
        </w:tc>
        <w:tc>
          <w:tcPr>
            <w:tcW w:w="1575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76 (37.6)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49 (48.5)</w:t>
            </w:r>
          </w:p>
        </w:tc>
        <w:tc>
          <w:tcPr>
            <w:tcW w:w="1524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88"/>
        </w:trPr>
        <w:tc>
          <w:tcPr>
            <w:tcW w:w="3367" w:type="dxa"/>
            <w:gridSpan w:val="3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Anxiety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24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3367" w:type="dxa"/>
            <w:gridSpan w:val="3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Total GAD-10 score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7.0 ± 5.0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7.3 ± 4.4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7.5 ± 4.5</w:t>
            </w:r>
          </w:p>
        </w:tc>
        <w:tc>
          <w:tcPr>
            <w:tcW w:w="1524" w:type="dxa"/>
            <w:shd w:val="clear" w:color="auto" w:fill="auto"/>
            <w:noWrap/>
            <w:vAlign w:val="bottom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0.526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GAD-</w:t>
            </w:r>
            <w:proofErr w:type="gramStart"/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10  groups</w:t>
            </w:r>
            <w:proofErr w:type="gramEnd"/>
          </w:p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 anxiety (&lt;10)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244 (73.1)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147 (72.8)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74 (73.3)</w:t>
            </w:r>
          </w:p>
        </w:tc>
        <w:tc>
          <w:tcPr>
            <w:tcW w:w="1524" w:type="dxa"/>
            <w:vMerge w:val="restart"/>
            <w:shd w:val="clear" w:color="auto" w:fill="auto"/>
            <w:noWrap/>
            <w:vAlign w:val="bottom"/>
            <w:hideMark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0.995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Anxiety (≥10)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90 (26.9)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55 (27.2)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 (26.7)</w:t>
            </w:r>
          </w:p>
        </w:tc>
        <w:tc>
          <w:tcPr>
            <w:tcW w:w="1524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88"/>
        </w:trPr>
        <w:tc>
          <w:tcPr>
            <w:tcW w:w="3367" w:type="dxa"/>
            <w:gridSpan w:val="3"/>
            <w:shd w:val="clear" w:color="auto" w:fill="auto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Covid-19 -related parameters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524" w:type="dxa"/>
            <w:vAlign w:val="center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Change in Family income</w:t>
            </w:r>
          </w:p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257 (82.1)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168 (88.0)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77 (84.6)</w:t>
            </w:r>
          </w:p>
        </w:tc>
        <w:tc>
          <w:tcPr>
            <w:tcW w:w="1524" w:type="dxa"/>
            <w:vMerge w:val="restart"/>
            <w:vAlign w:val="center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0.068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Yes, Decreased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29 (9.3)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 (9.9)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 (8.8)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Yes, Increased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 (8.6)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(2.1)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 (6.6)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77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Changing Residency</w:t>
            </w: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313 (93.4)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187 (92.6)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96 (95.0)</w:t>
            </w:r>
          </w:p>
        </w:tc>
        <w:tc>
          <w:tcPr>
            <w:tcW w:w="1524" w:type="dxa"/>
            <w:vMerge w:val="restart"/>
            <w:shd w:val="clear" w:color="auto" w:fill="auto"/>
            <w:vAlign w:val="bottom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0.715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22 (6.6)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15 (7.4)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 (5.0)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Infected by COVID-19</w:t>
            </w: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335 (100.0)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201 (99.5)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101 (100.0)</w:t>
            </w:r>
          </w:p>
        </w:tc>
        <w:tc>
          <w:tcPr>
            <w:tcW w:w="1524" w:type="dxa"/>
            <w:vMerge w:val="restart"/>
            <w:shd w:val="clear" w:color="auto" w:fill="auto"/>
            <w:vAlign w:val="bottom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0.339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(.5)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52688B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Family member infected by COVID-19</w:t>
            </w:r>
          </w:p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328 (97.9)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198 (98.0)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100 (99.0)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52688B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0.769</w:t>
            </w:r>
          </w:p>
        </w:tc>
      </w:tr>
      <w:tr w:rsidR="0052688B" w:rsidRPr="00DF0062" w:rsidTr="00C45B46">
        <w:trPr>
          <w:trHeight w:val="144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 (2.1)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(2.0)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(1.0)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041B83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Specify member</w:t>
            </w:r>
          </w:p>
        </w:tc>
        <w:tc>
          <w:tcPr>
            <w:tcW w:w="1877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Father or Mother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3 (50.0)</w:t>
            </w: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524" w:type="dxa"/>
            <w:vMerge w:val="restart"/>
            <w:shd w:val="clear" w:color="auto" w:fill="auto"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0.240</w:t>
            </w:r>
          </w:p>
        </w:tc>
      </w:tr>
      <w:tr w:rsidR="00041B83" w:rsidRPr="00DF0062" w:rsidTr="00041B83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Extended family</w:t>
            </w:r>
          </w:p>
        </w:tc>
        <w:tc>
          <w:tcPr>
            <w:tcW w:w="1518" w:type="dxa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3 (50.0)</w:t>
            </w:r>
          </w:p>
        </w:tc>
        <w:tc>
          <w:tcPr>
            <w:tcW w:w="1575" w:type="dxa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3 (100.0)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 (100.0)</w:t>
            </w:r>
          </w:p>
        </w:tc>
        <w:tc>
          <w:tcPr>
            <w:tcW w:w="1524" w:type="dxa"/>
            <w:vMerge/>
            <w:vAlign w:val="center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shd w:val="clear" w:color="auto" w:fill="auto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Type of quarantine</w:t>
            </w: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Medical Isolation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(0.6)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524" w:type="dxa"/>
            <w:vMerge w:val="restart"/>
            <w:shd w:val="clear" w:color="auto" w:fill="auto"/>
            <w:vAlign w:val="bottom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0.404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Self-Quarantine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333 (99.4)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202 (100.0)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101 (100.0)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lastRenderedPageBreak/>
              <w:t xml:space="preserve">Food cleaning </w:t>
            </w: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(1.0)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(2.9)</w:t>
            </w:r>
          </w:p>
        </w:tc>
        <w:tc>
          <w:tcPr>
            <w:tcW w:w="1524" w:type="dxa"/>
            <w:vMerge w:val="restart"/>
            <w:vAlign w:val="center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0.281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99 (100.0)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100 (99.0)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34 (97.1)</w:t>
            </w:r>
          </w:p>
        </w:tc>
        <w:tc>
          <w:tcPr>
            <w:tcW w:w="1524" w:type="dxa"/>
            <w:vMerge/>
            <w:vAlign w:val="center"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 w:val="restart"/>
            <w:vAlign w:val="center"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Smoking</w:t>
            </w:r>
          </w:p>
        </w:tc>
        <w:tc>
          <w:tcPr>
            <w:tcW w:w="1877" w:type="dxa"/>
            <w:shd w:val="clear" w:color="auto" w:fill="auto"/>
            <w:noWrap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No </w:t>
            </w:r>
          </w:p>
        </w:tc>
        <w:tc>
          <w:tcPr>
            <w:tcW w:w="1518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197 (97.0)</w:t>
            </w:r>
          </w:p>
        </w:tc>
        <w:tc>
          <w:tcPr>
            <w:tcW w:w="1575" w:type="dxa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80 (95.2)</w:t>
            </w:r>
          </w:p>
        </w:tc>
        <w:tc>
          <w:tcPr>
            <w:tcW w:w="1409" w:type="dxa"/>
            <w:gridSpan w:val="2"/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50 (92.6)</w:t>
            </w:r>
          </w:p>
        </w:tc>
        <w:tc>
          <w:tcPr>
            <w:tcW w:w="1524" w:type="dxa"/>
            <w:vMerge w:val="restart"/>
            <w:vAlign w:val="center"/>
          </w:tcPr>
          <w:p w:rsidR="0052688B" w:rsidRPr="004C17CC" w:rsidRDefault="00B951E6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0.322</w:t>
            </w:r>
          </w:p>
        </w:tc>
      </w:tr>
      <w:tr w:rsidR="0052688B" w:rsidRPr="00DF0062" w:rsidTr="00C45B46">
        <w:trPr>
          <w:trHeight w:val="188"/>
        </w:trPr>
        <w:tc>
          <w:tcPr>
            <w:tcW w:w="14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2688B" w:rsidRPr="00DF0062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2688B" w:rsidRPr="00DF0062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  <w:r w:rsidRPr="00DF0062">
              <w:rPr>
                <w:rFonts w:ascii="Palatino Linotype" w:eastAsia="Times New Roman" w:hAnsi="Palatino Linotype" w:cstheme="majorBidi"/>
                <w:sz w:val="20"/>
                <w:szCs w:val="20"/>
              </w:rPr>
              <w:t>Yes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 (3.0)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(4.8)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(7.4)</w:t>
            </w:r>
          </w:p>
        </w:tc>
        <w:tc>
          <w:tcPr>
            <w:tcW w:w="1524" w:type="dxa"/>
            <w:vMerge/>
            <w:tcBorders>
              <w:bottom w:val="single" w:sz="4" w:space="0" w:color="auto"/>
            </w:tcBorders>
            <w:vAlign w:val="center"/>
          </w:tcPr>
          <w:p w:rsidR="0052688B" w:rsidRPr="00DF0062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20"/>
                <w:szCs w:val="20"/>
              </w:rPr>
            </w:pPr>
          </w:p>
        </w:tc>
      </w:tr>
    </w:tbl>
    <w:p w:rsidR="00041B83" w:rsidRPr="00C27F3E" w:rsidRDefault="00041B83" w:rsidP="00041B83">
      <w:pPr>
        <w:spacing w:after="240" w:line="260" w:lineRule="atLeast"/>
        <w:jc w:val="center"/>
        <w:rPr>
          <w:rFonts w:ascii="Palatino Linotype" w:hAnsi="Palatino Linotype" w:cstheme="majorBidi"/>
          <w:sz w:val="18"/>
          <w:szCs w:val="18"/>
        </w:rPr>
      </w:pPr>
      <w:r w:rsidRPr="00C27F3E">
        <w:rPr>
          <w:rFonts w:ascii="Palatino Linotype" w:hAnsi="Palatino Linotype" w:cstheme="majorBidi"/>
          <w:sz w:val="18"/>
          <w:szCs w:val="18"/>
        </w:rPr>
        <w:t>Data presented as the mean ± SD for continuous and N (%) for categorical variables.</w:t>
      </w:r>
      <w:r w:rsidRPr="00C27F3E">
        <w:rPr>
          <w:rFonts w:ascii="Palatino Linotype" w:eastAsia="Times New Roman" w:hAnsi="Palatino Linotype" w:cstheme="majorBidi"/>
          <w:sz w:val="18"/>
          <w:szCs w:val="18"/>
        </w:rPr>
        <w:t xml:space="preserve"> PSS; Perceived Stress scale, GAD-7; Generalized Anxiety Disorder-7, PHQ-9; Patient</w:t>
      </w:r>
      <w:r w:rsidRPr="00C27F3E">
        <w:rPr>
          <w:rFonts w:ascii="Palatino Linotype" w:hAnsi="Palatino Linotype" w:cstheme="majorBidi"/>
          <w:sz w:val="18"/>
          <w:szCs w:val="18"/>
        </w:rPr>
        <w:t xml:space="preserve"> Health Questionnaire-9. P-value &lt; 0.05 considered significant.</w:t>
      </w:r>
    </w:p>
    <w:p w:rsidR="00041B83" w:rsidRPr="00C27F3E" w:rsidRDefault="00041B83" w:rsidP="00041B83">
      <w:pPr>
        <w:pStyle w:val="GAR2"/>
        <w:spacing w:after="240" w:line="260" w:lineRule="atLeast"/>
        <w:jc w:val="center"/>
        <w:rPr>
          <w:rFonts w:ascii="Palatino Linotype" w:hAnsi="Palatino Linotype"/>
          <w:color w:val="auto"/>
          <w:sz w:val="18"/>
          <w:szCs w:val="18"/>
        </w:rPr>
      </w:pPr>
    </w:p>
    <w:p w:rsidR="00041B83" w:rsidRDefault="00041B83" w:rsidP="00041B83">
      <w:pPr>
        <w:pStyle w:val="GAR2"/>
        <w:spacing w:before="240" w:after="120" w:line="260" w:lineRule="atLeast"/>
        <w:rPr>
          <w:rFonts w:ascii="Palatino Linotype" w:hAnsi="Palatino Linotype"/>
          <w:b w:val="0"/>
          <w:i/>
          <w:color w:val="auto"/>
          <w:sz w:val="20"/>
          <w:szCs w:val="20"/>
        </w:rPr>
      </w:pPr>
    </w:p>
    <w:p w:rsidR="00041B83" w:rsidRPr="00C27F3E" w:rsidRDefault="00D3167F" w:rsidP="00D3167F">
      <w:pPr>
        <w:keepNext/>
        <w:spacing w:before="240" w:after="120" w:line="260" w:lineRule="atLeast"/>
        <w:ind w:left="425" w:right="425"/>
        <w:jc w:val="center"/>
        <w:rPr>
          <w:rFonts w:ascii="Palatino Linotype" w:hAnsi="Palatino Linotype" w:cstheme="majorBidi"/>
          <w:b/>
          <w:bCs/>
          <w:sz w:val="18"/>
          <w:szCs w:val="18"/>
        </w:rPr>
      </w:pPr>
      <w:r w:rsidRPr="00D3167F">
        <w:rPr>
          <w:rFonts w:ascii="Palatino Linotype" w:hAnsi="Palatino Linotype" w:cstheme="majorBidi"/>
          <w:b/>
          <w:bCs/>
          <w:sz w:val="18"/>
          <w:szCs w:val="18"/>
          <w:lang w:bidi="en-US"/>
        </w:rPr>
        <w:t xml:space="preserve">Supplementary Table </w:t>
      </w:r>
      <w:r>
        <w:rPr>
          <w:rFonts w:ascii="Palatino Linotype" w:hAnsi="Palatino Linotype" w:cstheme="majorBidi"/>
          <w:b/>
          <w:bCs/>
          <w:sz w:val="18"/>
          <w:szCs w:val="18"/>
          <w:lang w:bidi="en-US"/>
        </w:rPr>
        <w:t>3</w:t>
      </w:r>
      <w:r w:rsidR="00041B83" w:rsidRPr="00C27F3E">
        <w:rPr>
          <w:rFonts w:ascii="Palatino Linotype" w:hAnsi="Palatino Linotype" w:cstheme="majorBidi"/>
          <w:b/>
          <w:bCs/>
          <w:sz w:val="18"/>
          <w:szCs w:val="18"/>
        </w:rPr>
        <w:t xml:space="preserve">. </w:t>
      </w:r>
      <w:r w:rsidR="00041B83" w:rsidRPr="00C27F3E">
        <w:rPr>
          <w:rFonts w:ascii="Palatino Linotype" w:hAnsi="Palatino Linotype" w:cstheme="majorBidi"/>
          <w:bCs/>
          <w:sz w:val="18"/>
          <w:szCs w:val="18"/>
        </w:rPr>
        <w:t>Nutrition, physical activity, and sleep parameters according to EE groups.</w:t>
      </w:r>
    </w:p>
    <w:tbl>
      <w:tblPr>
        <w:tblW w:w="96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2"/>
        <w:gridCol w:w="2663"/>
        <w:gridCol w:w="1198"/>
        <w:gridCol w:w="110"/>
        <w:gridCol w:w="1309"/>
        <w:gridCol w:w="1333"/>
        <w:gridCol w:w="1002"/>
      </w:tblGrid>
      <w:tr w:rsidR="00041B83" w:rsidRPr="00DF0062" w:rsidTr="00B41F33">
        <w:trPr>
          <w:trHeight w:val="177"/>
        </w:trPr>
        <w:tc>
          <w:tcPr>
            <w:tcW w:w="466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 </w:t>
            </w:r>
          </w:p>
        </w:tc>
        <w:tc>
          <w:tcPr>
            <w:tcW w:w="3950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Emotional Eating (EE) categories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B83" w:rsidRPr="004C17CC" w:rsidRDefault="00041B83" w:rsidP="00B41F33">
            <w:pPr>
              <w:keepNext/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A973FE" w:rsidRPr="00DF0062" w:rsidTr="00B41F33">
        <w:trPr>
          <w:trHeight w:val="756"/>
        </w:trPr>
        <w:tc>
          <w:tcPr>
            <w:tcW w:w="4665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A973FE" w:rsidRPr="004C17CC" w:rsidRDefault="00A973FE" w:rsidP="00A973F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Low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≤27.5</w:t>
            </w:r>
          </w:p>
        </w:tc>
        <w:tc>
          <w:tcPr>
            <w:tcW w:w="141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Moderate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27.6-43.6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High EE</w:t>
            </w:r>
          </w:p>
          <w:p w:rsidR="00A973FE" w:rsidRPr="004C17CC" w:rsidRDefault="00A973FE" w:rsidP="00A973FE">
            <w:pPr>
              <w:spacing w:after="0" w:line="276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≥43.7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3FE" w:rsidRPr="004C17CC" w:rsidRDefault="00A973FE" w:rsidP="00A973F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P-values</w:t>
            </w:r>
          </w:p>
        </w:tc>
      </w:tr>
      <w:tr w:rsidR="00041B83" w:rsidRPr="00DF0062" w:rsidTr="00B41F33">
        <w:trPr>
          <w:trHeight w:val="169"/>
        </w:trPr>
        <w:tc>
          <w:tcPr>
            <w:tcW w:w="4665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Nutrition related parameters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Weight changes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Increased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82 (24.5)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62 (31.0)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34 (33.7)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52688B" w:rsidRPr="004C17CC" w:rsidRDefault="002D42CD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0.281</w:t>
            </w: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Decreased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115 (34.3)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58 (29.0)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31 (30.7)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 change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138 (41.2)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80 (40.0)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36 (35.6)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286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Following 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a weight loss 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diet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277 (83.2)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175 (87.1)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76 (76.0)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52688B" w:rsidRPr="004C17CC" w:rsidRDefault="002D42CD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0.053</w:t>
            </w: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56 (16.8)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26 (12.9)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 (24.0)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Number of main meals/day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1.9 ± 0.7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2.0 ± 0.7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2.1 ± 0.6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hAnsi="Palatino Linotype" w:cstheme="majorBidi"/>
                <w:sz w:val="18"/>
                <w:szCs w:val="18"/>
              </w:rPr>
              <w:t>0.001</w:t>
            </w:r>
          </w:p>
        </w:tc>
      </w:tr>
      <w:tr w:rsidR="0052688B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Number of snacks/day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1.8 ± 1.0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1.9 ± 1.0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2.0 ± 1.1</w:t>
            </w:r>
          </w:p>
        </w:tc>
        <w:tc>
          <w:tcPr>
            <w:tcW w:w="1002" w:type="dxa"/>
            <w:shd w:val="clear" w:color="auto" w:fill="auto"/>
            <w:noWrap/>
            <w:vAlign w:val="bottom"/>
            <w:hideMark/>
          </w:tcPr>
          <w:p w:rsidR="0052688B" w:rsidRPr="004C17CC" w:rsidRDefault="00B73B88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0.1</w:t>
            </w:r>
            <w:r w:rsidR="0052688B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38</w:t>
            </w: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Sugary food consumption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Usually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77 (23.0)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51 (25.2)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40 (39.6)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52688B" w:rsidRPr="004C17CC" w:rsidRDefault="002D42CD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0.001</w:t>
            </w: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Often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63 (18.8)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41 (20.3)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15 (14.9)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Sometimes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160 (47.8)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98 (48.5)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42 (41.6)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Rarely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26 (7.8)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 (5.0)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(4.0)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52688B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52688B" w:rsidRPr="004C17CC" w:rsidRDefault="0052688B" w:rsidP="0052688B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Never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 (2.7)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 (1.0)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52688B" w:rsidRPr="004D41BE" w:rsidRDefault="0052688B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0 (0.0)</w:t>
            </w:r>
          </w:p>
        </w:tc>
        <w:tc>
          <w:tcPr>
            <w:tcW w:w="1002" w:type="dxa"/>
            <w:vMerge/>
            <w:vAlign w:val="center"/>
            <w:hideMark/>
          </w:tcPr>
          <w:p w:rsidR="0052688B" w:rsidRPr="004C17CC" w:rsidRDefault="0052688B" w:rsidP="0052688B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C45B46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Sugar Craving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Usually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79 (23.6)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53 (26.2)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36 (35.6)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8D4B8D" w:rsidRPr="004C17CC" w:rsidRDefault="002D42C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0.005</w:t>
            </w:r>
          </w:p>
        </w:tc>
      </w:tr>
      <w:tr w:rsidR="008D4B8D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Often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55 (16.4)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37 (18.3)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18 (17.8)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Sometimes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169 (50.4)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101 (50.0)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42 (41.6)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C45B46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Rarely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 (7.2)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 (4.0)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 (4.0)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Never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 (2.4)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 (1.5)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 (1.0)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C45B46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Fast food intake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No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200 (66.4)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104 (55.9)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46 (50.5)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bottom"/>
            <w:hideMark/>
          </w:tcPr>
          <w:p w:rsidR="008D4B8D" w:rsidRPr="004C17CC" w:rsidRDefault="002D42C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0.007</w:t>
            </w:r>
          </w:p>
        </w:tc>
      </w:tr>
      <w:tr w:rsidR="008D4B8D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Yes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101 (33.6)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82 (44.1)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45 (49.5)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9D0EDF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Fast food frequency intake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Less than one per month or zero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169 (60.6)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72 (45.9)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39 (45.9)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8D4B8D" w:rsidRPr="004C17CC" w:rsidRDefault="00B73B88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0.017</w:t>
            </w:r>
          </w:p>
        </w:tc>
      </w:tr>
      <w:tr w:rsidR="00041B83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–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4 times a month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bottom"/>
            <w:hideMark/>
          </w:tcPr>
          <w:p w:rsidR="00041B83" w:rsidRPr="004C17CC" w:rsidRDefault="008D4B8D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84 (30.1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68 (43.4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34 (40.0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At least 2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–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4 times a week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bottom"/>
            <w:hideMark/>
          </w:tcPr>
          <w:p w:rsidR="00041B83" w:rsidRPr="004C17CC" w:rsidRDefault="008D4B8D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26 (9.3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17 (10.7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12 (14.1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9D0EDF" w:rsidRPr="00DF0062" w:rsidTr="009D0EDF">
        <w:trPr>
          <w:trHeight w:val="169"/>
        </w:trPr>
        <w:tc>
          <w:tcPr>
            <w:tcW w:w="2002" w:type="dxa"/>
            <w:shd w:val="clear" w:color="auto" w:fill="auto"/>
            <w:noWrap/>
          </w:tcPr>
          <w:p w:rsidR="009D0EDF" w:rsidRPr="004C17CC" w:rsidRDefault="009D0EDF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</w:tcPr>
          <w:p w:rsidR="009D0EDF" w:rsidRPr="004C17CC" w:rsidRDefault="009D0EDF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9D0EDF" w:rsidRPr="004D41BE" w:rsidRDefault="009D0EDF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9D0EDF" w:rsidRPr="004D41BE" w:rsidRDefault="009D0EDF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9D0EDF" w:rsidRPr="004D41BE" w:rsidRDefault="009D0EDF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uto"/>
            <w:noWrap/>
            <w:vAlign w:val="center"/>
          </w:tcPr>
          <w:p w:rsidR="009D0EDF" w:rsidRDefault="009D0EDF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8D4B8D" w:rsidRPr="00DF0062" w:rsidTr="009D0EDF">
        <w:trPr>
          <w:trHeight w:val="169"/>
        </w:trPr>
        <w:tc>
          <w:tcPr>
            <w:tcW w:w="2002" w:type="dxa"/>
            <w:vMerge w:val="restart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lastRenderedPageBreak/>
              <w:t>Water intake (m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L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/day)</w:t>
            </w: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&lt;500 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49 (24.1)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11 (13.1)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 (9.3)</w:t>
            </w:r>
          </w:p>
        </w:tc>
        <w:tc>
          <w:tcPr>
            <w:tcW w:w="1002" w:type="dxa"/>
            <w:vMerge w:val="restart"/>
            <w:shd w:val="clear" w:color="auto" w:fill="auto"/>
            <w:noWrap/>
            <w:vAlign w:val="center"/>
            <w:hideMark/>
          </w:tcPr>
          <w:p w:rsidR="008D4B8D" w:rsidRPr="00B73B88" w:rsidRDefault="002D42C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  <w:lang w:val="en-AU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0.005</w:t>
            </w:r>
          </w:p>
        </w:tc>
      </w:tr>
      <w:tr w:rsidR="008D4B8D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8D4B8D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1000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–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1500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101 (49.8)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46 (54.8)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8D4B8D" w:rsidRPr="004D41BE" w:rsidRDefault="008D4B8D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23 (42.6)</w:t>
            </w:r>
          </w:p>
        </w:tc>
        <w:tc>
          <w:tcPr>
            <w:tcW w:w="1002" w:type="dxa"/>
            <w:vMerge/>
            <w:vAlign w:val="center"/>
            <w:hideMark/>
          </w:tcPr>
          <w:p w:rsidR="008D4B8D" w:rsidRPr="004C17CC" w:rsidRDefault="008D4B8D" w:rsidP="008D4B8D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041B83" w:rsidRPr="00DF0062" w:rsidTr="009D0EDF">
        <w:trPr>
          <w:trHeight w:val="169"/>
        </w:trPr>
        <w:tc>
          <w:tcPr>
            <w:tcW w:w="2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2663" w:type="dxa"/>
            <w:shd w:val="clear" w:color="auto" w:fill="auto"/>
            <w:noWrap/>
            <w:hideMark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&gt;1600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bottom"/>
            <w:hideMark/>
          </w:tcPr>
          <w:p w:rsidR="00041B83" w:rsidRPr="004C17CC" w:rsidRDefault="004D41BE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53</w:t>
            </w:r>
            <w:r w:rsidR="008D4B8D"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(26.1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8D4B8D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26 (31.0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333" w:type="dxa"/>
            <w:shd w:val="clear" w:color="auto" w:fill="auto"/>
            <w:noWrap/>
            <w:vAlign w:val="bottom"/>
            <w:hideMark/>
          </w:tcPr>
          <w:p w:rsidR="00041B83" w:rsidRPr="004C17CC" w:rsidRDefault="008D4B8D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26 (48.2</w:t>
            </w:r>
            <w:r w:rsidR="00041B83"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)</w:t>
            </w:r>
          </w:p>
        </w:tc>
        <w:tc>
          <w:tcPr>
            <w:tcW w:w="1002" w:type="dxa"/>
            <w:vMerge/>
            <w:vAlign w:val="center"/>
            <w:hideMark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4D41BE" w:rsidRPr="00DF0062" w:rsidTr="009D0EDF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Fat intake (g/day)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109.6 ± 60.0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130.5 ± 91.5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141.7 ± 122.2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0.089</w:t>
            </w:r>
          </w:p>
        </w:tc>
      </w:tr>
      <w:tr w:rsidR="004D41BE" w:rsidRPr="00DF0062" w:rsidTr="009D0EDF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Protein intake</w:t>
            </w: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 xml:space="preserve"> </w:t>
            </w: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(g/day)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88.5 ± 42.0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98.6 ± 59.3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99.7 ± 52.9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0.315</w:t>
            </w: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Carbohydrate intake (g/day)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301.0 ± 143.4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345.7 ± 366.7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318.9 ± 153.3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0.489</w:t>
            </w: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Energy (kcal/day)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2372.3 ± 1073.8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2671.2 ± 1790.6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2744.4 ± 1592.6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0.268</w:t>
            </w:r>
          </w:p>
        </w:tc>
      </w:tr>
      <w:tr w:rsidR="00041B83" w:rsidRPr="00DF0062" w:rsidTr="00B41F33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Physical activity parameters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Sitting (min/day)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539.4 ± 737.9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515.1 ± 278.4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505.4 ± 303.9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0.823</w:t>
            </w: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Total GPAQ score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1988.2 ± 13463.8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885.9 ± 1326.3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1598.1 ± 2065.8</w:t>
            </w:r>
          </w:p>
        </w:tc>
        <w:tc>
          <w:tcPr>
            <w:tcW w:w="1002" w:type="dxa"/>
            <w:shd w:val="clear" w:color="auto" w:fill="auto"/>
            <w:vAlign w:val="center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0.453</w:t>
            </w: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Daily steps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2987.6 ± 4559.3</w:t>
            </w:r>
          </w:p>
        </w:tc>
        <w:tc>
          <w:tcPr>
            <w:tcW w:w="1309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2434.0 ± 2484.5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2555.7 ± 3486.6</w:t>
            </w:r>
          </w:p>
        </w:tc>
        <w:tc>
          <w:tcPr>
            <w:tcW w:w="1002" w:type="dxa"/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0.508</w:t>
            </w:r>
          </w:p>
        </w:tc>
      </w:tr>
      <w:tr w:rsidR="00041B83" w:rsidRPr="00DF0062" w:rsidTr="00B41F33">
        <w:trPr>
          <w:trHeight w:val="169"/>
        </w:trPr>
        <w:tc>
          <w:tcPr>
            <w:tcW w:w="4665" w:type="dxa"/>
            <w:gridSpan w:val="2"/>
            <w:shd w:val="clear" w:color="auto" w:fill="auto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b/>
                <w:bCs/>
                <w:sz w:val="18"/>
                <w:szCs w:val="18"/>
              </w:rPr>
              <w:t>Sleep parameters</w:t>
            </w:r>
          </w:p>
        </w:tc>
        <w:tc>
          <w:tcPr>
            <w:tcW w:w="1308" w:type="dxa"/>
            <w:gridSpan w:val="2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  <w:noWrap/>
            <w:vAlign w:val="bottom"/>
          </w:tcPr>
          <w:p w:rsidR="00041B83" w:rsidRPr="004C17CC" w:rsidRDefault="00041B83" w:rsidP="00B41F33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  <w:tc>
          <w:tcPr>
            <w:tcW w:w="1002" w:type="dxa"/>
            <w:shd w:val="clear" w:color="auto" w:fill="auto"/>
            <w:vAlign w:val="bottom"/>
          </w:tcPr>
          <w:p w:rsidR="00041B83" w:rsidRPr="004C17CC" w:rsidRDefault="00041B83" w:rsidP="00B41F33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</w:p>
        </w:tc>
      </w:tr>
      <w:tr w:rsidR="004D41BE" w:rsidRPr="00DF0062" w:rsidTr="00C45B46">
        <w:trPr>
          <w:trHeight w:val="169"/>
        </w:trPr>
        <w:tc>
          <w:tcPr>
            <w:tcW w:w="4665" w:type="dxa"/>
            <w:gridSpan w:val="2"/>
            <w:tcBorders>
              <w:bottom w:val="single" w:sz="4" w:space="0" w:color="auto"/>
            </w:tcBorders>
            <w:vAlign w:val="center"/>
          </w:tcPr>
          <w:p w:rsidR="004D41BE" w:rsidRPr="004C17CC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C17CC">
              <w:rPr>
                <w:rFonts w:ascii="Palatino Linotype" w:eastAsia="Times New Roman" w:hAnsi="Palatino Linotype" w:cstheme="majorBidi"/>
                <w:sz w:val="18"/>
                <w:szCs w:val="18"/>
              </w:rPr>
              <w:t>Global PSQI score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7.5 ± 8.6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6.8 ± 3.9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D41BE" w:rsidRPr="004D41BE" w:rsidRDefault="004D41BE" w:rsidP="004D41BE">
            <w:pPr>
              <w:spacing w:after="0" w:line="360" w:lineRule="auto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 w:rsidRPr="004D41BE">
              <w:rPr>
                <w:rFonts w:ascii="Palatino Linotype" w:eastAsia="Times New Roman" w:hAnsi="Palatino Linotype" w:cstheme="majorBidi"/>
                <w:sz w:val="18"/>
                <w:szCs w:val="18"/>
              </w:rPr>
              <w:t>6.7 ± 3.8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41BE" w:rsidRPr="004C17CC" w:rsidRDefault="00B73B88" w:rsidP="004D41BE">
            <w:pPr>
              <w:spacing w:after="0" w:line="360" w:lineRule="auto"/>
              <w:jc w:val="center"/>
              <w:rPr>
                <w:rFonts w:ascii="Palatino Linotype" w:eastAsia="Times New Roman" w:hAnsi="Palatino Linotype" w:cstheme="majorBidi"/>
                <w:sz w:val="18"/>
                <w:szCs w:val="18"/>
              </w:rPr>
            </w:pPr>
            <w:r>
              <w:rPr>
                <w:rFonts w:ascii="Palatino Linotype" w:eastAsia="Times New Roman" w:hAnsi="Palatino Linotype" w:cstheme="majorBidi"/>
                <w:sz w:val="18"/>
                <w:szCs w:val="18"/>
              </w:rPr>
              <w:t>0.393</w:t>
            </w:r>
          </w:p>
        </w:tc>
      </w:tr>
    </w:tbl>
    <w:p w:rsidR="00041B83" w:rsidRPr="00C27F3E" w:rsidRDefault="00041B83" w:rsidP="00041B83">
      <w:pPr>
        <w:spacing w:after="240" w:line="260" w:lineRule="atLeast"/>
        <w:jc w:val="center"/>
        <w:rPr>
          <w:rFonts w:ascii="Palatino Linotype" w:hAnsi="Palatino Linotype" w:cstheme="majorBidi"/>
          <w:sz w:val="18"/>
          <w:szCs w:val="18"/>
        </w:rPr>
      </w:pPr>
      <w:r w:rsidRPr="00C27F3E">
        <w:rPr>
          <w:rFonts w:ascii="Palatino Linotype" w:hAnsi="Palatino Linotype" w:cstheme="majorBidi"/>
          <w:sz w:val="18"/>
          <w:szCs w:val="18"/>
        </w:rPr>
        <w:t>Data presented as mean ± SD for continuous and N (%) for categorical variables; P-value &lt; 0.05 considered significant. GPAQ; Global Physical Activity Questionnaire and PSQI; Pittsburgh Sleep Index.</w:t>
      </w:r>
    </w:p>
    <w:p w:rsidR="0095421F" w:rsidRPr="00041B83" w:rsidRDefault="0095421F" w:rsidP="00041B83"/>
    <w:sectPr w:rsidR="0095421F" w:rsidRPr="00041B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Ro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7B"/>
    <w:rsid w:val="00041B83"/>
    <w:rsid w:val="000454C2"/>
    <w:rsid w:val="000A54C0"/>
    <w:rsid w:val="000B542E"/>
    <w:rsid w:val="0022139A"/>
    <w:rsid w:val="002D42CD"/>
    <w:rsid w:val="0033632D"/>
    <w:rsid w:val="00384746"/>
    <w:rsid w:val="003B751F"/>
    <w:rsid w:val="004D41BE"/>
    <w:rsid w:val="0052688B"/>
    <w:rsid w:val="00741531"/>
    <w:rsid w:val="008528E0"/>
    <w:rsid w:val="008D4B8D"/>
    <w:rsid w:val="0095421F"/>
    <w:rsid w:val="009B3E89"/>
    <w:rsid w:val="009B4F4B"/>
    <w:rsid w:val="009D0EDF"/>
    <w:rsid w:val="00A973FE"/>
    <w:rsid w:val="00AB691C"/>
    <w:rsid w:val="00B34699"/>
    <w:rsid w:val="00B41F33"/>
    <w:rsid w:val="00B73B88"/>
    <w:rsid w:val="00B951E6"/>
    <w:rsid w:val="00BB0F1E"/>
    <w:rsid w:val="00C45B46"/>
    <w:rsid w:val="00C5167B"/>
    <w:rsid w:val="00D3167F"/>
    <w:rsid w:val="00DC63B5"/>
    <w:rsid w:val="00F2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5B3DB"/>
  <w15:chartTrackingRefBased/>
  <w15:docId w15:val="{48BE13D5-A7F5-4623-9C2B-B13E2D16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B83"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2">
    <w:name w:val="GA_R2"/>
    <w:basedOn w:val="Normal"/>
    <w:link w:val="GAR2Char"/>
    <w:qFormat/>
    <w:rsid w:val="00041B83"/>
    <w:pPr>
      <w:spacing w:after="0" w:line="480" w:lineRule="auto"/>
      <w:contextualSpacing/>
    </w:pPr>
    <w:rPr>
      <w:rFonts w:asciiTheme="majorBidi" w:hAnsiTheme="majorBidi" w:cstheme="majorBidi"/>
      <w:b/>
      <w:bCs/>
      <w:color w:val="000000" w:themeColor="text1"/>
      <w:sz w:val="24"/>
      <w:szCs w:val="24"/>
    </w:rPr>
  </w:style>
  <w:style w:type="character" w:customStyle="1" w:styleId="GAR2Char">
    <w:name w:val="GA_R2 Char"/>
    <w:basedOn w:val="DefaultParagraphFont"/>
    <w:link w:val="GAR2"/>
    <w:rsid w:val="00041B83"/>
    <w:rPr>
      <w:rFonts w:asciiTheme="majorBidi" w:hAnsiTheme="majorBidi" w:cstheme="majorBidi"/>
      <w:b/>
      <w:bCs/>
      <w:color w:val="000000" w:themeColor="text1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Almusharaf</dc:creator>
  <cp:keywords/>
  <dc:description/>
  <cp:lastModifiedBy>Sara Almusharaf</cp:lastModifiedBy>
  <cp:revision>3</cp:revision>
  <dcterms:created xsi:type="dcterms:W3CDTF">2020-09-18T08:32:00Z</dcterms:created>
  <dcterms:modified xsi:type="dcterms:W3CDTF">2020-09-18T09:17:00Z</dcterms:modified>
</cp:coreProperties>
</file>