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076D2" w14:textId="2E9AD510" w:rsidR="00577EF8" w:rsidRPr="00210A8A" w:rsidRDefault="00577EF8" w:rsidP="00DA4DAD">
      <w:pPr>
        <w:pStyle w:val="Heading3"/>
        <w:spacing w:line="240" w:lineRule="auto"/>
        <w:contextualSpacing/>
        <w:jc w:val="thaiDistribute"/>
        <w:rPr>
          <w:rFonts w:ascii="Palatino Linotype" w:hAnsi="Palatino Linotype" w:cs="Times New Roman"/>
          <w:b/>
          <w:bCs/>
          <w:color w:val="000000" w:themeColor="text1"/>
          <w:sz w:val="24"/>
          <w:szCs w:val="24"/>
          <w:lang w:val="en-US"/>
        </w:rPr>
      </w:pPr>
      <w:bookmarkStart w:id="0" w:name="_x2o3monlxfmf" w:colFirst="0" w:colLast="0"/>
      <w:bookmarkEnd w:id="0"/>
      <w:r w:rsidRPr="00210A8A">
        <w:rPr>
          <w:rFonts w:ascii="Palatino Linotype" w:hAnsi="Palatino Linotype" w:cs="Times New Roman"/>
          <w:b/>
          <w:bCs/>
          <w:color w:val="000000" w:themeColor="text1"/>
          <w:sz w:val="24"/>
          <w:szCs w:val="24"/>
          <w:lang w:val="en-US"/>
        </w:rPr>
        <w:t>Supplementary Materials</w:t>
      </w:r>
      <w:r w:rsidR="005744E0">
        <w:rPr>
          <w:rFonts w:ascii="Palatino Linotype" w:hAnsi="Palatino Linotype" w:cs="Times New Roman"/>
          <w:b/>
          <w:bCs/>
          <w:color w:val="000000" w:themeColor="text1"/>
          <w:sz w:val="24"/>
          <w:szCs w:val="24"/>
          <w:lang w:val="en-US"/>
        </w:rPr>
        <w:t xml:space="preserve"> file 1</w:t>
      </w:r>
    </w:p>
    <w:p w14:paraId="09DB0978" w14:textId="77777777" w:rsidR="00577EF8" w:rsidRPr="00210A8A" w:rsidRDefault="00577EF8" w:rsidP="00DA4DAD">
      <w:pPr>
        <w:pStyle w:val="Heading3"/>
        <w:spacing w:line="240" w:lineRule="auto"/>
        <w:contextualSpacing/>
        <w:jc w:val="thaiDistribute"/>
        <w:rPr>
          <w:rFonts w:ascii="Palatino Linotype" w:hAnsi="Palatino Linotype" w:cs="Times New Roman"/>
          <w:b/>
          <w:bCs/>
          <w:i/>
          <w:iCs/>
          <w:color w:val="000000" w:themeColor="text1"/>
          <w:sz w:val="20"/>
          <w:szCs w:val="20"/>
        </w:rPr>
      </w:pPr>
      <w:r w:rsidRPr="00210A8A">
        <w:rPr>
          <w:rFonts w:ascii="Palatino Linotype" w:hAnsi="Palatino Linotype" w:cs="Times New Roman"/>
          <w:b/>
          <w:bCs/>
          <w:i/>
          <w:iCs/>
          <w:color w:val="000000" w:themeColor="text1"/>
          <w:sz w:val="20"/>
          <w:szCs w:val="20"/>
        </w:rPr>
        <w:t xml:space="preserve">Palivizumab IgA and </w:t>
      </w:r>
      <w:proofErr w:type="spellStart"/>
      <w:r w:rsidRPr="00210A8A">
        <w:rPr>
          <w:rFonts w:ascii="Palatino Linotype" w:hAnsi="Palatino Linotype" w:cs="Times New Roman"/>
          <w:b/>
          <w:bCs/>
          <w:i/>
          <w:iCs/>
          <w:color w:val="000000" w:themeColor="text1"/>
          <w:sz w:val="20"/>
          <w:szCs w:val="20"/>
        </w:rPr>
        <w:t>sIgA</w:t>
      </w:r>
      <w:proofErr w:type="spellEnd"/>
      <w:r w:rsidRPr="00210A8A">
        <w:rPr>
          <w:rFonts w:ascii="Palatino Linotype" w:hAnsi="Palatino Linotype" w:cs="Times New Roman"/>
          <w:b/>
          <w:bCs/>
          <w:i/>
          <w:iCs/>
          <w:color w:val="000000" w:themeColor="text1"/>
          <w:sz w:val="20"/>
          <w:szCs w:val="20"/>
        </w:rPr>
        <w:t xml:space="preserve"> construction design, expression and purification</w:t>
      </w:r>
    </w:p>
    <w:p w14:paraId="3306F665" w14:textId="77777777" w:rsidR="00577EF8" w:rsidRPr="00210A8A" w:rsidRDefault="00577EF8" w:rsidP="00DA4DAD">
      <w:pPr>
        <w:pStyle w:val="Heading3"/>
        <w:spacing w:line="240" w:lineRule="auto"/>
        <w:contextualSpacing/>
        <w:jc w:val="thaiDistribute"/>
        <w:rPr>
          <w:rFonts w:ascii="Palatino Linotype" w:hAnsi="Palatino Linotype" w:cs="Times New Roman"/>
          <w:b/>
          <w:bCs/>
          <w:i/>
          <w:iCs/>
          <w:color w:val="000000" w:themeColor="text1"/>
          <w:sz w:val="20"/>
          <w:szCs w:val="20"/>
        </w:rPr>
      </w:pPr>
      <w:r w:rsidRPr="00210A8A">
        <w:rPr>
          <w:rFonts w:ascii="Palatino Linotype" w:hAnsi="Palatino Linotype" w:cs="Times New Roman"/>
          <w:b/>
          <w:bCs/>
          <w:i/>
          <w:iCs/>
          <w:color w:val="000000" w:themeColor="text1"/>
          <w:sz w:val="20"/>
          <w:szCs w:val="20"/>
        </w:rPr>
        <w:t xml:space="preserve">Construct design </w:t>
      </w:r>
    </w:p>
    <w:p w14:paraId="2D274FB4" w14:textId="77777777" w:rsidR="00577EF8" w:rsidRPr="00210A8A" w:rsidRDefault="00577EF8" w:rsidP="00DA4DAD">
      <w:pPr>
        <w:jc w:val="thaiDistribute"/>
        <w:rPr>
          <w:rFonts w:ascii="Palatino Linotype" w:hAnsi="Palatino Linotype" w:cs="Times New Roman"/>
          <w:color w:val="000000" w:themeColor="text1"/>
          <w:sz w:val="20"/>
          <w:szCs w:val="20"/>
        </w:rPr>
      </w:pPr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Constructs encoding antibody heavy and light chains were built from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gBlock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DNA fragments (IDT) and assembled using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NEBuilder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HiFi DNA Assembly Master Mix (NEB). Namely, the kappa-acceptor vector was built using a DNA fragment encoding a leader sequence from murine variable kappa chain (ATGGGTGTGCCCACTCAGGTCCTGGGGTTGCTGCTGCTGTGGCTTACAGATGCCAGATGC), separated by a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NotI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restriction site from the human kappa-chain constant region (IGKC*01) in the pcDNA3.4 (Invitrogen) backbone plasmid. Similarly, two alpha-chain acceptor vectors were built using a DNA fragment encoding a leader sequence from a murine variable heavy chain(ATGGAATGGAGCTGGGTCTTTCTCTTCTTCCTGTCAGTAACTACAGGTGTCCACAGC), separated by a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NotI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restriction site from the human alpha-chain constant regions (IGHA1*01 and IGHA2*01, each resulting in its own acceptor vector) in the pcDNA3.4 (Invitrogen) backbone plasmid. Additionally, a gamma-chain acceptor vector was generated using a DNA fragment encoding a leader sequence from a murine variable heavy chain, separated by a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NotI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restriction site from the human gamma-chain constant region (IGHG1*02) in the pcDNA3.4 (Invitrogen) backbone plasmid. Acceptor vectors were linearized by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NotI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(NEB) digestion and used in assembly with their respective variable-gene segments encoding Palivizumab (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Synagis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®) (GenBank: KC283077, KC283078) using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NEBuilder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HiFi DNA Assembly Master Mix (NEB), resulting in Palivizumab.hIgG1, Palivizumab.hIgA1, Palivizumab.hIgA2,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Palivizumab.hIgK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plasmids. A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gBlock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encoding human J-chain (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hIgJ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) sequence (GenBank: XM011531926) was assembled with the pcDNA3.4 (Invitrogen) backbone plasmid using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NEBuilder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HiFi DNA Assembly Master Mix (NEB). Human polymeric immunoglobulin receptor (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hPIGR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) construct was assembled from a cDNA clone (Sino Biological, cat. HG10131-UT), which was used to extract the fragment encoding the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hPIGR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ectodomain (amino acids 19–638), and place it between DNA fragments encoding tissue plasminogen activator leader peptide </w:t>
      </w:r>
      <w:r w:rsidRPr="00210A8A">
        <w:rPr>
          <w:rFonts w:ascii="Palatino Linotype" w:hAnsi="Palatino Linotype" w:cs="Times New Roman"/>
          <w:noProof/>
          <w:color w:val="000000" w:themeColor="text1"/>
          <w:sz w:val="20"/>
          <w:szCs w:val="20"/>
        </w:rPr>
        <w:t>[1]</w:t>
      </w:r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and a C-terminal 8xHis tag followed by an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AviTag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</w:t>
      </w:r>
      <w:r w:rsidRPr="00210A8A">
        <w:rPr>
          <w:rFonts w:ascii="Palatino Linotype" w:hAnsi="Palatino Linotype" w:cs="Times New Roman"/>
          <w:noProof/>
          <w:color w:val="000000" w:themeColor="text1"/>
          <w:sz w:val="20"/>
          <w:szCs w:val="20"/>
        </w:rPr>
        <w:t>[2]</w:t>
      </w:r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into the pcDNA3.4 backbone plasm</w:t>
      </w:r>
      <w:bookmarkStart w:id="1" w:name="_GoBack"/>
      <w:bookmarkEnd w:id="1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id, resulting in the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hPIGR.HisAvi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plasmid.</w:t>
      </w:r>
      <w:bookmarkStart w:id="2" w:name="_pw4xhyps9zqq" w:colFirst="0" w:colLast="0"/>
      <w:bookmarkEnd w:id="2"/>
    </w:p>
    <w:p w14:paraId="582987C4" w14:textId="77777777" w:rsidR="00577EF8" w:rsidRPr="00210A8A" w:rsidRDefault="00577EF8" w:rsidP="00F91D00">
      <w:pPr>
        <w:pStyle w:val="Heading3"/>
        <w:jc w:val="thaiDistribute"/>
        <w:rPr>
          <w:rFonts w:ascii="Palatino Linotype" w:hAnsi="Palatino Linotype" w:cs="Times New Roman"/>
          <w:b/>
          <w:bCs/>
          <w:i/>
          <w:iCs/>
          <w:color w:val="000000" w:themeColor="text1"/>
          <w:sz w:val="20"/>
          <w:szCs w:val="20"/>
        </w:rPr>
      </w:pPr>
      <w:r w:rsidRPr="00210A8A">
        <w:rPr>
          <w:rFonts w:ascii="Palatino Linotype" w:hAnsi="Palatino Linotype" w:cs="Times New Roman"/>
          <w:b/>
          <w:bCs/>
          <w:i/>
          <w:iCs/>
          <w:color w:val="000000" w:themeColor="text1"/>
          <w:sz w:val="20"/>
          <w:szCs w:val="20"/>
        </w:rPr>
        <w:t>Protein expression and purification</w:t>
      </w:r>
    </w:p>
    <w:p w14:paraId="4C4A4474" w14:textId="77777777" w:rsidR="00577EF8" w:rsidRPr="00210A8A" w:rsidRDefault="00577EF8" w:rsidP="00487BAA">
      <w:pPr>
        <w:jc w:val="thaiDistribute"/>
        <w:rPr>
          <w:rFonts w:ascii="Palatino Linotype" w:hAnsi="Palatino Linotype" w:cs="Times New Roman"/>
          <w:color w:val="000000" w:themeColor="text1"/>
          <w:sz w:val="20"/>
          <w:szCs w:val="20"/>
        </w:rPr>
      </w:pPr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Protein production was performed using transient transfection of HEK293F cells, as previously described </w:t>
      </w:r>
      <w:r w:rsidRPr="00210A8A">
        <w:rPr>
          <w:rFonts w:ascii="Palatino Linotype" w:hAnsi="Palatino Linotype" w:cs="Times New Roman"/>
          <w:noProof/>
          <w:color w:val="000000" w:themeColor="text1"/>
          <w:sz w:val="20"/>
          <w:szCs w:val="20"/>
        </w:rPr>
        <w:t>[3]</w:t>
      </w:r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. Briefly, recombinant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hPIGR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was produced by high-density PEI transfection with the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hPIGR.HisAvi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construct.  Following 5 days of culturing, conditioned medium was harvested by centrifugation, and supplemented by the addition of NaN</w:t>
      </w:r>
      <w:r w:rsidRPr="00210A8A">
        <w:rPr>
          <w:rFonts w:ascii="Palatino Linotype" w:hAnsi="Palatino Linotype" w:cs="Times New Roman"/>
          <w:color w:val="000000" w:themeColor="text1"/>
          <w:sz w:val="20"/>
          <w:szCs w:val="20"/>
          <w:vertAlign w:val="subscript"/>
        </w:rPr>
        <w:t>3</w:t>
      </w:r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(0.02% final concentration) and NaCl (+350 mM, final concentration). Protein was then purified by immobilized metal-affinity chromatography using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HisPur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Ni-NTA resin (</w:t>
      </w:r>
      <w:r>
        <w:rPr>
          <w:rFonts w:ascii="Palatino Linotype" w:hAnsi="Palatino Linotype" w:cs="Times New Roman"/>
          <w:color w:val="000000" w:themeColor="text1"/>
          <w:sz w:val="20"/>
          <w:szCs w:val="20"/>
        </w:rPr>
        <w:t>Thermo</w:t>
      </w:r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Scientific) followed by gel-filtration over a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HiLoad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16/600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Superdex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200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pg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column (GE Healthcare). For antibody production, HEK293F cells were co-transfected as follows: hIgG1/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hIgK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plasmids were used at 0.5/0.5 ratio, whereas hIgA1/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hIgK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/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hIgJ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or hIgA2/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hIgK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/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hIgJ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plasmids were used at 0.25/0.25/0.5 ratio. Following 5 days of culturing, conditioned medium was harvested by centrifugation, supplemented by the addition of NaN</w:t>
      </w:r>
      <w:r w:rsidRPr="00210A8A">
        <w:rPr>
          <w:rFonts w:ascii="Palatino Linotype" w:hAnsi="Palatino Linotype" w:cs="Times New Roman"/>
          <w:color w:val="000000" w:themeColor="text1"/>
          <w:sz w:val="20"/>
          <w:szCs w:val="20"/>
          <w:vertAlign w:val="subscript"/>
        </w:rPr>
        <w:t>3</w:t>
      </w:r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(0.02% final concentration), and NaCl (+350 mM, final concentration). Protein was then captured using Pierce Protein A Plus (</w:t>
      </w:r>
      <w:r>
        <w:rPr>
          <w:rFonts w:ascii="Palatino Linotype" w:hAnsi="Palatino Linotype" w:cs="Times New Roman"/>
          <w:color w:val="000000" w:themeColor="text1"/>
          <w:sz w:val="20"/>
          <w:szCs w:val="20"/>
        </w:rPr>
        <w:t>Thermo</w:t>
      </w:r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Scientific), for IgG purification, or Pierce Protein L Plus Agarose (</w:t>
      </w:r>
      <w:r>
        <w:rPr>
          <w:rFonts w:ascii="Palatino Linotype" w:hAnsi="Palatino Linotype" w:cs="Times New Roman"/>
          <w:color w:val="000000" w:themeColor="text1"/>
          <w:sz w:val="20"/>
          <w:szCs w:val="20"/>
        </w:rPr>
        <w:t>Thermo</w:t>
      </w:r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Scientific), for 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dIgA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purification, washed with HBS-E-</w:t>
      </w:r>
      <w:proofErr w:type="spellStart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hs</w:t>
      </w:r>
      <w:proofErr w:type="spellEnd"/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 xml:space="preserve"> buffer (10 mM HEPES, pH 7, 300 mM NaCl, 2 mM EDTA), and eluted in 0.1 mM glycine, pH 2.7 (fractions were immediately pH-neutralized using 1 </w:t>
      </w:r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lastRenderedPageBreak/>
        <w:t>M Na</w:t>
      </w:r>
      <w:r w:rsidRPr="00210A8A">
        <w:rPr>
          <w:rFonts w:ascii="Palatino Linotype" w:hAnsi="Palatino Linotype" w:cs="Times New Roman"/>
          <w:color w:val="000000" w:themeColor="text1"/>
          <w:sz w:val="20"/>
          <w:szCs w:val="20"/>
          <w:vertAlign w:val="subscript"/>
        </w:rPr>
        <w:t>2</w:t>
      </w:r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HPO</w:t>
      </w:r>
      <w:r w:rsidRPr="00210A8A">
        <w:rPr>
          <w:rFonts w:ascii="Palatino Linotype" w:hAnsi="Palatino Linotype" w:cs="Times New Roman"/>
          <w:color w:val="000000" w:themeColor="text1"/>
          <w:sz w:val="20"/>
          <w:szCs w:val="20"/>
          <w:vertAlign w:val="subscript"/>
        </w:rPr>
        <w:t>3</w:t>
      </w:r>
      <w:r w:rsidRPr="00210A8A">
        <w:rPr>
          <w:rFonts w:ascii="Palatino Linotype" w:hAnsi="Palatino Linotype" w:cs="Times New Roman"/>
          <w:color w:val="000000" w:themeColor="text1"/>
          <w:sz w:val="20"/>
          <w:szCs w:val="20"/>
        </w:rPr>
        <w:t>). Protein-containing fractions were pooled and buffer-exchanged against HBS-E (10 mM HEPES, pH 7, 150 mM NaCl, 2 mM EDTA) by ultrafiltration.</w:t>
      </w:r>
    </w:p>
    <w:p w14:paraId="5830FAFE" w14:textId="77777777" w:rsidR="00577EF8" w:rsidRPr="00210A8A" w:rsidRDefault="00577EF8" w:rsidP="00F91D00">
      <w:pPr>
        <w:jc w:val="thaiDistribute"/>
        <w:rPr>
          <w:rFonts w:ascii="Palatino Linotype" w:hAnsi="Palatino Linotype" w:cs="Times New Roman"/>
          <w:color w:val="000000" w:themeColor="text1"/>
          <w:sz w:val="20"/>
          <w:szCs w:val="20"/>
        </w:rPr>
      </w:pPr>
    </w:p>
    <w:p w14:paraId="6A19CED8" w14:textId="77777777" w:rsidR="00577EF8" w:rsidRPr="00210A8A" w:rsidRDefault="00577EF8" w:rsidP="00F91D00">
      <w:pPr>
        <w:jc w:val="thaiDistribute"/>
        <w:rPr>
          <w:rFonts w:ascii="Palatino Linotype" w:hAnsi="Palatino Linotype" w:cs="Times New Roman"/>
          <w:strike/>
          <w:color w:val="000000" w:themeColor="text1"/>
          <w:sz w:val="20"/>
          <w:szCs w:val="20"/>
        </w:rPr>
      </w:pPr>
    </w:p>
    <w:p w14:paraId="7B2115DF" w14:textId="77777777" w:rsidR="00577EF8" w:rsidRPr="00210A8A" w:rsidRDefault="00577EF8" w:rsidP="00953ED0">
      <w:pPr>
        <w:spacing w:line="240" w:lineRule="auto"/>
        <w:contextualSpacing/>
        <w:jc w:val="thaiDistribute"/>
        <w:rPr>
          <w:rFonts w:ascii="Palatino Linotype" w:hAnsi="Palatino Linotype" w:cs="Times New Roman"/>
          <w:b/>
          <w:bCs/>
          <w:color w:val="000000" w:themeColor="text1"/>
          <w:sz w:val="20"/>
          <w:szCs w:val="20"/>
        </w:rPr>
      </w:pPr>
      <w:r w:rsidRPr="00210A8A">
        <w:rPr>
          <w:rFonts w:ascii="Palatino Linotype" w:hAnsi="Palatino Linotype" w:cs="Times New Roman"/>
          <w:b/>
          <w:bCs/>
          <w:color w:val="000000" w:themeColor="text1"/>
          <w:sz w:val="20"/>
          <w:szCs w:val="20"/>
        </w:rPr>
        <w:t>References</w:t>
      </w:r>
      <w:bookmarkStart w:id="3" w:name="_n8u8d691h88" w:colFirst="0" w:colLast="0"/>
      <w:bookmarkEnd w:id="3"/>
    </w:p>
    <w:p w14:paraId="3F51114F" w14:textId="77777777" w:rsidR="00577EF8" w:rsidRPr="00210A8A" w:rsidRDefault="00577EF8" w:rsidP="00CF76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ascii="Palatino Linotype" w:hAnsi="Palatino Linotype" w:cs="Times New Roman"/>
          <w:color w:val="000000" w:themeColor="text1"/>
          <w:sz w:val="20"/>
          <w:szCs w:val="20"/>
        </w:rPr>
      </w:pPr>
    </w:p>
    <w:p w14:paraId="2411E2EF" w14:textId="77777777" w:rsidR="00577EF8" w:rsidRPr="00210A8A" w:rsidRDefault="00577EF8" w:rsidP="00CF76FE">
      <w:pPr>
        <w:pStyle w:val="EndNoteBibliography"/>
        <w:ind w:left="720" w:hanging="720"/>
        <w:rPr>
          <w:rFonts w:ascii="Palatino Linotype" w:hAnsi="Palatino Linotype"/>
          <w:noProof/>
          <w:color w:val="000000" w:themeColor="text1"/>
          <w:sz w:val="20"/>
          <w:szCs w:val="20"/>
        </w:rPr>
      </w:pPr>
      <w:r w:rsidRPr="00210A8A">
        <w:rPr>
          <w:rFonts w:ascii="Palatino Linotype" w:hAnsi="Palatino Linotype"/>
          <w:noProof/>
          <w:color w:val="000000" w:themeColor="text1"/>
          <w:sz w:val="20"/>
          <w:szCs w:val="20"/>
        </w:rPr>
        <w:t>1.</w:t>
      </w:r>
      <w:r w:rsidRPr="00210A8A">
        <w:rPr>
          <w:rFonts w:ascii="Palatino Linotype" w:hAnsi="Palatino Linotype"/>
          <w:noProof/>
          <w:color w:val="000000" w:themeColor="text1"/>
          <w:sz w:val="20"/>
          <w:szCs w:val="20"/>
        </w:rPr>
        <w:tab/>
        <w:t xml:space="preserve">Wang, J.-Y.; Song, W.-T.; Li, Y.; Chen, W.-J.; Yang, D.; Zhong, G.-C.; Zhou, H.-Z.; Ren, C.-Y.; Yu, H.-T.; Ling, H. Improved expression of secretory and trimeric proteins in mammalian cells via the introduction of a new trimer motif and a mutant of the tPA signal sequence. </w:t>
      </w:r>
      <w:r w:rsidRPr="00210A8A">
        <w:rPr>
          <w:rFonts w:ascii="Palatino Linotype" w:hAnsi="Palatino Linotype"/>
          <w:i/>
          <w:noProof/>
          <w:color w:val="000000" w:themeColor="text1"/>
          <w:sz w:val="20"/>
          <w:szCs w:val="20"/>
        </w:rPr>
        <w:t xml:space="preserve">Appl. Microbiol. Biotechnol. </w:t>
      </w:r>
      <w:r w:rsidRPr="00210A8A">
        <w:rPr>
          <w:rFonts w:ascii="Palatino Linotype" w:hAnsi="Palatino Linotype"/>
          <w:b/>
          <w:noProof/>
          <w:color w:val="000000" w:themeColor="text1"/>
          <w:sz w:val="20"/>
          <w:szCs w:val="20"/>
        </w:rPr>
        <w:t>2011</w:t>
      </w:r>
      <w:r w:rsidRPr="00210A8A">
        <w:rPr>
          <w:rFonts w:ascii="Palatino Linotype" w:hAnsi="Palatino Linotype"/>
          <w:noProof/>
          <w:color w:val="000000" w:themeColor="text1"/>
          <w:sz w:val="20"/>
          <w:szCs w:val="20"/>
        </w:rPr>
        <w:t xml:space="preserve">, </w:t>
      </w:r>
      <w:r w:rsidRPr="00210A8A">
        <w:rPr>
          <w:rFonts w:ascii="Palatino Linotype" w:hAnsi="Palatino Linotype"/>
          <w:i/>
          <w:noProof/>
          <w:color w:val="000000" w:themeColor="text1"/>
          <w:sz w:val="20"/>
          <w:szCs w:val="20"/>
        </w:rPr>
        <w:t>91</w:t>
      </w:r>
      <w:r w:rsidRPr="00210A8A">
        <w:rPr>
          <w:rFonts w:ascii="Palatino Linotype" w:hAnsi="Palatino Linotype"/>
          <w:noProof/>
          <w:color w:val="000000" w:themeColor="text1"/>
          <w:sz w:val="20"/>
          <w:szCs w:val="20"/>
        </w:rPr>
        <w:t>, 731-740, doi:10.1007/s00253-011-3297-0.</w:t>
      </w:r>
    </w:p>
    <w:p w14:paraId="5D3BBF7E" w14:textId="77777777" w:rsidR="00577EF8" w:rsidRPr="00210A8A" w:rsidRDefault="00577EF8" w:rsidP="00CF76FE">
      <w:pPr>
        <w:pStyle w:val="EndNoteBibliography"/>
        <w:ind w:left="720" w:hanging="720"/>
        <w:rPr>
          <w:rFonts w:ascii="Palatino Linotype" w:hAnsi="Palatino Linotype"/>
          <w:noProof/>
          <w:color w:val="000000" w:themeColor="text1"/>
          <w:sz w:val="20"/>
          <w:szCs w:val="20"/>
        </w:rPr>
      </w:pPr>
      <w:r w:rsidRPr="00210A8A">
        <w:rPr>
          <w:rFonts w:ascii="Palatino Linotype" w:hAnsi="Palatino Linotype"/>
          <w:noProof/>
          <w:color w:val="000000" w:themeColor="text1"/>
          <w:sz w:val="20"/>
          <w:szCs w:val="20"/>
        </w:rPr>
        <w:t>2.</w:t>
      </w:r>
      <w:r w:rsidRPr="00210A8A">
        <w:rPr>
          <w:rFonts w:ascii="Palatino Linotype" w:hAnsi="Palatino Linotype"/>
          <w:noProof/>
          <w:color w:val="000000" w:themeColor="text1"/>
          <w:sz w:val="20"/>
          <w:szCs w:val="20"/>
        </w:rPr>
        <w:tab/>
        <w:t xml:space="preserve">Fairhead, M.; Howarth, M. Site-specific biotinylation of purified proteins using BirA. </w:t>
      </w:r>
      <w:r w:rsidRPr="00210A8A">
        <w:rPr>
          <w:rFonts w:ascii="Palatino Linotype" w:hAnsi="Palatino Linotype"/>
          <w:i/>
          <w:noProof/>
          <w:color w:val="000000" w:themeColor="text1"/>
          <w:sz w:val="20"/>
          <w:szCs w:val="20"/>
        </w:rPr>
        <w:t xml:space="preserve">Methods Mol Biol </w:t>
      </w:r>
      <w:r w:rsidRPr="00210A8A">
        <w:rPr>
          <w:rFonts w:ascii="Palatino Linotype" w:hAnsi="Palatino Linotype"/>
          <w:b/>
          <w:noProof/>
          <w:color w:val="000000" w:themeColor="text1"/>
          <w:sz w:val="20"/>
          <w:szCs w:val="20"/>
        </w:rPr>
        <w:t>2015</w:t>
      </w:r>
      <w:r w:rsidRPr="00210A8A">
        <w:rPr>
          <w:rFonts w:ascii="Palatino Linotype" w:hAnsi="Palatino Linotype"/>
          <w:noProof/>
          <w:color w:val="000000" w:themeColor="text1"/>
          <w:sz w:val="20"/>
          <w:szCs w:val="20"/>
        </w:rPr>
        <w:t xml:space="preserve">, </w:t>
      </w:r>
      <w:r w:rsidRPr="00210A8A">
        <w:rPr>
          <w:rFonts w:ascii="Palatino Linotype" w:hAnsi="Palatino Linotype"/>
          <w:i/>
          <w:noProof/>
          <w:color w:val="000000" w:themeColor="text1"/>
          <w:sz w:val="20"/>
          <w:szCs w:val="20"/>
        </w:rPr>
        <w:t>1266</w:t>
      </w:r>
      <w:r w:rsidRPr="00210A8A">
        <w:rPr>
          <w:rFonts w:ascii="Palatino Linotype" w:hAnsi="Palatino Linotype"/>
          <w:noProof/>
          <w:color w:val="000000" w:themeColor="text1"/>
          <w:sz w:val="20"/>
          <w:szCs w:val="20"/>
        </w:rPr>
        <w:t>, 171-184, doi:10.1007/978-1-4939-2272-7_12.</w:t>
      </w:r>
    </w:p>
    <w:p w14:paraId="582E285A" w14:textId="77777777" w:rsidR="00577EF8" w:rsidRPr="00210A8A" w:rsidRDefault="00577EF8" w:rsidP="00CF76FE">
      <w:pPr>
        <w:pStyle w:val="EndNoteBibliography"/>
        <w:ind w:left="720" w:hanging="720"/>
        <w:rPr>
          <w:rFonts w:ascii="Palatino Linotype" w:hAnsi="Palatino Linotype"/>
          <w:noProof/>
          <w:color w:val="000000" w:themeColor="text1"/>
          <w:sz w:val="20"/>
          <w:szCs w:val="20"/>
        </w:rPr>
      </w:pPr>
      <w:r w:rsidRPr="00210A8A">
        <w:rPr>
          <w:rFonts w:ascii="Palatino Linotype" w:hAnsi="Palatino Linotype"/>
          <w:noProof/>
          <w:color w:val="000000" w:themeColor="text1"/>
          <w:sz w:val="20"/>
          <w:szCs w:val="20"/>
        </w:rPr>
        <w:t>3.</w:t>
      </w:r>
      <w:r w:rsidRPr="00210A8A">
        <w:rPr>
          <w:rFonts w:ascii="Palatino Linotype" w:hAnsi="Palatino Linotype"/>
          <w:noProof/>
          <w:color w:val="000000" w:themeColor="text1"/>
          <w:sz w:val="20"/>
          <w:szCs w:val="20"/>
        </w:rPr>
        <w:tab/>
        <w:t xml:space="preserve">Carbonetti, S.; Oliver, B.G.; Vigdorovich, V.; Dambrauskas, N.; Sack, B.; Bergl, E.; Kappe, S.H.I.; Sather, D.N. A method for the isolation and characterization of functional murine monoclonal antibodies by single B cell cloning. </w:t>
      </w:r>
      <w:r w:rsidRPr="00210A8A">
        <w:rPr>
          <w:rFonts w:ascii="Palatino Linotype" w:hAnsi="Palatino Linotype"/>
          <w:i/>
          <w:noProof/>
          <w:color w:val="000000" w:themeColor="text1"/>
          <w:sz w:val="20"/>
          <w:szCs w:val="20"/>
        </w:rPr>
        <w:t xml:space="preserve">J. Immunol. Methods </w:t>
      </w:r>
      <w:r w:rsidRPr="00210A8A">
        <w:rPr>
          <w:rFonts w:ascii="Palatino Linotype" w:hAnsi="Palatino Linotype"/>
          <w:b/>
          <w:noProof/>
          <w:color w:val="000000" w:themeColor="text1"/>
          <w:sz w:val="20"/>
          <w:szCs w:val="20"/>
        </w:rPr>
        <w:t>2017</w:t>
      </w:r>
      <w:r w:rsidRPr="00210A8A">
        <w:rPr>
          <w:rFonts w:ascii="Palatino Linotype" w:hAnsi="Palatino Linotype"/>
          <w:noProof/>
          <w:color w:val="000000" w:themeColor="text1"/>
          <w:sz w:val="20"/>
          <w:szCs w:val="20"/>
        </w:rPr>
        <w:t xml:space="preserve">, </w:t>
      </w:r>
      <w:r w:rsidRPr="00210A8A">
        <w:rPr>
          <w:rFonts w:ascii="Palatino Linotype" w:hAnsi="Palatino Linotype"/>
          <w:i/>
          <w:noProof/>
          <w:color w:val="000000" w:themeColor="text1"/>
          <w:sz w:val="20"/>
          <w:szCs w:val="20"/>
        </w:rPr>
        <w:t>448</w:t>
      </w:r>
      <w:r w:rsidRPr="00210A8A">
        <w:rPr>
          <w:rFonts w:ascii="Palatino Linotype" w:hAnsi="Palatino Linotype"/>
          <w:noProof/>
          <w:color w:val="000000" w:themeColor="text1"/>
          <w:sz w:val="20"/>
          <w:szCs w:val="20"/>
        </w:rPr>
        <w:t>, 66-73, doi:10.1016/j.jim.2017.05.010.</w:t>
      </w:r>
    </w:p>
    <w:p w14:paraId="7DCEEDE4" w14:textId="77777777" w:rsidR="00577EF8" w:rsidRPr="00210A8A" w:rsidRDefault="00577EF8" w:rsidP="00CF76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ascii="Palatino Linotype" w:hAnsi="Palatino Linotype" w:cs="Times New Roman"/>
          <w:color w:val="000000" w:themeColor="text1"/>
          <w:sz w:val="20"/>
          <w:szCs w:val="20"/>
        </w:rPr>
      </w:pPr>
    </w:p>
    <w:p w14:paraId="068944EF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5B26371A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641CB5B6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3C73FC15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489A79DC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6941CAA8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1C0871CA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0B02154C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69F7BFF3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608BC815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6D87C2AA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0C43E953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245AC87B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49C9DA6B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5FCD1C80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5ACB4E56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44893267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5E5F683E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0D2EEFAA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5CACF7C4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72A9FE14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7E854A56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5A81B5DC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3D2A9310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255893FF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5232668B" w14:textId="275EC109" w:rsidR="00577EF8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792030A3" w14:textId="62F6CA29" w:rsidR="00C32EDF" w:rsidRDefault="00C32EDF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30B664EE" w14:textId="604AD6BA" w:rsidR="00C32EDF" w:rsidRDefault="00C32EDF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321C765D" w14:textId="08F58AA1" w:rsidR="00C32EDF" w:rsidRDefault="00C32EDF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4ED408D8" w14:textId="376435D0" w:rsidR="00C32EDF" w:rsidRDefault="00C32EDF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1A714342" w14:textId="77777777" w:rsidR="00C32EDF" w:rsidRPr="00210A8A" w:rsidRDefault="00C32EDF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7294B238" w14:textId="77777777" w:rsidR="00577EF8" w:rsidRPr="00210A8A" w:rsidRDefault="00577EF8" w:rsidP="00487BAA">
      <w:pPr>
        <w:spacing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0"/>
          <w:szCs w:val="20"/>
        </w:rPr>
      </w:pPr>
    </w:p>
    <w:p w14:paraId="1B1BFCB9" w14:textId="77777777" w:rsidR="00577EF8" w:rsidRPr="00210A8A" w:rsidRDefault="00577EF8" w:rsidP="00746AB4">
      <w:pPr>
        <w:widowControl w:val="0"/>
        <w:spacing w:line="240" w:lineRule="auto"/>
        <w:jc w:val="both"/>
        <w:rPr>
          <w:rFonts w:ascii="Palatino Linotype" w:eastAsia="Times New Roman" w:hAnsi="Palatino Linotype" w:cs="Times New Roman"/>
          <w:b/>
          <w:color w:val="000000" w:themeColor="text1"/>
        </w:rPr>
      </w:pPr>
    </w:p>
    <w:p w14:paraId="2A930BE0" w14:textId="77777777" w:rsidR="00331058" w:rsidRDefault="00331058"/>
    <w:sectPr w:rsidR="00331058" w:rsidSect="00086F6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577EF8"/>
    <w:rsid w:val="0000141D"/>
    <w:rsid w:val="000070C6"/>
    <w:rsid w:val="00070FD4"/>
    <w:rsid w:val="000B13EB"/>
    <w:rsid w:val="000C055D"/>
    <w:rsid w:val="000F6264"/>
    <w:rsid w:val="001005B2"/>
    <w:rsid w:val="00105AA5"/>
    <w:rsid w:val="00120313"/>
    <w:rsid w:val="00177272"/>
    <w:rsid w:val="001812FA"/>
    <w:rsid w:val="001948B6"/>
    <w:rsid w:val="00197A7F"/>
    <w:rsid w:val="001A0B55"/>
    <w:rsid w:val="001B1B5E"/>
    <w:rsid w:val="001C6F10"/>
    <w:rsid w:val="001F1158"/>
    <w:rsid w:val="00204DCA"/>
    <w:rsid w:val="002126A4"/>
    <w:rsid w:val="00221100"/>
    <w:rsid w:val="00247E85"/>
    <w:rsid w:val="0025431E"/>
    <w:rsid w:val="00281E81"/>
    <w:rsid w:val="002C3814"/>
    <w:rsid w:val="002C3F3C"/>
    <w:rsid w:val="002C4E89"/>
    <w:rsid w:val="002C5036"/>
    <w:rsid w:val="002D5ED9"/>
    <w:rsid w:val="002F736C"/>
    <w:rsid w:val="00331058"/>
    <w:rsid w:val="003345D2"/>
    <w:rsid w:val="0034496A"/>
    <w:rsid w:val="0038228F"/>
    <w:rsid w:val="00391000"/>
    <w:rsid w:val="00394E1F"/>
    <w:rsid w:val="003B048F"/>
    <w:rsid w:val="003B09A8"/>
    <w:rsid w:val="003C75FB"/>
    <w:rsid w:val="003D642B"/>
    <w:rsid w:val="003E4D6C"/>
    <w:rsid w:val="003E7265"/>
    <w:rsid w:val="003F0F25"/>
    <w:rsid w:val="004020AB"/>
    <w:rsid w:val="00403DC7"/>
    <w:rsid w:val="00411907"/>
    <w:rsid w:val="00416BF8"/>
    <w:rsid w:val="00421D37"/>
    <w:rsid w:val="0042765A"/>
    <w:rsid w:val="0046281F"/>
    <w:rsid w:val="00466B23"/>
    <w:rsid w:val="00480E88"/>
    <w:rsid w:val="004940A0"/>
    <w:rsid w:val="004F066B"/>
    <w:rsid w:val="004F148E"/>
    <w:rsid w:val="004F634F"/>
    <w:rsid w:val="00500A7F"/>
    <w:rsid w:val="00505BA7"/>
    <w:rsid w:val="005160CD"/>
    <w:rsid w:val="0054014B"/>
    <w:rsid w:val="00541C6E"/>
    <w:rsid w:val="00564C24"/>
    <w:rsid w:val="005744E0"/>
    <w:rsid w:val="00577790"/>
    <w:rsid w:val="00577EF8"/>
    <w:rsid w:val="005803E3"/>
    <w:rsid w:val="005D53DB"/>
    <w:rsid w:val="00603C71"/>
    <w:rsid w:val="00617214"/>
    <w:rsid w:val="00637673"/>
    <w:rsid w:val="00643C4B"/>
    <w:rsid w:val="00650206"/>
    <w:rsid w:val="00676D25"/>
    <w:rsid w:val="006A5B42"/>
    <w:rsid w:val="006B713A"/>
    <w:rsid w:val="00707F67"/>
    <w:rsid w:val="00720381"/>
    <w:rsid w:val="007362E1"/>
    <w:rsid w:val="00742BDC"/>
    <w:rsid w:val="007567E4"/>
    <w:rsid w:val="00761995"/>
    <w:rsid w:val="007D647D"/>
    <w:rsid w:val="007F48C4"/>
    <w:rsid w:val="007F48CF"/>
    <w:rsid w:val="008150B6"/>
    <w:rsid w:val="008346BA"/>
    <w:rsid w:val="0086004C"/>
    <w:rsid w:val="0089152D"/>
    <w:rsid w:val="008A3294"/>
    <w:rsid w:val="008A60B3"/>
    <w:rsid w:val="008B5946"/>
    <w:rsid w:val="008C1B10"/>
    <w:rsid w:val="008C5A40"/>
    <w:rsid w:val="008E7B04"/>
    <w:rsid w:val="009358FA"/>
    <w:rsid w:val="00957D83"/>
    <w:rsid w:val="009615C4"/>
    <w:rsid w:val="009621A3"/>
    <w:rsid w:val="0098229E"/>
    <w:rsid w:val="009943C3"/>
    <w:rsid w:val="009A3D69"/>
    <w:rsid w:val="009A778E"/>
    <w:rsid w:val="009C153D"/>
    <w:rsid w:val="009F6FD0"/>
    <w:rsid w:val="00A00D40"/>
    <w:rsid w:val="00A01AD9"/>
    <w:rsid w:val="00A504F7"/>
    <w:rsid w:val="00A7276D"/>
    <w:rsid w:val="00A73B68"/>
    <w:rsid w:val="00AA0791"/>
    <w:rsid w:val="00AD64D7"/>
    <w:rsid w:val="00AF5E6F"/>
    <w:rsid w:val="00B436E1"/>
    <w:rsid w:val="00B546AF"/>
    <w:rsid w:val="00B74F30"/>
    <w:rsid w:val="00B92488"/>
    <w:rsid w:val="00C32EDF"/>
    <w:rsid w:val="00C623B9"/>
    <w:rsid w:val="00C66D92"/>
    <w:rsid w:val="00CA595E"/>
    <w:rsid w:val="00CB76D7"/>
    <w:rsid w:val="00CC1F60"/>
    <w:rsid w:val="00D03AD5"/>
    <w:rsid w:val="00D11DA8"/>
    <w:rsid w:val="00D12861"/>
    <w:rsid w:val="00D21CF3"/>
    <w:rsid w:val="00D6237C"/>
    <w:rsid w:val="00D65775"/>
    <w:rsid w:val="00D87E67"/>
    <w:rsid w:val="00DD4CD5"/>
    <w:rsid w:val="00E138C4"/>
    <w:rsid w:val="00E33646"/>
    <w:rsid w:val="00E56A25"/>
    <w:rsid w:val="00E634B5"/>
    <w:rsid w:val="00E6362C"/>
    <w:rsid w:val="00E7335F"/>
    <w:rsid w:val="00E74867"/>
    <w:rsid w:val="00EA45EC"/>
    <w:rsid w:val="00EC39BA"/>
    <w:rsid w:val="00EE2914"/>
    <w:rsid w:val="00F101CF"/>
    <w:rsid w:val="00F17284"/>
    <w:rsid w:val="00FE3B47"/>
    <w:rsid w:val="00FF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7326D5"/>
  <w15:chartTrackingRefBased/>
  <w15:docId w15:val="{50F36C2F-A235-E649-B509-218508F8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EF8"/>
    <w:pPr>
      <w:spacing w:before="0" w:beforeAutospacing="0" w:after="0" w:afterAutospacing="0"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7EF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7EF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7EF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7EF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7EF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7EF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7EF8"/>
    <w:rPr>
      <w:rFonts w:ascii="Arial" w:eastAsia="Arial" w:hAnsi="Arial" w:cs="Arial"/>
      <w:sz w:val="40"/>
      <w:szCs w:val="40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rsid w:val="00577EF8"/>
    <w:rPr>
      <w:rFonts w:ascii="Arial" w:eastAsia="Arial" w:hAnsi="Arial" w:cs="Arial"/>
      <w:sz w:val="32"/>
      <w:szCs w:val="32"/>
      <w:lang w:val="en"/>
    </w:rPr>
  </w:style>
  <w:style w:type="character" w:customStyle="1" w:styleId="Heading3Char">
    <w:name w:val="Heading 3 Char"/>
    <w:basedOn w:val="DefaultParagraphFont"/>
    <w:link w:val="Heading3"/>
    <w:uiPriority w:val="9"/>
    <w:rsid w:val="00577EF8"/>
    <w:rPr>
      <w:rFonts w:ascii="Arial" w:eastAsia="Arial" w:hAnsi="Arial" w:cs="Arial"/>
      <w:color w:val="434343"/>
      <w:sz w:val="28"/>
      <w:szCs w:val="28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7EF8"/>
    <w:rPr>
      <w:rFonts w:ascii="Arial" w:eastAsia="Arial" w:hAnsi="Arial" w:cs="Arial"/>
      <w:color w:val="666666"/>
      <w:szCs w:val="24"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7EF8"/>
    <w:rPr>
      <w:rFonts w:ascii="Arial" w:eastAsia="Arial" w:hAnsi="Arial" w:cs="Arial"/>
      <w:color w:val="666666"/>
      <w:sz w:val="22"/>
      <w:szCs w:val="22"/>
      <w:lang w:val="e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7EF8"/>
    <w:rPr>
      <w:rFonts w:ascii="Arial" w:eastAsia="Arial" w:hAnsi="Arial" w:cs="Arial"/>
      <w:i/>
      <w:color w:val="666666"/>
      <w:sz w:val="22"/>
      <w:szCs w:val="22"/>
      <w:lang w:val="en"/>
    </w:rPr>
  </w:style>
  <w:style w:type="paragraph" w:styleId="Title">
    <w:name w:val="Title"/>
    <w:basedOn w:val="Normal"/>
    <w:next w:val="Normal"/>
    <w:link w:val="TitleChar"/>
    <w:uiPriority w:val="10"/>
    <w:qFormat/>
    <w:rsid w:val="00577EF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7EF8"/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7EF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577EF8"/>
    <w:rPr>
      <w:rFonts w:ascii="Arial" w:eastAsia="Arial" w:hAnsi="Arial" w:cs="Arial"/>
      <w:color w:val="666666"/>
      <w:sz w:val="30"/>
      <w:lang w:val="en"/>
    </w:rPr>
  </w:style>
  <w:style w:type="paragraph" w:customStyle="1" w:styleId="EndNoteBibliographyTitle">
    <w:name w:val="EndNote Bibliography Title"/>
    <w:basedOn w:val="Normal"/>
    <w:link w:val="EndNoteBibliographyTitleChar"/>
    <w:rsid w:val="00577EF8"/>
    <w:pPr>
      <w:jc w:val="center"/>
    </w:pPr>
    <w:rPr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77EF8"/>
    <w:rPr>
      <w:rFonts w:ascii="Arial" w:eastAsia="Arial" w:hAnsi="Arial" w:cs="Arial"/>
      <w:sz w:val="22"/>
      <w:szCs w:val="22"/>
    </w:rPr>
  </w:style>
  <w:style w:type="paragraph" w:customStyle="1" w:styleId="EndNoteBibliography">
    <w:name w:val="EndNote Bibliography"/>
    <w:basedOn w:val="Normal"/>
    <w:link w:val="EndNoteBibliographyChar"/>
    <w:rsid w:val="00577EF8"/>
    <w:pPr>
      <w:spacing w:line="240" w:lineRule="auto"/>
    </w:pPr>
    <w:rPr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77EF8"/>
    <w:rPr>
      <w:rFonts w:ascii="Arial" w:eastAsia="Arial" w:hAnsi="Arial" w:cs="Arial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77E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7EF8"/>
    <w:pPr>
      <w:spacing w:line="240" w:lineRule="auto"/>
    </w:pPr>
    <w:rPr>
      <w:rFonts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7EF8"/>
    <w:rPr>
      <w:rFonts w:ascii="Arial" w:eastAsia="Arial" w:hAnsi="Arial" w:cs="Cordia New"/>
      <w:sz w:val="20"/>
      <w:szCs w:val="25"/>
      <w:lang w:val="e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E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EF8"/>
    <w:rPr>
      <w:rFonts w:ascii="Arial" w:eastAsia="Arial" w:hAnsi="Arial" w:cs="Cordia New"/>
      <w:b/>
      <w:bCs/>
      <w:sz w:val="20"/>
      <w:szCs w:val="25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EF8"/>
    <w:pPr>
      <w:spacing w:line="240" w:lineRule="auto"/>
    </w:pPr>
    <w:rPr>
      <w:rFonts w:ascii="Times New Roman" w:hAnsi="Times New Roman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EF8"/>
    <w:rPr>
      <w:rFonts w:ascii="Times New Roman" w:eastAsia="Arial" w:hAnsi="Times New Roman" w:cs="Angsana New"/>
      <w:sz w:val="18"/>
      <w:szCs w:val="22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692</Words>
  <Characters>3948</Characters>
  <Application>Microsoft Office Word</Application>
  <DocSecurity>0</DocSecurity>
  <Lines>32</Lines>
  <Paragraphs>9</Paragraphs>
  <ScaleCrop>false</ScaleCrop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Lueangsakulthai, Jiraporn</dc:creator>
  <cp:keywords/>
  <dc:description/>
  <cp:lastModifiedBy>Lueangsakulthai, Jiraporn</cp:lastModifiedBy>
  <cp:revision>5</cp:revision>
  <dcterms:created xsi:type="dcterms:W3CDTF">2020-01-06T19:01:00Z</dcterms:created>
  <dcterms:modified xsi:type="dcterms:W3CDTF">2020-02-20T19:45:00Z</dcterms:modified>
</cp:coreProperties>
</file>