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B2" w:rsidRPr="00CE4445" w:rsidRDefault="00CE4445" w:rsidP="00BF66B2">
      <w:pPr>
        <w:rPr>
          <w:rFonts w:ascii="Times New Roman" w:hAnsi="Times New Roman" w:cs="Times New Roman"/>
          <w:sz w:val="24"/>
        </w:rPr>
      </w:pPr>
      <w:r w:rsidRPr="00CE4445">
        <w:rPr>
          <w:rFonts w:ascii="Times New Roman" w:hAnsi="Times New Roman" w:cs="Times New Roman"/>
          <w:sz w:val="24"/>
        </w:rPr>
        <w:t xml:space="preserve">Supplementary </w:t>
      </w:r>
      <w:r>
        <w:rPr>
          <w:rFonts w:ascii="Times New Roman" w:hAnsi="Times New Roman" w:cs="Times New Roman"/>
          <w:sz w:val="24"/>
        </w:rPr>
        <w:t>material S1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t xml:space="preserve"> </w:t>
      </w:r>
      <w:r w:rsidRPr="00BF66B2">
        <w:rPr>
          <w:rFonts w:ascii="Times New Roman" w:hAnsi="Times New Roman" w:cs="Times New Roman"/>
          <w:b/>
          <w:bCs/>
          <w:sz w:val="24"/>
          <w:szCs w:val="24"/>
        </w:rPr>
        <w:t xml:space="preserve">Material and methods </w:t>
      </w:r>
    </w:p>
    <w:p w:rsidR="00BF66B2" w:rsidRPr="00BF66B2" w:rsidRDefault="00BF66B2" w:rsidP="00512B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i/>
          <w:iCs/>
          <w:sz w:val="24"/>
          <w:szCs w:val="24"/>
        </w:rPr>
        <w:t xml:space="preserve">Blood sample processing 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sz w:val="24"/>
          <w:szCs w:val="24"/>
        </w:rPr>
        <w:t>Five ml of blood collected by vein puncture into 6ml K3EDTA vacutainers (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Vacuette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) was transferred into 15ml tubes and centrifuged at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500 x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g, 4°C, with acceleration and deceleration at moderate speed. Top 2.5 ml of platelet-rich plasma (PRP)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transferred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into new 15ml tube. The rest of PRP and buffy coat ring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discarded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and 1 ml of erythrocyte sediment was carefully pipetted from the bottom into new 15ml tube and washed with 10 ml of cold PBS. Both PRP and erythrocytes containing tubes were centrifuged at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3000 x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g, 4°C, with acceleration and deceleration at maximum speed. Supernatant from erythrocytes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removed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and both erythrocytes plasma were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aliquoted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and stored at -80°C. </w:t>
      </w:r>
    </w:p>
    <w:p w:rsidR="00BF66B2" w:rsidRPr="00BF66B2" w:rsidRDefault="00BF66B2" w:rsidP="00BF66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F66B2">
        <w:rPr>
          <w:rFonts w:ascii="Times New Roman" w:hAnsi="Times New Roman" w:cs="Times New Roman"/>
          <w:i/>
          <w:iCs/>
          <w:sz w:val="24"/>
          <w:szCs w:val="24"/>
        </w:rPr>
        <w:t>Determination of the total malondialdehyde in erythrocyte lysates and plasma using stable isotope dilution assay based on liquid chromatography-tandem mass spectrometry.</w:t>
      </w:r>
    </w:p>
    <w:p w:rsidR="00BF66B2" w:rsidRPr="00BF66B2" w:rsidRDefault="00BF66B2" w:rsidP="00BF66B2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F66B2">
        <w:rPr>
          <w:rFonts w:ascii="Times New Roman" w:hAnsi="Times New Roman" w:cs="Times New Roman"/>
          <w:iCs/>
          <w:sz w:val="24"/>
          <w:szCs w:val="24"/>
        </w:rPr>
        <w:t>Internal standard of 1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,3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>-dideuteromalondialdehyde (MDA-D2) stock solution was prepared by acid hydrolysis of 1,3-D2-1,1,3,3-tetraethoxypropane (Cambridge Isotope Laboratories, Tewksbury MA, USA).</w:t>
      </w:r>
    </w:p>
    <w:p w:rsidR="00512BB0" w:rsidRDefault="00512BB0" w:rsidP="00BF66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F66B2" w:rsidRPr="00512BB0" w:rsidRDefault="00BF66B2" w:rsidP="00BF66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512BB0">
        <w:rPr>
          <w:rFonts w:ascii="Times New Roman" w:hAnsi="Times New Roman" w:cs="Times New Roman"/>
          <w:i/>
          <w:iCs/>
          <w:sz w:val="24"/>
          <w:szCs w:val="24"/>
        </w:rPr>
        <w:t>MDA in erythrocyte lysates.</w:t>
      </w:r>
    </w:p>
    <w:p w:rsidR="00BF66B2" w:rsidRPr="00BF66B2" w:rsidRDefault="00BF66B2" w:rsidP="00BF66B2">
      <w:pPr>
        <w:spacing w:after="0"/>
        <w:rPr>
          <w:rFonts w:ascii="Times New Roman" w:hAnsi="Times New Roman" w:cs="Times New Roman"/>
          <w:iCs/>
          <w:sz w:val="24"/>
          <w:szCs w:val="24"/>
          <w:lang w:val="cs-CZ"/>
        </w:rPr>
      </w:pP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100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of washed erythrocytes was mixed with 10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of diluted internal standard MDA-D2 (10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M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>) and lysed with four volumes of cold distilled water in a refrigerator at 4</w:t>
      </w:r>
      <w:r w:rsidRPr="00BF66B2">
        <w:rPr>
          <w:rFonts w:ascii="Times New Roman" w:hAnsi="Times New Roman" w:cs="Times New Roman"/>
          <w:iCs/>
          <w:sz w:val="24"/>
          <w:szCs w:val="24"/>
          <w:lang w:val="cs-CZ"/>
        </w:rPr>
        <w:t>°</w:t>
      </w:r>
      <w:r w:rsidRPr="00BF66B2">
        <w:rPr>
          <w:rFonts w:ascii="Times New Roman" w:hAnsi="Times New Roman" w:cs="Times New Roman"/>
          <w:iCs/>
          <w:sz w:val="24"/>
          <w:szCs w:val="24"/>
        </w:rPr>
        <w:t xml:space="preserve">C for 15 min; the cell debris were removed by centrifugation. The concentration of hemoglobin was measured at 540 nm using extinction coefficient </w:t>
      </w:r>
      <m:oMath>
        <m:sSubSup>
          <m:sSubSupPr>
            <m:ctrlPr>
              <w:rPr>
                <w:rFonts w:ascii="Cambria Math" w:hAnsi="Cambria Math" w:cs="Times New Roman"/>
                <w:iCs/>
                <w:sz w:val="24"/>
                <w:szCs w:val="24"/>
                <w:lang w:val="cs-CZ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cs-CZ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cs-CZ"/>
              </w:rPr>
              <m:t>540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cs-CZ"/>
              </w:rPr>
              <m:t>1</m:t>
            </m:r>
          </m:sup>
        </m:sSubSup>
      </m:oMath>
      <w:r w:rsidRPr="00BF66B2">
        <w:rPr>
          <w:rFonts w:ascii="Times New Roman" w:hAnsi="Times New Roman" w:cs="Times New Roman"/>
          <w:iCs/>
          <w:sz w:val="24"/>
          <w:szCs w:val="24"/>
        </w:rPr>
        <w:t xml:space="preserve">= 8.5. The supernatant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was hydrolyzed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with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NaOH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(1M final concentration) </w:t>
      </w:r>
      <w:bookmarkStart w:id="0" w:name="__DdeLink__4813_2088888513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at the presence of butylated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hydroxytoluene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(6 mM final concentration) for 30 min at 60°C.</w:t>
      </w:r>
      <w:bookmarkEnd w:id="0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To the hydrolysate 3M HClO</w:t>
      </w:r>
      <w:r w:rsidRPr="00BF66B2">
        <w:rPr>
          <w:rFonts w:ascii="Times New Roman" w:hAnsi="Times New Roman" w:cs="Times New Roman"/>
          <w:iCs/>
          <w:sz w:val="24"/>
          <w:szCs w:val="24"/>
        </w:rPr>
        <w:softHyphen/>
      </w:r>
      <w:r w:rsidRPr="00BF66B2">
        <w:rPr>
          <w:rFonts w:ascii="Times New Roman" w:hAnsi="Times New Roman" w:cs="Times New Roman"/>
          <w:iCs/>
          <w:sz w:val="24"/>
          <w:szCs w:val="24"/>
          <w:vertAlign w:val="subscript"/>
        </w:rPr>
        <w:t>4</w:t>
      </w:r>
      <w:r w:rsidRPr="00BF66B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was added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for protein precipitation and samples were centrifuged. The supernatant was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derivatized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by 5 mM 2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,4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-dinitrophenylhydrazine (DNPH) using 30 min shaking on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Vibrax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in the dark at laboratory temperature. The reaction mixture was centrifuged and 20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was injected onto HPLC column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Nucleosil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C18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ec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(125 x 3 mm, 5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μm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>) (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Macherey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-Nagel,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Düren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, Germany) at 40 °C using isocratic mobile phase composed of  0.1% of formic acid in 50% acetonitrile (v/v). The flow rate was 400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μl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>/min.</w:t>
      </w:r>
    </w:p>
    <w:p w:rsidR="00BF66B2" w:rsidRPr="00BF66B2" w:rsidRDefault="00BF66B2" w:rsidP="00BF66B2">
      <w:pPr>
        <w:spacing w:after="0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BF66B2">
        <w:rPr>
          <w:rFonts w:ascii="Times New Roman" w:hAnsi="Times New Roman" w:cs="Times New Roman"/>
          <w:iCs/>
          <w:sz w:val="24"/>
          <w:szCs w:val="24"/>
        </w:rPr>
        <w:t xml:space="preserve">The HPLC system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was connected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to the mass spectrometer QTRAP 4000 (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Sciex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, Prague, Czech Republic). MDA and MDA-D2 DNPH derivatives (MDA-DNPH and MDA-D2-DNPH) were detected in positive multiple reaction monitoring (MRM) mode. MDA-DNPH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was monitored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at m/z 235-&gt;189 and MDA-D2-DNPH at m/z 237-&gt;191. MDA and MDA-D2 DNPH derivatives eluted at 3.00 min. Analyst v.1.6 from SCIEX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was used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for the acquisition and analysis of data.</w:t>
      </w:r>
    </w:p>
    <w:p w:rsidR="00512BB0" w:rsidRDefault="00512BB0" w:rsidP="00BF66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F66B2" w:rsidRPr="00512BB0" w:rsidRDefault="00BF66B2" w:rsidP="00BF66B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512BB0">
        <w:rPr>
          <w:rFonts w:ascii="Times New Roman" w:hAnsi="Times New Roman" w:cs="Times New Roman"/>
          <w:i/>
          <w:iCs/>
          <w:sz w:val="24"/>
          <w:szCs w:val="24"/>
        </w:rPr>
        <w:t>MDA in plasma.</w:t>
      </w:r>
    </w:p>
    <w:p w:rsidR="00BF66B2" w:rsidRDefault="00BF66B2" w:rsidP="00BF66B2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BF66B2">
        <w:rPr>
          <w:rFonts w:ascii="Times New Roman" w:hAnsi="Times New Roman" w:cs="Times New Roman"/>
          <w:iCs/>
          <w:sz w:val="24"/>
          <w:szCs w:val="24"/>
        </w:rPr>
        <w:t xml:space="preserve">MDA in plasma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was analyzed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by the same procedure as MDA in erythrocyte lysates. Briefly, 10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of diluted internal standard MDA-D2 (10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M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) was added to 100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μ</w:t>
      </w:r>
      <w:r w:rsidRPr="00BF66B2">
        <w:rPr>
          <w:rFonts w:ascii="Times New Roman" w:hAnsi="Times New Roman" w:cs="Times New Roman"/>
          <w:iCs/>
          <w:sz w:val="24"/>
          <w:szCs w:val="24"/>
        </w:rPr>
        <w:t>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of EDTA plasma and was hydrolyzed with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NaOH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(1M final concentration) at the presence of butylated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hydroxytoluene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(6 mM final concentration) for 30 min at 60°C. After protein precipitation</w:t>
      </w:r>
      <w:r w:rsidRPr="00BF66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6B2">
        <w:rPr>
          <w:rFonts w:ascii="Times New Roman" w:hAnsi="Times New Roman" w:cs="Times New Roman"/>
          <w:iCs/>
          <w:sz w:val="24"/>
          <w:szCs w:val="24"/>
        </w:rPr>
        <w:t>with HClO</w:t>
      </w:r>
      <w:r w:rsidRPr="00BF66B2">
        <w:rPr>
          <w:rFonts w:ascii="Times New Roman" w:hAnsi="Times New Roman" w:cs="Times New Roman"/>
          <w:iCs/>
          <w:sz w:val="24"/>
          <w:szCs w:val="24"/>
          <w:vertAlign w:val="subscript"/>
        </w:rPr>
        <w:t>4</w:t>
      </w:r>
      <w:r w:rsidRPr="00BF66B2">
        <w:rPr>
          <w:rFonts w:ascii="Times New Roman" w:hAnsi="Times New Roman" w:cs="Times New Roman"/>
          <w:iCs/>
          <w:sz w:val="24"/>
          <w:szCs w:val="24"/>
        </w:rPr>
        <w:t xml:space="preserve">, centrifugation, and supernatant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derivatization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with </w:t>
      </w:r>
      <w:proofErr w:type="gramStart"/>
      <w:r w:rsidRPr="00BF66B2">
        <w:rPr>
          <w:rFonts w:ascii="Times New Roman" w:hAnsi="Times New Roman" w:cs="Times New Roman"/>
          <w:iCs/>
          <w:sz w:val="24"/>
          <w:szCs w:val="24"/>
        </w:rPr>
        <w:t>DNPH</w:t>
      </w:r>
      <w:proofErr w:type="gram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the sample was centrifuged and 20 </w:t>
      </w:r>
      <w:proofErr w:type="spellStart"/>
      <w:r w:rsidRPr="00BF66B2">
        <w:rPr>
          <w:rFonts w:ascii="Times New Roman" w:hAnsi="Times New Roman" w:cs="Times New Roman"/>
          <w:iCs/>
          <w:sz w:val="24"/>
          <w:szCs w:val="24"/>
        </w:rPr>
        <w:t>μl</w:t>
      </w:r>
      <w:proofErr w:type="spellEnd"/>
      <w:r w:rsidRPr="00BF66B2">
        <w:rPr>
          <w:rFonts w:ascii="Times New Roman" w:hAnsi="Times New Roman" w:cs="Times New Roman"/>
          <w:iCs/>
          <w:sz w:val="24"/>
          <w:szCs w:val="24"/>
        </w:rPr>
        <w:t xml:space="preserve"> of supernatant was analyzed using LC-MS/MS.</w:t>
      </w:r>
    </w:p>
    <w:p w:rsidR="00BF66B2" w:rsidRPr="00BF66B2" w:rsidRDefault="00BF66B2" w:rsidP="00BF66B2">
      <w:pPr>
        <w:spacing w:after="0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:rsidR="00BF66B2" w:rsidRPr="00BF66B2" w:rsidRDefault="00BF66B2" w:rsidP="00512B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Lipidomics analysis 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sz w:val="24"/>
          <w:szCs w:val="24"/>
        </w:rPr>
        <w:t xml:space="preserve">Aliquots of plasma (50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) were precipitated by 150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of 2-propanol (Merck, Darmstadt) in order to remove proteins and the clear supernatant after centrifugation (10 min at 24 000 g) was transferred into a vial with insert for analysis. Erythrocyte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were diluted by deionized water to concentration 1E9 prior to 2-propanol precipitation and then processed in the same fashion as plasma samples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. A small portion of each supernatant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collected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to a separate vial to form a pooled quality control (QC) sample. 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sz w:val="24"/>
          <w:szCs w:val="24"/>
        </w:rPr>
        <w:t xml:space="preserve">For the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lipidomic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analysis, U-HPLC (Infinity 1290, Agilent) coupled to a high-resolution mass spectrometer with a hyphenated quadrupole time-of-flight mass analyzer (6560 Ion Mobility Q-TOF LC/MS; Agilent) with the Agilent Jet Stream (AJS) electrospray (ESI) source were employed. 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sz w:val="24"/>
          <w:szCs w:val="24"/>
        </w:rPr>
        <w:t xml:space="preserve">The mass analyzer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operated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at following conditions at both ionization modes: Gas temperature 350 °C, Drying Gas 12 L/min, Nebulizer pressure 40 psig, Sheath gas temperature 350 °C, Sheath gas flow 11 l/min, Nozzle voltage 250 V,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fragmentor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voltage 380 V,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octopole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radiofrequency voltage 750 V. The capillary voltage was 3000 V in ESI+, 4000 V in ESI-. For all samples, the data were acquired over the m/z range of 100 – 1700 at the rate of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spectrum/s. The m/z range was autocorrected on reference masses 121.0509 and 922.0098 for positive mode and 119.0363 and 980.0164 in negative mode. To obtain the fragmentation spectra of lipids, the QC sample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run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several times in auto MS/MS mode with collision energies 10, 20 and 40 eV, with acquisition rate of 5 spectra/s for full spectra and 7 spectra/sec for fragmentation spectra. Top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ions were chosen for fragmentation with dynamic exclusion for 0.1 min after fragmentation event. 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lipidomic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fingerprinting an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Acquity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BEH C18 (1.7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, 2.1 mm x 150 mm (Waters, USA)) was used for chromatographic separation. The chromatographic system used with ESI+ detection was: A – 10 mM ammonium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and 0.1 % formic acid in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acetonitrile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:water</w:t>
      </w:r>
      <w:proofErr w:type="spellEnd"/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(60:40, v/v); B – 10 mM ammonium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and 0.1 % formic acid in 2-propanol:acetonitrile (90:10, v/v). For chromatographic separation of plasma detected in ESI- mode, following mobile phases were used: A - 10 mM ammonium acetate and 0.1% acetic acid in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acetonitrile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:water</w:t>
      </w:r>
      <w:proofErr w:type="spellEnd"/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(60:40); B - 10 mM ammonium acetate and 0.1% acetic acid in 2-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propanol:acetonitrile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(90:10, v/v). The flow rate was constant at 0.300 mL ∙ min−1. The mobile phase gradient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is described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in Supplementary Table S2. The column temperature was maintained at 60°C, the injection volume was increased to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in ESI+ mode and 5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in ESI-mode. The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autosampler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kept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at 10 °C. </w:t>
      </w:r>
    </w:p>
    <w:p w:rsidR="00BF66B2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F66B2">
        <w:rPr>
          <w:rFonts w:ascii="Times New Roman" w:hAnsi="Times New Roman" w:cs="Times New Roman"/>
          <w:sz w:val="24"/>
          <w:szCs w:val="24"/>
        </w:rPr>
        <w:t>QCsample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run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every 10 samples for system stability assessment. The samples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were measured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in MS mode, the fragmentation experiments were run on the QC sample at the end of the batch at 10, 20 and 40 eV. </w:t>
      </w:r>
    </w:p>
    <w:p w:rsidR="00BF66B2" w:rsidRPr="00BF66B2" w:rsidRDefault="00BF66B2" w:rsidP="00512B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i/>
          <w:iCs/>
          <w:sz w:val="24"/>
          <w:szCs w:val="24"/>
        </w:rPr>
        <w:t>Lip</w:t>
      </w:r>
      <w:bookmarkStart w:id="1" w:name="_GoBack"/>
      <w:bookmarkEnd w:id="1"/>
      <w:r w:rsidRPr="00BF66B2">
        <w:rPr>
          <w:rFonts w:ascii="Times New Roman" w:hAnsi="Times New Roman" w:cs="Times New Roman"/>
          <w:i/>
          <w:iCs/>
          <w:sz w:val="24"/>
          <w:szCs w:val="24"/>
        </w:rPr>
        <w:t xml:space="preserve">id identification and statistical analyses </w:t>
      </w:r>
    </w:p>
    <w:p w:rsidR="00E70F3D" w:rsidRPr="00BF66B2" w:rsidRDefault="00BF66B2" w:rsidP="00BF66B2">
      <w:pPr>
        <w:rPr>
          <w:rFonts w:ascii="Times New Roman" w:hAnsi="Times New Roman" w:cs="Times New Roman"/>
          <w:sz w:val="24"/>
          <w:szCs w:val="24"/>
        </w:rPr>
      </w:pPr>
      <w:r w:rsidRPr="00BF66B2">
        <w:rPr>
          <w:rFonts w:ascii="Times New Roman" w:hAnsi="Times New Roman" w:cs="Times New Roman"/>
          <w:sz w:val="24"/>
          <w:szCs w:val="24"/>
        </w:rPr>
        <w:t xml:space="preserve">The mass spectrometry data was processed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LipidMatch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suite (DOI 10.1186/s12859-017- 1744-3) which uses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MZmine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2 for feature extraction and an R script for lipid identification based on in-silico fragmentation databases. At least a class-specific fragment was required for lipid identification. The data matrix of plasma lipids was first truncated by removing all the features which were present in the lipid infusions (peak area &gt; 5000), allowing for the assessment of intermediary metabolites only. For erythrocyte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lipids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this procedure was not necessary as the membrane lipids and cell interior lipids must be metabolized prior </w:t>
      </w:r>
      <w:r w:rsidRPr="00BF66B2">
        <w:rPr>
          <w:rFonts w:ascii="Times New Roman" w:hAnsi="Times New Roman" w:cs="Times New Roman"/>
          <w:sz w:val="24"/>
          <w:szCs w:val="24"/>
        </w:rPr>
        <w:lastRenderedPageBreak/>
        <w:t xml:space="preserve">incorporation into erythrocyte lipidome. Lipidomics data processing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was performed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in both web-based and R based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MetaboAnalyst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 (metaboanalyst.ca) packages followed by SIMCA (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Umetrics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). Patients´ and controls´ lipidomics data were subject to a two-dimensional hierarchical cluster analysis (HCA). In </w:t>
      </w:r>
      <w:proofErr w:type="spellStart"/>
      <w:r w:rsidRPr="00BF66B2">
        <w:rPr>
          <w:rFonts w:ascii="Times New Roman" w:hAnsi="Times New Roman" w:cs="Times New Roman"/>
          <w:sz w:val="24"/>
          <w:szCs w:val="24"/>
        </w:rPr>
        <w:t>MetaboAnalyst</w:t>
      </w:r>
      <w:proofErr w:type="spellEnd"/>
      <w:r w:rsidRPr="00BF66B2">
        <w:rPr>
          <w:rFonts w:ascii="Times New Roman" w:hAnsi="Times New Roman" w:cs="Times New Roman"/>
          <w:sz w:val="24"/>
          <w:szCs w:val="24"/>
        </w:rPr>
        <w:t xml:space="preserve">, sum normalization, log transformation and </w:t>
      </w:r>
      <w:proofErr w:type="spellStart"/>
      <w:proofErr w:type="gramStart"/>
      <w:r w:rsidRPr="00BF66B2">
        <w:rPr>
          <w:rFonts w:ascii="Times New Roman" w:hAnsi="Times New Roman" w:cs="Times New Roman"/>
          <w:sz w:val="24"/>
          <w:szCs w:val="24"/>
        </w:rPr>
        <w:t>pareto</w:t>
      </w:r>
      <w:proofErr w:type="spellEnd"/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scaling were used for signal processing. These data matrices were first sum normalized in R and then loaded to SIMCA, where statistical models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were built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. When building OPLS-DA (Orthogonal PLS-DA) models in SIMCA logarithmic transformation and </w:t>
      </w:r>
      <w:proofErr w:type="spellStart"/>
      <w:proofErr w:type="gramStart"/>
      <w:r w:rsidRPr="00BF66B2">
        <w:rPr>
          <w:rFonts w:ascii="Times New Roman" w:hAnsi="Times New Roman" w:cs="Times New Roman"/>
          <w:sz w:val="24"/>
          <w:szCs w:val="24"/>
        </w:rPr>
        <w:t>pareto</w:t>
      </w:r>
      <w:proofErr w:type="spellEnd"/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scaling was used. Fragmentation spectra of the VIP score based significant compounds were </w:t>
      </w:r>
      <w:proofErr w:type="gramStart"/>
      <w:r w:rsidRPr="00BF66B2">
        <w:rPr>
          <w:rFonts w:ascii="Times New Roman" w:hAnsi="Times New Roman" w:cs="Times New Roman"/>
          <w:sz w:val="24"/>
          <w:szCs w:val="24"/>
        </w:rPr>
        <w:t>double checked</w:t>
      </w:r>
      <w:proofErr w:type="gramEnd"/>
      <w:r w:rsidRPr="00BF66B2">
        <w:rPr>
          <w:rFonts w:ascii="Times New Roman" w:hAnsi="Times New Roman" w:cs="Times New Roman"/>
          <w:sz w:val="24"/>
          <w:szCs w:val="24"/>
        </w:rPr>
        <w:t xml:space="preserve"> both against the in-silico fragmentation library and against METLIN and LIPIDMAPS databases for their identities to be confirmed.</w:t>
      </w:r>
    </w:p>
    <w:sectPr w:rsidR="00E70F3D" w:rsidRPr="00BF6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B2"/>
    <w:rsid w:val="00467CE6"/>
    <w:rsid w:val="00512BB0"/>
    <w:rsid w:val="00913A1B"/>
    <w:rsid w:val="00A00CCB"/>
    <w:rsid w:val="00BF66B2"/>
    <w:rsid w:val="00CE4445"/>
    <w:rsid w:val="00E7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18284"/>
  <w15:chartTrackingRefBased/>
  <w15:docId w15:val="{B5B9E48F-50B1-4317-8A4D-7727C2F3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klinické a experimentální medicíny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RNDr. Monika Cahová, Ph.D.</dc:creator>
  <cp:keywords/>
  <dc:description/>
  <cp:lastModifiedBy>RNDr. Monika Cahová, Ph.D.</cp:lastModifiedBy>
  <cp:revision>4</cp:revision>
  <dcterms:created xsi:type="dcterms:W3CDTF">2020-03-24T11:43:00Z</dcterms:created>
  <dcterms:modified xsi:type="dcterms:W3CDTF">2020-06-21T16:13:00Z</dcterms:modified>
</cp:coreProperties>
</file>