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B47E2" w:rsidRDefault="004B47E2" w:rsidP="004B47E2">
      <w:pPr>
        <w:spacing w:before="450" w:after="150" w:line="240" w:lineRule="auto"/>
        <w:outlineLvl w:val="1"/>
        <w:rPr>
          <w:rFonts w:ascii="Arial" w:eastAsia="Times New Roman" w:hAnsi="Arial" w:cs="Arial"/>
          <w:b/>
          <w:bCs/>
          <w:sz w:val="30"/>
          <w:szCs w:val="30"/>
          <w:lang w:val="en-US" w:eastAsia="nl-NL"/>
        </w:rPr>
      </w:pPr>
      <w:r w:rsidRPr="004B47E2">
        <w:rPr>
          <w:rFonts w:ascii="Arial" w:eastAsia="Times New Roman" w:hAnsi="Arial" w:cs="Arial"/>
          <w:b/>
          <w:bCs/>
          <w:sz w:val="30"/>
          <w:szCs w:val="30"/>
          <w:lang w:val="en-US" w:eastAsia="nl-NL"/>
        </w:rPr>
        <w:t>SUPPLEMENTARY MATERIALS</w:t>
      </w:r>
    </w:p>
    <w:p w:rsidR="00793D3E" w:rsidRPr="004B47E2" w:rsidRDefault="00793D3E" w:rsidP="004B47E2">
      <w:pPr>
        <w:spacing w:before="450" w:after="150" w:line="240" w:lineRule="auto"/>
        <w:outlineLvl w:val="1"/>
        <w:rPr>
          <w:rFonts w:ascii="Arial" w:eastAsia="Times New Roman" w:hAnsi="Arial" w:cs="Arial"/>
          <w:b/>
          <w:bCs/>
          <w:sz w:val="30"/>
          <w:szCs w:val="30"/>
          <w:lang w:val="en-US" w:eastAsia="nl-NL"/>
        </w:rPr>
      </w:pPr>
      <w:bookmarkStart w:id="0" w:name="_GoBack"/>
      <w:bookmarkEnd w:id="0"/>
    </w:p>
    <w:p w:rsidR="004B47E2" w:rsidRPr="002C5B38" w:rsidRDefault="004B47E2" w:rsidP="004B47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Supplementary Table 1</w:t>
      </w:r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Pr="002C5B3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Odds ratio (ORs) of </w:t>
      </w:r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>energy-adjusted CML</w:t>
      </w:r>
      <w:r w:rsidRPr="002C5B3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for MOF and VFs  in non-type 2 diabetics (non-T2DM), diabetics (T2</w:t>
      </w:r>
      <w:r w:rsidR="0034128E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DM), females and males in N=3949 </w:t>
      </w:r>
      <w:r w:rsidRPr="002C5B3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with complete data on all covariates.</w:t>
      </w:r>
    </w:p>
    <w:tbl>
      <w:tblPr>
        <w:tblStyle w:val="PlainTable1"/>
        <w:tblpPr w:leftFromText="141" w:rightFromText="141" w:vertAnchor="text" w:horzAnchor="margin" w:tblpY="138"/>
        <w:tblW w:w="5328" w:type="pct"/>
        <w:tblLayout w:type="fixed"/>
        <w:tblLook w:val="04A0" w:firstRow="1" w:lastRow="0" w:firstColumn="1" w:lastColumn="0" w:noHBand="0" w:noVBand="1"/>
      </w:tblPr>
      <w:tblGrid>
        <w:gridCol w:w="1787"/>
        <w:gridCol w:w="1353"/>
        <w:gridCol w:w="1891"/>
        <w:gridCol w:w="919"/>
        <w:gridCol w:w="1275"/>
        <w:gridCol w:w="1957"/>
        <w:gridCol w:w="781"/>
      </w:tblGrid>
      <w:tr w:rsidR="004B47E2" w:rsidRPr="0033037E" w:rsidTr="002C7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" w:type="pct"/>
            <w:vMerge w:val="restart"/>
            <w:noWrap/>
            <w:hideMark/>
          </w:tcPr>
          <w:p w:rsidR="004B47E2" w:rsidRPr="00713576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713576">
              <w:rPr>
                <w:rFonts w:ascii="Times New Roman" w:hAnsi="Times New Roman" w:cs="Times New Roman"/>
              </w:rPr>
              <w:t> </w:t>
            </w:r>
            <w:r w:rsidRPr="00713576">
              <w:rPr>
                <w:rFonts w:ascii="Times New Roman" w:hAnsi="Times New Roman" w:cs="Times New Roman"/>
                <w:b w:val="0"/>
                <w:bCs w:val="0"/>
                <w:iCs/>
              </w:rPr>
              <w:t>Fully adjusted</w:t>
            </w:r>
          </w:p>
          <w:p w:rsidR="004B47E2" w:rsidRPr="00713576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  <w:b w:val="0"/>
                <w:bCs w:val="0"/>
                <w:iCs/>
              </w:rPr>
              <w:t xml:space="preserve"> models </w:t>
            </w:r>
          </w:p>
        </w:tc>
        <w:tc>
          <w:tcPr>
            <w:tcW w:w="2089" w:type="pct"/>
            <w:gridSpan w:val="3"/>
          </w:tcPr>
          <w:p w:rsidR="004B47E2" w:rsidRPr="00713576" w:rsidRDefault="004B47E2" w:rsidP="002C77DD">
            <w:pPr>
              <w:pStyle w:val="NoSpacing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713576">
              <w:rPr>
                <w:rFonts w:ascii="Times New Roman" w:hAnsi="Times New Roman" w:cs="Times New Roman"/>
                <w:bCs w:val="0"/>
                <w:iCs/>
              </w:rPr>
              <w:t>Major osteoporotic fractures (MOFs)</w:t>
            </w:r>
          </w:p>
        </w:tc>
        <w:tc>
          <w:tcPr>
            <w:tcW w:w="2014" w:type="pct"/>
            <w:gridSpan w:val="3"/>
          </w:tcPr>
          <w:p w:rsidR="004B47E2" w:rsidRPr="00713576" w:rsidRDefault="004B47E2" w:rsidP="002C77DD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713576">
              <w:rPr>
                <w:rFonts w:ascii="Times New Roman" w:hAnsi="Times New Roman" w:cs="Times New Roman"/>
                <w:bCs w:val="0"/>
                <w:iCs/>
              </w:rPr>
              <w:t>Vertebral fractures (VFs)</w:t>
            </w:r>
            <w:r w:rsidRPr="00713576">
              <w:rPr>
                <w:rFonts w:ascii="Times New Roman" w:hAnsi="Times New Roman" w:cs="Times New Roman"/>
                <w:b w:val="0"/>
                <w:bCs w:val="0"/>
                <w:iCs/>
              </w:rPr>
              <w:t xml:space="preserve"> </w:t>
            </w:r>
          </w:p>
        </w:tc>
      </w:tr>
      <w:tr w:rsidR="004B47E2" w:rsidRPr="0033037E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" w:type="pct"/>
            <w:vMerge/>
            <w:hideMark/>
          </w:tcPr>
          <w:p w:rsidR="004B47E2" w:rsidRPr="00713576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</w:p>
        </w:tc>
        <w:tc>
          <w:tcPr>
            <w:tcW w:w="679" w:type="pct"/>
          </w:tcPr>
          <w:p w:rsidR="004B47E2" w:rsidRPr="00713576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713576">
              <w:rPr>
                <w:rFonts w:ascii="Times New Roman" w:hAnsi="Times New Roman" w:cs="Times New Roman"/>
                <w:iCs/>
              </w:rPr>
              <w:t xml:space="preserve">Prevalence </w:t>
            </w:r>
          </w:p>
        </w:tc>
        <w:tc>
          <w:tcPr>
            <w:tcW w:w="949" w:type="pct"/>
            <w:hideMark/>
          </w:tcPr>
          <w:p w:rsidR="004B47E2" w:rsidRPr="00713576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713576">
              <w:rPr>
                <w:rFonts w:ascii="Times New Roman" w:hAnsi="Times New Roman" w:cs="Times New Roman"/>
                <w:iCs/>
              </w:rPr>
              <w:t xml:space="preserve">ORs (95% CI) </w:t>
            </w:r>
          </w:p>
        </w:tc>
        <w:tc>
          <w:tcPr>
            <w:tcW w:w="461" w:type="pct"/>
          </w:tcPr>
          <w:p w:rsidR="004B47E2" w:rsidRPr="00713576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713576">
              <w:rPr>
                <w:rFonts w:ascii="Times New Roman" w:hAnsi="Times New Roman" w:cs="Times New Roman"/>
                <w:iCs/>
              </w:rPr>
              <w:t>p-value</w:t>
            </w:r>
          </w:p>
        </w:tc>
        <w:tc>
          <w:tcPr>
            <w:tcW w:w="640" w:type="pct"/>
          </w:tcPr>
          <w:p w:rsidR="004B47E2" w:rsidRPr="00713576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713576">
              <w:rPr>
                <w:rFonts w:ascii="Times New Roman" w:hAnsi="Times New Roman" w:cs="Times New Roman"/>
                <w:iCs/>
              </w:rPr>
              <w:t>Prevalence</w:t>
            </w:r>
          </w:p>
        </w:tc>
        <w:tc>
          <w:tcPr>
            <w:tcW w:w="982" w:type="pct"/>
            <w:hideMark/>
          </w:tcPr>
          <w:p w:rsidR="004B47E2" w:rsidRPr="00713576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713576">
              <w:rPr>
                <w:rFonts w:ascii="Times New Roman" w:hAnsi="Times New Roman" w:cs="Times New Roman"/>
                <w:iCs/>
              </w:rPr>
              <w:t>ORs (95% CI)</w:t>
            </w:r>
          </w:p>
        </w:tc>
        <w:tc>
          <w:tcPr>
            <w:tcW w:w="392" w:type="pct"/>
          </w:tcPr>
          <w:p w:rsidR="004B47E2" w:rsidRPr="00713576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713576">
              <w:rPr>
                <w:rFonts w:ascii="Times New Roman" w:hAnsi="Times New Roman" w:cs="Times New Roman"/>
                <w:iCs/>
              </w:rPr>
              <w:t>p-value</w:t>
            </w:r>
          </w:p>
        </w:tc>
      </w:tr>
      <w:tr w:rsidR="00713576" w:rsidRPr="0033037E" w:rsidTr="002C77DD">
        <w:trPr>
          <w:trHeight w:val="36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" w:type="pct"/>
            <w:hideMark/>
          </w:tcPr>
          <w:p w:rsidR="00713576" w:rsidRPr="00713576" w:rsidRDefault="00713576" w:rsidP="00713576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713576">
              <w:rPr>
                <w:rFonts w:ascii="Times New Roman" w:hAnsi="Times New Roman" w:cs="Times New Roman"/>
                <w:b w:val="0"/>
                <w:bCs w:val="0"/>
                <w:iCs/>
              </w:rPr>
              <w:t xml:space="preserve">Non T2DM </w:t>
            </w:r>
          </w:p>
        </w:tc>
        <w:tc>
          <w:tcPr>
            <w:tcW w:w="679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9.4%</w:t>
            </w:r>
          </w:p>
        </w:tc>
        <w:tc>
          <w:tcPr>
            <w:tcW w:w="949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1.08 (0.93-1.24)</w:t>
            </w:r>
          </w:p>
        </w:tc>
        <w:tc>
          <w:tcPr>
            <w:tcW w:w="461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0.31</w:t>
            </w:r>
          </w:p>
        </w:tc>
        <w:tc>
          <w:tcPr>
            <w:tcW w:w="640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7.5%</w:t>
            </w:r>
          </w:p>
        </w:tc>
        <w:tc>
          <w:tcPr>
            <w:tcW w:w="982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1.16 (1.01-1.33)</w:t>
            </w:r>
          </w:p>
        </w:tc>
        <w:tc>
          <w:tcPr>
            <w:tcW w:w="392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3576">
              <w:rPr>
                <w:rFonts w:ascii="Times New Roman" w:hAnsi="Times New Roman" w:cs="Times New Roman"/>
                <w:b/>
              </w:rPr>
              <w:t>0.03</w:t>
            </w:r>
          </w:p>
        </w:tc>
      </w:tr>
      <w:tr w:rsidR="00713576" w:rsidRPr="0033037E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" w:type="pct"/>
            <w:hideMark/>
          </w:tcPr>
          <w:p w:rsidR="00713576" w:rsidRPr="00713576" w:rsidRDefault="00713576" w:rsidP="00713576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713576">
              <w:rPr>
                <w:rFonts w:ascii="Times New Roman" w:hAnsi="Times New Roman" w:cs="Times New Roman"/>
                <w:b w:val="0"/>
                <w:bCs w:val="0"/>
                <w:iCs/>
              </w:rPr>
              <w:t xml:space="preserve">T2DM </w:t>
            </w:r>
          </w:p>
        </w:tc>
        <w:tc>
          <w:tcPr>
            <w:tcW w:w="679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9.9%</w:t>
            </w:r>
          </w:p>
        </w:tc>
        <w:tc>
          <w:tcPr>
            <w:tcW w:w="949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1.38 (0.97-1.98)</w:t>
            </w:r>
          </w:p>
        </w:tc>
        <w:tc>
          <w:tcPr>
            <w:tcW w:w="461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3576">
              <w:rPr>
                <w:rFonts w:ascii="Times New Roman" w:hAnsi="Times New Roman" w:cs="Times New Roman"/>
                <w:b/>
              </w:rPr>
              <w:t>0.08</w:t>
            </w:r>
          </w:p>
        </w:tc>
        <w:tc>
          <w:tcPr>
            <w:tcW w:w="640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7.4%</w:t>
            </w:r>
          </w:p>
        </w:tc>
        <w:tc>
          <w:tcPr>
            <w:tcW w:w="982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1.10 (0.76-1.61)</w:t>
            </w:r>
          </w:p>
        </w:tc>
        <w:tc>
          <w:tcPr>
            <w:tcW w:w="392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0.61</w:t>
            </w:r>
          </w:p>
        </w:tc>
      </w:tr>
      <w:tr w:rsidR="00713576" w:rsidRPr="0033037E" w:rsidTr="002C77DD">
        <w:trPr>
          <w:trHeight w:val="36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" w:type="pct"/>
            <w:hideMark/>
          </w:tcPr>
          <w:p w:rsidR="00713576" w:rsidRPr="00713576" w:rsidRDefault="00713576" w:rsidP="00713576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713576">
              <w:rPr>
                <w:rFonts w:ascii="Times New Roman" w:hAnsi="Times New Roman" w:cs="Times New Roman"/>
                <w:b w:val="0"/>
                <w:bCs w:val="0"/>
                <w:iCs/>
              </w:rPr>
              <w:t>Females</w:t>
            </w:r>
          </w:p>
        </w:tc>
        <w:tc>
          <w:tcPr>
            <w:tcW w:w="679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11.6%</w:t>
            </w:r>
          </w:p>
        </w:tc>
        <w:tc>
          <w:tcPr>
            <w:tcW w:w="949" w:type="pct"/>
            <w:noWrap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1.10 (0.94-1.28)</w:t>
            </w:r>
          </w:p>
        </w:tc>
        <w:tc>
          <w:tcPr>
            <w:tcW w:w="461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0.24</w:t>
            </w:r>
          </w:p>
        </w:tc>
        <w:tc>
          <w:tcPr>
            <w:tcW w:w="640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7.1%</w:t>
            </w:r>
          </w:p>
        </w:tc>
        <w:tc>
          <w:tcPr>
            <w:tcW w:w="982" w:type="pct"/>
            <w:noWrap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1.22 (1.02-1.45)</w:t>
            </w:r>
          </w:p>
        </w:tc>
        <w:tc>
          <w:tcPr>
            <w:tcW w:w="392" w:type="pct"/>
          </w:tcPr>
          <w:p w:rsidR="00713576" w:rsidRPr="00713576" w:rsidRDefault="00713576" w:rsidP="00713576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713576">
              <w:rPr>
                <w:rFonts w:ascii="Times New Roman" w:hAnsi="Times New Roman" w:cs="Times New Roman"/>
                <w:b/>
              </w:rPr>
              <w:t>0.03</w:t>
            </w:r>
          </w:p>
        </w:tc>
      </w:tr>
      <w:tr w:rsidR="00713576" w:rsidRPr="0033037E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97" w:type="pct"/>
            <w:hideMark/>
          </w:tcPr>
          <w:p w:rsidR="00713576" w:rsidRPr="00713576" w:rsidRDefault="00713576" w:rsidP="00713576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713576">
              <w:rPr>
                <w:rFonts w:ascii="Times New Roman" w:hAnsi="Times New Roman" w:cs="Times New Roman"/>
                <w:b w:val="0"/>
                <w:bCs w:val="0"/>
                <w:iCs/>
              </w:rPr>
              <w:t xml:space="preserve">Males </w:t>
            </w:r>
          </w:p>
        </w:tc>
        <w:tc>
          <w:tcPr>
            <w:tcW w:w="679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4.4%</w:t>
            </w:r>
          </w:p>
        </w:tc>
        <w:tc>
          <w:tcPr>
            <w:tcW w:w="949" w:type="pct"/>
            <w:noWrap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1.17 (0.91-1.49)</w:t>
            </w:r>
          </w:p>
        </w:tc>
        <w:tc>
          <w:tcPr>
            <w:tcW w:w="461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640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8.0%</w:t>
            </w:r>
          </w:p>
        </w:tc>
        <w:tc>
          <w:tcPr>
            <w:tcW w:w="982" w:type="pct"/>
            <w:noWrap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1.11 (0.92-1.34)</w:t>
            </w:r>
          </w:p>
        </w:tc>
        <w:tc>
          <w:tcPr>
            <w:tcW w:w="392" w:type="pct"/>
          </w:tcPr>
          <w:p w:rsidR="00713576" w:rsidRPr="00713576" w:rsidRDefault="00713576" w:rsidP="00713576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713576">
              <w:rPr>
                <w:rFonts w:ascii="Times New Roman" w:hAnsi="Times New Roman" w:cs="Times New Roman"/>
              </w:rPr>
              <w:t>0.28</w:t>
            </w:r>
          </w:p>
        </w:tc>
      </w:tr>
    </w:tbl>
    <w:p w:rsidR="004B47E2" w:rsidRDefault="004B47E2" w:rsidP="004B47E2">
      <w:pPr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  <w:r w:rsidRPr="002C5B38">
        <w:rPr>
          <w:rFonts w:ascii="Times New Roman" w:hAnsi="Times New Roman" w:cs="Times New Roman"/>
          <w:b/>
          <w:sz w:val="16"/>
          <w:szCs w:val="16"/>
          <w:lang w:val="en-US"/>
        </w:rPr>
        <w:t xml:space="preserve">Fully adjusted model: Energy-adjusted CML + age + sex + physical activity + dietary quality score + total energy intake per day+ </w:t>
      </w:r>
      <w:proofErr w:type="spellStart"/>
      <w:r w:rsidRPr="002C5B38">
        <w:rPr>
          <w:rFonts w:ascii="Times New Roman" w:hAnsi="Times New Roman" w:cs="Times New Roman"/>
          <w:b/>
          <w:sz w:val="16"/>
          <w:szCs w:val="16"/>
          <w:lang w:val="en-US"/>
        </w:rPr>
        <w:t>eGFR</w:t>
      </w:r>
      <w:proofErr w:type="spellEnd"/>
      <w:r w:rsidRPr="002C5B38">
        <w:rPr>
          <w:rFonts w:ascii="Times New Roman" w:hAnsi="Times New Roman" w:cs="Times New Roman"/>
          <w:b/>
          <w:sz w:val="16"/>
          <w:szCs w:val="16"/>
          <w:lang w:val="en-US"/>
        </w:rPr>
        <w:t xml:space="preserve"> + diabetes status + smoking status + BMI</w:t>
      </w:r>
    </w:p>
    <w:p w:rsidR="004B47E2" w:rsidRPr="002C5B38" w:rsidRDefault="004B47E2" w:rsidP="004B47E2">
      <w:pPr>
        <w:rPr>
          <w:rFonts w:ascii="Times New Roman" w:hAnsi="Times New Roman" w:cs="Times New Roman"/>
          <w:b/>
          <w:sz w:val="16"/>
          <w:szCs w:val="16"/>
          <w:lang w:val="en-US"/>
        </w:rPr>
      </w:pPr>
      <w:r>
        <w:rPr>
          <w:rFonts w:ascii="Times New Roman" w:hAnsi="Times New Roman" w:cs="Times New Roman"/>
          <w:b/>
          <w:sz w:val="16"/>
          <w:szCs w:val="16"/>
          <w:lang w:val="en-US"/>
        </w:rPr>
        <w:br w:type="page"/>
      </w:r>
    </w:p>
    <w:p w:rsidR="004B47E2" w:rsidRPr="002C5B38" w:rsidRDefault="004B47E2" w:rsidP="004B47E2">
      <w:pPr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Supplementary table 2</w:t>
      </w:r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  <w:r w:rsidRPr="002C5B38">
        <w:rPr>
          <w:b/>
          <w:lang w:val="en-US"/>
        </w:rPr>
        <w:t xml:space="preserve"> </w:t>
      </w:r>
      <w:r w:rsidRPr="002C5B3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Odds ratio (ORs) of </w:t>
      </w:r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energy-adjusted 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total</w:t>
      </w:r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proofErr w:type="spellStart"/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>dAGE</w:t>
      </w:r>
      <w:proofErr w:type="spellEnd"/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score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(continuous) and </w:t>
      </w:r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>quartiles (Q1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-4</w:t>
      </w:r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>)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, CEL and MG-H1</w:t>
      </w:r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2C5B3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>for MOFs and VFs  in total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population. </w:t>
      </w:r>
      <w:r w:rsidRPr="002C5B38"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  <w:t xml:space="preserve"> </w:t>
      </w:r>
    </w:p>
    <w:tbl>
      <w:tblPr>
        <w:tblStyle w:val="PlainTable1"/>
        <w:tblpPr w:leftFromText="141" w:rightFromText="141" w:vertAnchor="text" w:horzAnchor="margin" w:tblpY="138"/>
        <w:tblW w:w="9896" w:type="dxa"/>
        <w:tblLook w:val="04A0" w:firstRow="1" w:lastRow="0" w:firstColumn="1" w:lastColumn="0" w:noHBand="0" w:noVBand="1"/>
      </w:tblPr>
      <w:tblGrid>
        <w:gridCol w:w="2340"/>
        <w:gridCol w:w="2880"/>
        <w:gridCol w:w="1170"/>
        <w:gridCol w:w="2340"/>
        <w:gridCol w:w="1166"/>
      </w:tblGrid>
      <w:tr w:rsidR="004B47E2" w:rsidRPr="00351635" w:rsidTr="002C77D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vMerge w:val="restart"/>
            <w:noWrap/>
            <w:hideMark/>
          </w:tcPr>
          <w:p w:rsidR="004B47E2" w:rsidRPr="00351635" w:rsidRDefault="00480DA6" w:rsidP="002C77DD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  <w:bCs w:val="0"/>
                <w:iCs/>
              </w:rPr>
              <w:t>N = 3949</w:t>
            </w:r>
          </w:p>
        </w:tc>
        <w:tc>
          <w:tcPr>
            <w:tcW w:w="4050" w:type="dxa"/>
            <w:gridSpan w:val="2"/>
            <w:hideMark/>
          </w:tcPr>
          <w:p w:rsidR="004B47E2" w:rsidRPr="00351635" w:rsidRDefault="00351635" w:rsidP="002C77DD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Cs/>
              </w:rPr>
            </w:pPr>
            <w:r w:rsidRPr="00713576">
              <w:rPr>
                <w:rFonts w:ascii="Times New Roman" w:hAnsi="Times New Roman" w:cs="Times New Roman"/>
                <w:bCs w:val="0"/>
                <w:iCs/>
              </w:rPr>
              <w:t>Major osteoporotic fractures (MOFs)</w:t>
            </w:r>
          </w:p>
        </w:tc>
        <w:tc>
          <w:tcPr>
            <w:tcW w:w="3506" w:type="dxa"/>
            <w:gridSpan w:val="2"/>
            <w:hideMark/>
          </w:tcPr>
          <w:p w:rsidR="004B47E2" w:rsidRPr="00351635" w:rsidRDefault="00351635" w:rsidP="00351635">
            <w:pPr>
              <w:pStyle w:val="NoSpacing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Cs w:val="0"/>
                <w:iCs/>
              </w:rPr>
            </w:pPr>
            <w:r w:rsidRPr="00713576">
              <w:rPr>
                <w:rFonts w:ascii="Times New Roman" w:hAnsi="Times New Roman" w:cs="Times New Roman"/>
                <w:bCs w:val="0"/>
                <w:iCs/>
              </w:rPr>
              <w:t>Vertebral fractures (VFs)</w:t>
            </w:r>
            <w:r w:rsidRPr="00713576">
              <w:rPr>
                <w:rFonts w:ascii="Times New Roman" w:hAnsi="Times New Roman" w:cs="Times New Roman"/>
                <w:b w:val="0"/>
                <w:bCs w:val="0"/>
                <w:iCs/>
              </w:rPr>
              <w:t xml:space="preserve"> </w:t>
            </w: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3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  <w:vMerge/>
            <w:hideMark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</w:p>
        </w:tc>
        <w:tc>
          <w:tcPr>
            <w:tcW w:w="2880" w:type="dxa"/>
            <w:hideMark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351635">
              <w:rPr>
                <w:rFonts w:ascii="Times New Roman" w:hAnsi="Times New Roman" w:cs="Times New Roman"/>
                <w:iCs/>
              </w:rPr>
              <w:t xml:space="preserve">ORs (95% CI) 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351635">
              <w:rPr>
                <w:rFonts w:ascii="Times New Roman" w:hAnsi="Times New Roman" w:cs="Times New Roman"/>
                <w:iCs/>
              </w:rPr>
              <w:t>p-value</w:t>
            </w:r>
          </w:p>
        </w:tc>
        <w:tc>
          <w:tcPr>
            <w:tcW w:w="2340" w:type="dxa"/>
            <w:hideMark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351635">
              <w:rPr>
                <w:rFonts w:ascii="Times New Roman" w:hAnsi="Times New Roman" w:cs="Times New Roman"/>
                <w:iCs/>
              </w:rPr>
              <w:t>ORs (95% CI)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Cs/>
              </w:rPr>
            </w:pPr>
            <w:r w:rsidRPr="00351635">
              <w:rPr>
                <w:rFonts w:ascii="Times New Roman" w:hAnsi="Times New Roman" w:cs="Times New Roman"/>
                <w:iCs/>
              </w:rPr>
              <w:t>p-value</w:t>
            </w:r>
          </w:p>
        </w:tc>
      </w:tr>
      <w:tr w:rsidR="004B47E2" w:rsidRPr="00793D3E" w:rsidTr="002C77DD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6" w:type="dxa"/>
            <w:gridSpan w:val="5"/>
            <w:hideMark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 xml:space="preserve">Energy-adjusted total </w:t>
            </w:r>
            <w:proofErr w:type="spellStart"/>
            <w:r w:rsidRPr="00351635">
              <w:rPr>
                <w:rFonts w:ascii="Times New Roman" w:hAnsi="Times New Roman" w:cs="Times New Roman"/>
              </w:rPr>
              <w:t>dAGEs</w:t>
            </w:r>
            <w:proofErr w:type="spellEnd"/>
            <w:r w:rsidRPr="00351635">
              <w:rPr>
                <w:rFonts w:ascii="Times New Roman" w:hAnsi="Times New Roman" w:cs="Times New Roman"/>
              </w:rPr>
              <w:t xml:space="preserve"> score </w:t>
            </w: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 xml:space="preserve">Total </w:t>
            </w:r>
            <w:proofErr w:type="spellStart"/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dAGE</w:t>
            </w:r>
            <w:proofErr w:type="spellEnd"/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 xml:space="preserve"> (</w:t>
            </w:r>
            <w:proofErr w:type="spellStart"/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cont</w:t>
            </w:r>
            <w:proofErr w:type="spellEnd"/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’)</w:t>
            </w:r>
          </w:p>
        </w:tc>
        <w:tc>
          <w:tcPr>
            <w:tcW w:w="288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1.07 (0.88-1.30)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0.52</w:t>
            </w:r>
          </w:p>
        </w:tc>
        <w:tc>
          <w:tcPr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1.08 (0.89-1.31)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0.43</w:t>
            </w:r>
          </w:p>
        </w:tc>
      </w:tr>
      <w:tr w:rsidR="004B47E2" w:rsidRPr="00351635" w:rsidTr="002C77DD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Q1 (ref.)</w:t>
            </w:r>
          </w:p>
        </w:tc>
        <w:tc>
          <w:tcPr>
            <w:tcW w:w="288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Q2</w:t>
            </w:r>
          </w:p>
        </w:tc>
        <w:tc>
          <w:tcPr>
            <w:tcW w:w="288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0.76 (0.54-1.07)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0.53</w:t>
            </w:r>
          </w:p>
        </w:tc>
        <w:tc>
          <w:tcPr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0.82 (0.56-1.19)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0.29</w:t>
            </w:r>
          </w:p>
        </w:tc>
      </w:tr>
      <w:tr w:rsidR="004B47E2" w:rsidRPr="00351635" w:rsidTr="002C77DD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Q3</w:t>
            </w:r>
          </w:p>
        </w:tc>
        <w:tc>
          <w:tcPr>
            <w:tcW w:w="288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0.89 (0.61-1.29)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0.69</w:t>
            </w:r>
          </w:p>
        </w:tc>
        <w:tc>
          <w:tcPr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1.10 (0.74-1.63)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0.64</w:t>
            </w: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Q4</w:t>
            </w:r>
          </w:p>
        </w:tc>
        <w:tc>
          <w:tcPr>
            <w:tcW w:w="288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1.10 (0.69-1.76)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1.38 (0.86-2.22)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0.18</w:t>
            </w:r>
          </w:p>
        </w:tc>
      </w:tr>
      <w:tr w:rsidR="004B47E2" w:rsidRPr="00351635" w:rsidTr="002C77DD">
        <w:trPr>
          <w:trHeight w:val="3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Q1-3 vs. Q4</w:t>
            </w:r>
          </w:p>
        </w:tc>
        <w:tc>
          <w:tcPr>
            <w:tcW w:w="288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1.34 (0.94-1.90)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351635">
              <w:rPr>
                <w:rFonts w:ascii="Times New Roman" w:hAnsi="Times New Roman" w:cs="Times New Roman"/>
                <w:b/>
              </w:rPr>
              <w:t>0.11</w:t>
            </w:r>
          </w:p>
        </w:tc>
        <w:tc>
          <w:tcPr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1.46 (1.04-2.01)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  <w:r w:rsidRPr="00351635">
              <w:rPr>
                <w:rFonts w:ascii="Times New Roman" w:hAnsi="Times New Roman" w:cs="Times New Roman"/>
                <w:b/>
              </w:rPr>
              <w:t>0.03</w:t>
            </w: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6" w:type="dxa"/>
            <w:gridSpan w:val="5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Energy-adjusted MG-H1</w:t>
            </w:r>
          </w:p>
        </w:tc>
      </w:tr>
      <w:tr w:rsidR="004B47E2" w:rsidRPr="00351635" w:rsidTr="002C77D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MG-H1 (</w:t>
            </w:r>
            <w:proofErr w:type="spellStart"/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cont</w:t>
            </w:r>
            <w:proofErr w:type="spellEnd"/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’)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1.00 (0.98-1.02)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0.97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1.00 (0.98-1.01)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0.73</w:t>
            </w: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Q1 (ref.)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b/>
              </w:rPr>
            </w:pPr>
          </w:p>
        </w:tc>
      </w:tr>
      <w:tr w:rsidR="004B47E2" w:rsidRPr="00351635" w:rsidTr="002C77D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Q2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0.94 (0.67-1.31)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0.72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0.96 (0.68-1.35)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0.80</w:t>
            </w: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Q3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0.91 (0.65-1.27)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0.57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0.94 (0.67-1.32)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0.71</w:t>
            </w:r>
          </w:p>
        </w:tc>
      </w:tr>
      <w:tr w:rsidR="004B47E2" w:rsidRPr="00351635" w:rsidTr="002C77D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Q4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1.03 (0.73-1.45)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0.88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0.98 (0.69-1.40)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0.93</w:t>
            </w: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Q1-3 vs. Q4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1.09 (0.82-1.45)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0.58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1.03 (0.77-1.37)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0.87</w:t>
            </w:r>
          </w:p>
        </w:tc>
      </w:tr>
      <w:tr w:rsidR="004B47E2" w:rsidRPr="00351635" w:rsidTr="002C77D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896" w:type="dxa"/>
            <w:gridSpan w:val="5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 xml:space="preserve">Energy-adjusted CEL </w:t>
            </w: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CEL (</w:t>
            </w:r>
            <w:proofErr w:type="spellStart"/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cont</w:t>
            </w:r>
            <w:proofErr w:type="spellEnd"/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’)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1.00 (0.88-1.15)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0.96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1.02 (0.90-1.17)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0.73</w:t>
            </w:r>
          </w:p>
        </w:tc>
      </w:tr>
      <w:tr w:rsidR="004B47E2" w:rsidRPr="00351635" w:rsidTr="002C77D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Q1 (ref.)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Q2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0.81 (0.58-1.13)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0.22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1.12 (0.80-1.58)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0.51</w:t>
            </w:r>
          </w:p>
        </w:tc>
      </w:tr>
      <w:tr w:rsidR="004B47E2" w:rsidRPr="00351635" w:rsidTr="002C77D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Q3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1.00 (0.73-1.38)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0.99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1.05 (0.75-1.49)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0.77</w:t>
            </w:r>
          </w:p>
        </w:tc>
      </w:tr>
      <w:tr w:rsidR="004B47E2" w:rsidRPr="00351635" w:rsidTr="002C77D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Q4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0.80 (0.57-1.12)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0.20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1.06 (0.75-1.49)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0.74</w:t>
            </w:r>
          </w:p>
        </w:tc>
      </w:tr>
      <w:tr w:rsidR="004B47E2" w:rsidRPr="00351635" w:rsidTr="002C77DD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340" w:type="dxa"/>
          </w:tcPr>
          <w:p w:rsidR="004B47E2" w:rsidRPr="00351635" w:rsidRDefault="004B47E2" w:rsidP="002C77DD">
            <w:pPr>
              <w:pStyle w:val="NoSpacing"/>
              <w:jc w:val="both"/>
              <w:rPr>
                <w:rFonts w:ascii="Times New Roman" w:hAnsi="Times New Roman" w:cs="Times New Roman"/>
                <w:b w:val="0"/>
                <w:bCs w:val="0"/>
                <w:iCs/>
              </w:rPr>
            </w:pPr>
            <w:r w:rsidRPr="00351635">
              <w:rPr>
                <w:rFonts w:ascii="Times New Roman" w:hAnsi="Times New Roman" w:cs="Times New Roman"/>
                <w:b w:val="0"/>
                <w:bCs w:val="0"/>
                <w:iCs/>
              </w:rPr>
              <w:t>Q1-3 vs. Q4</w:t>
            </w:r>
          </w:p>
        </w:tc>
        <w:tc>
          <w:tcPr>
            <w:tcW w:w="288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0.85 (0.64-1.14)</w:t>
            </w:r>
          </w:p>
        </w:tc>
        <w:tc>
          <w:tcPr>
            <w:tcW w:w="1170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0.28</w:t>
            </w:r>
          </w:p>
        </w:tc>
        <w:tc>
          <w:tcPr>
            <w:tcW w:w="2340" w:type="dxa"/>
            <w:noWrap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1.00 (0.76-1.33)</w:t>
            </w:r>
          </w:p>
        </w:tc>
        <w:tc>
          <w:tcPr>
            <w:tcW w:w="1166" w:type="dxa"/>
          </w:tcPr>
          <w:p w:rsidR="004B47E2" w:rsidRPr="00351635" w:rsidRDefault="004B47E2" w:rsidP="002C77DD">
            <w:pPr>
              <w:pStyle w:val="NoSpacing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</w:rPr>
            </w:pPr>
            <w:r w:rsidRPr="00351635">
              <w:rPr>
                <w:rFonts w:ascii="Times New Roman" w:hAnsi="Times New Roman" w:cs="Times New Roman"/>
              </w:rPr>
              <w:t>0.97</w:t>
            </w:r>
          </w:p>
        </w:tc>
      </w:tr>
    </w:tbl>
    <w:p w:rsidR="004B47E2" w:rsidRPr="002C5B38" w:rsidRDefault="004B47E2" w:rsidP="004B47E2">
      <w:pPr>
        <w:jc w:val="both"/>
        <w:rPr>
          <w:rFonts w:ascii="Times New Roman" w:hAnsi="Times New Roman" w:cs="Times New Roman"/>
          <w:b/>
          <w:sz w:val="16"/>
          <w:szCs w:val="16"/>
          <w:lang w:val="en-US"/>
        </w:rPr>
      </w:pPr>
      <w:r w:rsidRPr="002C5B38">
        <w:rPr>
          <w:rFonts w:ascii="Times New Roman" w:hAnsi="Times New Roman" w:cs="Times New Roman"/>
          <w:b/>
          <w:sz w:val="16"/>
          <w:szCs w:val="16"/>
          <w:lang w:val="en-US"/>
        </w:rPr>
        <w:t xml:space="preserve">Fully adjusted model: Energy-adjusted AGEs + age + sex + RS-cohorts + physical activity + dietary quality score + total energy intake per day+ </w:t>
      </w:r>
      <w:proofErr w:type="spellStart"/>
      <w:r w:rsidRPr="002C5B38">
        <w:rPr>
          <w:rFonts w:ascii="Times New Roman" w:hAnsi="Times New Roman" w:cs="Times New Roman"/>
          <w:b/>
          <w:sz w:val="16"/>
          <w:szCs w:val="16"/>
          <w:lang w:val="en-US"/>
        </w:rPr>
        <w:t>eGFR</w:t>
      </w:r>
      <w:proofErr w:type="spellEnd"/>
      <w:r w:rsidRPr="002C5B38">
        <w:rPr>
          <w:rFonts w:ascii="Times New Roman" w:hAnsi="Times New Roman" w:cs="Times New Roman"/>
          <w:b/>
          <w:sz w:val="16"/>
          <w:szCs w:val="16"/>
          <w:lang w:val="en-US"/>
        </w:rPr>
        <w:t xml:space="preserve"> + diabetes status + smoking status + BMI</w:t>
      </w:r>
    </w:p>
    <w:p w:rsidR="004B47E2" w:rsidRPr="002C5B38" w:rsidRDefault="004B47E2" w:rsidP="004B47E2">
      <w:pPr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C5B38">
        <w:rPr>
          <w:rFonts w:ascii="Times New Roman" w:hAnsi="Times New Roman" w:cs="Times New Roman"/>
          <w:b/>
          <w:sz w:val="24"/>
          <w:szCs w:val="24"/>
          <w:lang w:val="en-US"/>
        </w:rPr>
        <w:br w:type="page"/>
      </w:r>
    </w:p>
    <w:p w:rsidR="00B5337C" w:rsidRPr="004B47E2" w:rsidRDefault="00B5337C">
      <w:pPr>
        <w:rPr>
          <w:lang w:val="en-US"/>
        </w:rPr>
      </w:pPr>
    </w:p>
    <w:sectPr w:rsidR="00B5337C" w:rsidRPr="004B47E2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47E2"/>
    <w:rsid w:val="001A6C8D"/>
    <w:rsid w:val="0034128E"/>
    <w:rsid w:val="00351635"/>
    <w:rsid w:val="00480DA6"/>
    <w:rsid w:val="004B47E2"/>
    <w:rsid w:val="00713576"/>
    <w:rsid w:val="00793D3E"/>
    <w:rsid w:val="00B533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E45F3A"/>
  <w15:chartTrackingRefBased/>
  <w15:docId w15:val="{BCA4BB2C-3D35-4C19-A919-81EC5924A9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2">
    <w:name w:val="heading 2"/>
    <w:basedOn w:val="Normal"/>
    <w:link w:val="Heading2Char"/>
    <w:uiPriority w:val="9"/>
    <w:qFormat/>
    <w:rsid w:val="004B47E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4B47E2"/>
    <w:rPr>
      <w:rFonts w:ascii="Times New Roman" w:eastAsia="Times New Roman" w:hAnsi="Times New Roman" w:cs="Times New Roman"/>
      <w:b/>
      <w:bCs/>
      <w:sz w:val="36"/>
      <w:szCs w:val="36"/>
      <w:lang w:eastAsia="nl-NL"/>
    </w:rPr>
  </w:style>
  <w:style w:type="paragraph" w:styleId="NoSpacing">
    <w:name w:val="No Spacing"/>
    <w:link w:val="NoSpacingChar"/>
    <w:qFormat/>
    <w:rsid w:val="004B47E2"/>
    <w:pPr>
      <w:spacing w:after="0" w:line="240" w:lineRule="auto"/>
    </w:pPr>
    <w:rPr>
      <w:lang w:val="en-US"/>
    </w:rPr>
  </w:style>
  <w:style w:type="character" w:customStyle="1" w:styleId="NoSpacingChar">
    <w:name w:val="No Spacing Char"/>
    <w:basedOn w:val="DefaultParagraphFont"/>
    <w:link w:val="NoSpacing"/>
    <w:rsid w:val="004B47E2"/>
    <w:rPr>
      <w:lang w:val="en-US"/>
    </w:rPr>
  </w:style>
  <w:style w:type="table" w:styleId="PlainTable1">
    <w:name w:val="Plain Table 1"/>
    <w:basedOn w:val="TableNormal"/>
    <w:uiPriority w:val="41"/>
    <w:rsid w:val="004B47E2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4612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3</Pages>
  <Words>337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Erasmus MC</Company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 Waqas</dc:creator>
  <cp:keywords/>
  <dc:description/>
  <cp:lastModifiedBy>K. Waqas</cp:lastModifiedBy>
  <cp:revision>5</cp:revision>
  <cp:lastPrinted>2020-06-30T13:49:00Z</cp:lastPrinted>
  <dcterms:created xsi:type="dcterms:W3CDTF">2020-06-29T10:18:00Z</dcterms:created>
  <dcterms:modified xsi:type="dcterms:W3CDTF">2020-06-30T14:53:00Z</dcterms:modified>
</cp:coreProperties>
</file>