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0BD" w:rsidRPr="00D22830" w:rsidRDefault="00E07089" w:rsidP="00D22830">
      <w:pPr>
        <w:pStyle w:val="MDPI411onetablecaption"/>
        <w:rPr>
          <w:b/>
        </w:rPr>
      </w:pPr>
      <w:r w:rsidRPr="00D22830">
        <w:rPr>
          <w:b/>
        </w:rPr>
        <w:t xml:space="preserve">Supplementary Table S1. </w:t>
      </w:r>
      <w:r w:rsidRPr="00D22830">
        <w:t>Criteria to define the score for each item of the Spanish Health Eating Index (SHEI).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6E09FA" w:rsidRPr="00D22830" w:rsidTr="006E09FA">
        <w:trPr>
          <w:jc w:val="center"/>
        </w:trPr>
        <w:tc>
          <w:tcPr>
            <w:tcW w:w="8494" w:type="dxa"/>
            <w:gridSpan w:val="6"/>
          </w:tcPr>
          <w:p w:rsidR="006E09FA" w:rsidRPr="00D22830" w:rsidRDefault="006E09FA" w:rsidP="00D22830">
            <w:pPr>
              <w:adjustRightInd w:val="0"/>
              <w:snapToGrid w:val="0"/>
              <w:jc w:val="center"/>
              <w:rPr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Criteria to define the score for each </w:t>
            </w:r>
            <w:r w:rsidR="003E271E" w:rsidRPr="00D22830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item</w:t>
            </w:r>
            <w:r w:rsidRPr="00D22830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of the Spanish Health Eating Index (SHEI)</w:t>
            </w:r>
          </w:p>
        </w:tc>
        <w:bookmarkStart w:id="0" w:name="_GoBack"/>
        <w:bookmarkEnd w:id="0"/>
      </w:tr>
      <w:tr w:rsidR="004670BD" w:rsidRPr="00D22830" w:rsidTr="006E09FA">
        <w:trPr>
          <w:jc w:val="center"/>
        </w:trPr>
        <w:tc>
          <w:tcPr>
            <w:tcW w:w="1415" w:type="dxa"/>
            <w:tcBorders>
              <w:bottom w:val="single" w:sz="4" w:space="0" w:color="auto"/>
            </w:tcBorders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Variables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Criteria for a maximum score of 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Criteria for a maximum score of 7.5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Criteria for a maximum score of 5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Criteria for a maximum score of 2.5</w:t>
            </w:r>
          </w:p>
        </w:tc>
        <w:tc>
          <w:tcPr>
            <w:tcW w:w="1416" w:type="dxa"/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Criteria for a maximum score of 0</w:t>
            </w:r>
          </w:p>
        </w:tc>
      </w:tr>
      <w:tr w:rsidR="004670BD" w:rsidRPr="00D22830" w:rsidTr="006E09FA">
        <w:trPr>
          <w:jc w:val="center"/>
        </w:trPr>
        <w:tc>
          <w:tcPr>
            <w:tcW w:w="1415" w:type="dxa"/>
            <w:tcBorders>
              <w:right w:val="nil"/>
            </w:tcBorders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:rsidR="004670BD" w:rsidRPr="00D22830" w:rsidRDefault="004670BD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4670BD" w:rsidRPr="00D22830" w:rsidRDefault="004670BD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4670BD" w:rsidRPr="00D22830" w:rsidRDefault="004670BD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4670BD" w:rsidRPr="00D22830" w:rsidRDefault="004670BD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</w:tcBorders>
          </w:tcPr>
          <w:p w:rsidR="004670BD" w:rsidRPr="00D22830" w:rsidRDefault="004670BD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4670BD" w:rsidRPr="00D22830" w:rsidTr="006E09FA">
        <w:trPr>
          <w:jc w:val="center"/>
        </w:trPr>
        <w:tc>
          <w:tcPr>
            <w:tcW w:w="1415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Bread or grains</w:t>
            </w:r>
          </w:p>
        </w:tc>
        <w:tc>
          <w:tcPr>
            <w:tcW w:w="1415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  <w:tc>
          <w:tcPr>
            <w:tcW w:w="1416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</w:tr>
      <w:tr w:rsidR="004670BD" w:rsidRPr="00D22830" w:rsidTr="006E09FA">
        <w:trPr>
          <w:jc w:val="center"/>
        </w:trPr>
        <w:tc>
          <w:tcPr>
            <w:tcW w:w="1415" w:type="dxa"/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Leafy greens, salads and vegetables</w:t>
            </w:r>
          </w:p>
        </w:tc>
        <w:tc>
          <w:tcPr>
            <w:tcW w:w="1415" w:type="dxa"/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  <w:tc>
          <w:tcPr>
            <w:tcW w:w="1416" w:type="dxa"/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</w:tr>
      <w:tr w:rsidR="004670BD" w:rsidRPr="00D22830" w:rsidTr="006E09FA">
        <w:trPr>
          <w:jc w:val="center"/>
        </w:trPr>
        <w:tc>
          <w:tcPr>
            <w:tcW w:w="1415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F</w:t>
            </w:r>
            <w:r w:rsidR="006E09FA"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resh fruit (excluding juices)</w:t>
            </w:r>
          </w:p>
        </w:tc>
        <w:tc>
          <w:tcPr>
            <w:tcW w:w="1415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  <w:tc>
          <w:tcPr>
            <w:tcW w:w="1416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</w:tr>
      <w:tr w:rsidR="004670BD" w:rsidRPr="00D22830" w:rsidTr="00BA1A0C">
        <w:trPr>
          <w:jc w:val="center"/>
        </w:trPr>
        <w:tc>
          <w:tcPr>
            <w:tcW w:w="1415" w:type="dxa"/>
            <w:tcBorders>
              <w:bottom w:val="single" w:sz="4" w:space="0" w:color="auto"/>
            </w:tcBorders>
          </w:tcPr>
          <w:p w:rsidR="004670BD" w:rsidRPr="00D22830" w:rsidRDefault="006E09FA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Dairy products (milk, cheese, yoghurt)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670BD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</w:tr>
      <w:tr w:rsidR="00BA1A0C" w:rsidRPr="00D22830" w:rsidTr="00BA1A0C">
        <w:trPr>
          <w:jc w:val="center"/>
        </w:trPr>
        <w:tc>
          <w:tcPr>
            <w:tcW w:w="1415" w:type="dxa"/>
            <w:tcBorders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Weekly consumption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BA1A0C" w:rsidRPr="00D22830" w:rsidTr="00B1076D">
        <w:trPr>
          <w:jc w:val="center"/>
        </w:trPr>
        <w:tc>
          <w:tcPr>
            <w:tcW w:w="1415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Meat (chicken, beef, pork, lamb, etc.)</w:t>
            </w:r>
          </w:p>
        </w:tc>
        <w:tc>
          <w:tcPr>
            <w:tcW w:w="1415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</w:tr>
      <w:tr w:rsidR="00BA1A0C" w:rsidRPr="00D22830" w:rsidTr="00BA1A0C">
        <w:trPr>
          <w:jc w:val="center"/>
        </w:trPr>
        <w:tc>
          <w:tcPr>
            <w:tcW w:w="1415" w:type="dxa"/>
            <w:tcBorders>
              <w:bottom w:val="single" w:sz="4" w:space="0" w:color="auto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Legumes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</w:tr>
      <w:tr w:rsidR="00BA1A0C" w:rsidRPr="00D22830" w:rsidTr="00BA1A0C">
        <w:trPr>
          <w:jc w:val="center"/>
        </w:trPr>
        <w:tc>
          <w:tcPr>
            <w:tcW w:w="1415" w:type="dxa"/>
            <w:tcBorders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Occasional consumption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nil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BA1A0C" w:rsidRPr="00D22830" w:rsidTr="00B1076D">
        <w:trPr>
          <w:jc w:val="center"/>
        </w:trPr>
        <w:tc>
          <w:tcPr>
            <w:tcW w:w="1415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Cold meats and cuts</w:t>
            </w:r>
          </w:p>
        </w:tc>
        <w:tc>
          <w:tcPr>
            <w:tcW w:w="1415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</w:tr>
      <w:tr w:rsidR="00BA1A0C" w:rsidRPr="00D22830" w:rsidTr="00B1076D">
        <w:trPr>
          <w:jc w:val="center"/>
        </w:trPr>
        <w:tc>
          <w:tcPr>
            <w:tcW w:w="1415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Sweets (biscuits, pastries, jams, cereals with sugar, sweets, etc.)</w:t>
            </w:r>
          </w:p>
        </w:tc>
        <w:tc>
          <w:tcPr>
            <w:tcW w:w="1415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</w:tr>
      <w:tr w:rsidR="00BA1A0C" w:rsidRPr="00D22830" w:rsidTr="003E271E">
        <w:trPr>
          <w:jc w:val="center"/>
        </w:trPr>
        <w:tc>
          <w:tcPr>
            <w:tcW w:w="1415" w:type="dxa"/>
            <w:tcBorders>
              <w:bottom w:val="single" w:sz="4" w:space="0" w:color="auto"/>
            </w:tcBorders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Soft drinks with sugar</w:t>
            </w:r>
          </w:p>
        </w:tc>
        <w:tc>
          <w:tcPr>
            <w:tcW w:w="1415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Never or almost never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Less than once a week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Once or twice a week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Three or more times a week, but not daily</w:t>
            </w:r>
          </w:p>
        </w:tc>
        <w:tc>
          <w:tcPr>
            <w:tcW w:w="1416" w:type="dxa"/>
          </w:tcPr>
          <w:p w:rsidR="00BA1A0C" w:rsidRPr="00D22830" w:rsidRDefault="00BA1A0C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Daily</w:t>
            </w:r>
          </w:p>
        </w:tc>
      </w:tr>
      <w:tr w:rsidR="003E271E" w:rsidRPr="00D22830" w:rsidTr="003E271E">
        <w:trPr>
          <w:jc w:val="center"/>
        </w:trPr>
        <w:tc>
          <w:tcPr>
            <w:tcW w:w="1415" w:type="dxa"/>
            <w:tcBorders>
              <w:right w:val="nil"/>
            </w:tcBorders>
          </w:tcPr>
          <w:p w:rsidR="003E271E" w:rsidRPr="00D22830" w:rsidRDefault="003E271E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Variety</w:t>
            </w:r>
          </w:p>
        </w:tc>
        <w:tc>
          <w:tcPr>
            <w:tcW w:w="7079" w:type="dxa"/>
            <w:gridSpan w:val="5"/>
            <w:tcBorders>
              <w:left w:val="nil"/>
            </w:tcBorders>
          </w:tcPr>
          <w:p w:rsidR="003E271E" w:rsidRPr="00D22830" w:rsidRDefault="003E271E" w:rsidP="00D22830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22830">
              <w:rPr>
                <w:rFonts w:ascii="Palatino Linotype" w:hAnsi="Palatino Linotype"/>
                <w:sz w:val="18"/>
                <w:szCs w:val="18"/>
                <w:lang w:val="en-US"/>
              </w:rPr>
              <w:t>2 points if participant achieve each of the daily recommendations, 1 point if participant achieve each of the weekly recommendations.</w:t>
            </w:r>
          </w:p>
        </w:tc>
      </w:tr>
    </w:tbl>
    <w:p w:rsidR="00231930" w:rsidRPr="00D22830" w:rsidRDefault="003E271E" w:rsidP="00D22830">
      <w:pPr>
        <w:pStyle w:val="MDPI43tablefooter"/>
        <w:ind w:left="425" w:right="425"/>
        <w:jc w:val="both"/>
      </w:pPr>
      <w:r w:rsidRPr="00D22830">
        <w:t>Each item scored from 0 to 10 depending to the criteria of the Spanis</w:t>
      </w:r>
      <w:r w:rsidR="00F052E0" w:rsidRPr="00D22830">
        <w:t>h Health Eating Index (SHEI) [1</w:t>
      </w:r>
      <w:r w:rsidRPr="00D22830">
        <w:t xml:space="preserve">], which 10 points means that the recommendations proposed by the Spanish Society </w:t>
      </w:r>
      <w:r w:rsidR="00F052E0" w:rsidRPr="00D22830">
        <w:t>of Community Nutrition (SSCN) [2</w:t>
      </w:r>
      <w:r w:rsidRPr="00D22830">
        <w:t>].</w:t>
      </w:r>
    </w:p>
    <w:p w:rsidR="00F052E0" w:rsidRPr="00D22830" w:rsidRDefault="00F052E0" w:rsidP="00D22830">
      <w:pPr>
        <w:pStyle w:val="MDPI21heading1"/>
        <w:ind w:left="0"/>
      </w:pPr>
      <w:r w:rsidRPr="00D22830">
        <w:t>Supplementary references</w:t>
      </w:r>
    </w:p>
    <w:p w:rsidR="00F052E0" w:rsidRPr="00D22830" w:rsidRDefault="00F052E0" w:rsidP="00D22830">
      <w:pPr>
        <w:pStyle w:val="ListParagraph"/>
        <w:numPr>
          <w:ilvl w:val="0"/>
          <w:numId w:val="1"/>
        </w:numPr>
        <w:adjustRightInd w:val="0"/>
        <w:snapToGrid w:val="0"/>
        <w:spacing w:after="0" w:line="228" w:lineRule="auto"/>
        <w:ind w:left="425" w:hanging="425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D22830">
        <w:rPr>
          <w:rFonts w:ascii="Palatino Linotype" w:hAnsi="Palatino Linotype" w:cs="Arial"/>
          <w:sz w:val="18"/>
          <w:szCs w:val="18"/>
          <w:lang w:val="en-US"/>
        </w:rPr>
        <w:t xml:space="preserve">Norte Navarro, A.; Ortiz Moncada, R. Spanish diet quality according to the healthy eating index. </w:t>
      </w:r>
      <w:r w:rsidRPr="00D22830">
        <w:rPr>
          <w:rFonts w:ascii="Palatino Linotype" w:hAnsi="Palatino Linotype" w:cs="Arial"/>
          <w:i/>
          <w:sz w:val="18"/>
          <w:szCs w:val="18"/>
          <w:lang w:val="en-US"/>
        </w:rPr>
        <w:t>Nutr</w:t>
      </w:r>
      <w:r w:rsidRPr="00D22830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  <w:r w:rsidRPr="00D22830">
        <w:rPr>
          <w:rFonts w:ascii="Palatino Linotype" w:hAnsi="Palatino Linotype" w:cs="Arial"/>
          <w:i/>
          <w:sz w:val="18"/>
          <w:szCs w:val="18"/>
          <w:lang w:val="en-US"/>
        </w:rPr>
        <w:t>Hosp</w:t>
      </w:r>
      <w:r w:rsidRPr="00D22830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  <w:r w:rsidRPr="00D22830">
        <w:rPr>
          <w:rFonts w:ascii="Palatino Linotype" w:hAnsi="Palatino Linotype" w:cs="Arial"/>
          <w:b/>
          <w:sz w:val="18"/>
          <w:szCs w:val="18"/>
          <w:lang w:val="en-US"/>
        </w:rPr>
        <w:t>2011</w:t>
      </w:r>
      <w:r w:rsidRPr="00D22830">
        <w:rPr>
          <w:rFonts w:ascii="Palatino Linotype" w:hAnsi="Palatino Linotype" w:cs="Arial"/>
          <w:sz w:val="18"/>
          <w:szCs w:val="18"/>
          <w:lang w:val="en-US"/>
        </w:rPr>
        <w:t xml:space="preserve">, </w:t>
      </w:r>
      <w:r w:rsidRPr="00D22830">
        <w:rPr>
          <w:rFonts w:ascii="Palatino Linotype" w:hAnsi="Palatino Linotype" w:cs="Arial"/>
          <w:i/>
          <w:sz w:val="18"/>
          <w:szCs w:val="18"/>
          <w:lang w:val="en-US"/>
        </w:rPr>
        <w:t>26</w:t>
      </w:r>
      <w:r w:rsidRPr="00D22830">
        <w:rPr>
          <w:rFonts w:ascii="Palatino Linotype" w:hAnsi="Palatino Linotype" w:cs="Arial"/>
          <w:sz w:val="18"/>
          <w:szCs w:val="18"/>
          <w:lang w:val="en-US"/>
        </w:rPr>
        <w:t>, 330–336, doi: 10.1590/S0212-16112011000200014.</w:t>
      </w:r>
    </w:p>
    <w:p w:rsidR="00F052E0" w:rsidRPr="00D22830" w:rsidRDefault="00F052E0" w:rsidP="00D22830">
      <w:pPr>
        <w:pStyle w:val="ListParagraph"/>
        <w:numPr>
          <w:ilvl w:val="0"/>
          <w:numId w:val="1"/>
        </w:numPr>
        <w:adjustRightInd w:val="0"/>
        <w:snapToGrid w:val="0"/>
        <w:spacing w:after="0" w:line="228" w:lineRule="auto"/>
        <w:ind w:left="425" w:hanging="425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D22830">
        <w:rPr>
          <w:rFonts w:ascii="Palatino Linotype" w:hAnsi="Palatino Linotype" w:cs="Arial"/>
          <w:sz w:val="18"/>
          <w:szCs w:val="18"/>
          <w:lang w:val="en-US"/>
        </w:rPr>
        <w:t xml:space="preserve">Spanish Society of Community Nutrition (SSCN). Healthy dietary guidelines (2014). Available online: </w:t>
      </w:r>
      <w:hyperlink r:id="rId7" w:history="1">
        <w:r w:rsidRPr="00D22830">
          <w:rPr>
            <w:rStyle w:val="Hyperlink"/>
            <w:rFonts w:ascii="Palatino Linotype" w:hAnsi="Palatino Linotype" w:cs="Arial"/>
            <w:sz w:val="18"/>
            <w:szCs w:val="18"/>
            <w:lang w:val="en-US"/>
          </w:rPr>
          <w:t>http://www.nutricioncomunitaria.org/es/otras-publicaciones</w:t>
        </w:r>
      </w:hyperlink>
      <w:r w:rsidRPr="00D22830">
        <w:rPr>
          <w:rFonts w:ascii="Palatino Linotype" w:hAnsi="Palatino Linotype" w:cs="Arial"/>
          <w:sz w:val="18"/>
          <w:szCs w:val="18"/>
          <w:lang w:val="en-US"/>
        </w:rPr>
        <w:t xml:space="preserve"> (accessed on 21 December 2020). </w:t>
      </w:r>
    </w:p>
    <w:sectPr w:rsidR="00F052E0" w:rsidRPr="00D22830" w:rsidSect="00D22830">
      <w:type w:val="continuous"/>
      <w:pgSz w:w="11906" w:h="16838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BD6" w:rsidRDefault="00A25BD6" w:rsidP="00D22830">
      <w:pPr>
        <w:spacing w:after="0" w:line="240" w:lineRule="auto"/>
      </w:pPr>
      <w:r>
        <w:separator/>
      </w:r>
    </w:p>
  </w:endnote>
  <w:endnote w:type="continuationSeparator" w:id="0">
    <w:p w:rsidR="00A25BD6" w:rsidRDefault="00A25BD6" w:rsidP="00D2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BD6" w:rsidRDefault="00A25BD6" w:rsidP="00D22830">
      <w:pPr>
        <w:spacing w:after="0" w:line="240" w:lineRule="auto"/>
      </w:pPr>
      <w:r>
        <w:separator/>
      </w:r>
    </w:p>
  </w:footnote>
  <w:footnote w:type="continuationSeparator" w:id="0">
    <w:p w:rsidR="00A25BD6" w:rsidRDefault="00A25BD6" w:rsidP="00D22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F60BF"/>
    <w:multiLevelType w:val="hybridMultilevel"/>
    <w:tmpl w:val="A72003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51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0BD"/>
    <w:rsid w:val="00231930"/>
    <w:rsid w:val="003E271E"/>
    <w:rsid w:val="004670BD"/>
    <w:rsid w:val="006E09FA"/>
    <w:rsid w:val="00A25BD6"/>
    <w:rsid w:val="00BA1A0C"/>
    <w:rsid w:val="00D22830"/>
    <w:rsid w:val="00E07089"/>
    <w:rsid w:val="00F0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1CE76F-E378-4969-BABD-D8D6F7B2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7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31text">
    <w:name w:val="MDPI_3.1_text"/>
    <w:qFormat/>
    <w:rsid w:val="00D22830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81theorem">
    <w:name w:val="MDPI_8.1_theorem"/>
    <w:qFormat/>
    <w:rsid w:val="00D22830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D2283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styleId="ListParagraph">
    <w:name w:val="List Paragraph"/>
    <w:basedOn w:val="Normal"/>
    <w:uiPriority w:val="34"/>
    <w:qFormat/>
    <w:rsid w:val="00F052E0"/>
    <w:pPr>
      <w:spacing w:line="480" w:lineRule="auto"/>
      <w:ind w:left="720"/>
      <w:contextualSpacing/>
    </w:pPr>
    <w:rPr>
      <w:color w:val="00000A"/>
      <w:lang w:val="es-ES"/>
    </w:rPr>
  </w:style>
  <w:style w:type="character" w:styleId="Hyperlink">
    <w:name w:val="Hyperlink"/>
    <w:uiPriority w:val="99"/>
    <w:unhideWhenUsed/>
    <w:rsid w:val="00F052E0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28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830"/>
  </w:style>
  <w:style w:type="paragraph" w:styleId="Footer">
    <w:name w:val="footer"/>
    <w:basedOn w:val="Normal"/>
    <w:link w:val="FooterChar"/>
    <w:uiPriority w:val="99"/>
    <w:unhideWhenUsed/>
    <w:rsid w:val="00D228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830"/>
  </w:style>
  <w:style w:type="paragraph" w:customStyle="1" w:styleId="MDPI11articletype">
    <w:name w:val="MDPI_1.1_article_type"/>
    <w:next w:val="Normal"/>
    <w:qFormat/>
    <w:rsid w:val="00D22830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D2283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D22830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D22830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D22830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D22830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D22830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D22830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D22830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D2283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2heading2">
    <w:name w:val="MDPI_2.2_heading2"/>
    <w:qFormat/>
    <w:rsid w:val="00D2283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D2283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D22830"/>
    <w:pPr>
      <w:ind w:firstLine="0"/>
    </w:pPr>
  </w:style>
  <w:style w:type="paragraph" w:customStyle="1" w:styleId="MDPI33textspaceafter">
    <w:name w:val="MDPI_3.3_text_space_after"/>
    <w:qFormat/>
    <w:rsid w:val="00D2283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D22830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D22830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D22830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D22830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D22830"/>
    <w:pPr>
      <w:numPr>
        <w:numId w:val="3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D2283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D22830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D2283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D2283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D22830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D22830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D22830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D2283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D2283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D22830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D22830"/>
    <w:pPr>
      <w:adjustRightInd w:val="0"/>
      <w:snapToGrid w:val="0"/>
      <w:spacing w:after="0" w:line="240" w:lineRule="atLeast"/>
      <w:ind w:right="113"/>
    </w:pPr>
    <w:rPr>
      <w:rFonts w:ascii="Palatino Linotype" w:eastAsiaTheme="minorEastAsia" w:hAnsi="Palatino Linotype"/>
      <w:sz w:val="14"/>
      <w:lang w:val="en-US" w:eastAsia="zh-CN"/>
    </w:rPr>
  </w:style>
  <w:style w:type="paragraph" w:customStyle="1" w:styleId="MDPI61Supplementary">
    <w:name w:val="MDPI_6.1_Supplementary"/>
    <w:basedOn w:val="Normal"/>
    <w:qFormat/>
    <w:rsid w:val="00D22830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D22830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D2283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D22830"/>
    <w:rPr>
      <w:rFonts w:eastAsia="宋体"/>
      <w:color w:val="auto"/>
      <w:lang w:eastAsia="en-US"/>
    </w:rPr>
  </w:style>
  <w:style w:type="paragraph" w:customStyle="1" w:styleId="MDPI63Notes">
    <w:name w:val="MDPI_6.3_Notes"/>
    <w:qFormat/>
    <w:rsid w:val="00D22830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D22830"/>
  </w:style>
  <w:style w:type="paragraph" w:customStyle="1" w:styleId="MDPI71References">
    <w:name w:val="MDPI_7.1_References"/>
    <w:qFormat/>
    <w:rsid w:val="00D22830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D22830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eastAsia="en-GB"/>
    </w:rPr>
  </w:style>
  <w:style w:type="paragraph" w:customStyle="1" w:styleId="MDPI73CopyrightImage">
    <w:name w:val="MDPI_7.3_CopyrightImage"/>
    <w:rsid w:val="00D2283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D22830"/>
    <w:pPr>
      <w:adjustRightInd w:val="0"/>
      <w:snapToGrid w:val="0"/>
      <w:spacing w:before="240" w:after="240" w:line="200" w:lineRule="atLeast"/>
    </w:pPr>
    <w:rPr>
      <w:rFonts w:ascii="Palatino Linotype" w:eastAsia="宋体" w:hAnsi="Palatino Linotype" w:cs="Times New Roman"/>
      <w:sz w:val="18"/>
      <w:lang w:val="en-US" w:eastAsia="zh-CN"/>
    </w:rPr>
  </w:style>
  <w:style w:type="paragraph" w:customStyle="1" w:styleId="MDPI82proof">
    <w:name w:val="MDPI_8.2_proof"/>
    <w:qFormat/>
    <w:rsid w:val="00D22830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D22830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D22830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D22830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D2283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D22830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D2283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D22830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D22830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text">
    <w:name w:val="MDPI_text"/>
    <w:qFormat/>
    <w:rsid w:val="00D22830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D2283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utricioncomunitaria.org/es/otras-publicacion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433</Words>
  <Characters>2040</Characters>
  <Application>Microsoft Office Word</Application>
  <DocSecurity>0</DocSecurity>
  <Lines>163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5</cp:revision>
  <dcterms:created xsi:type="dcterms:W3CDTF">2020-12-17T18:41:00Z</dcterms:created>
  <dcterms:modified xsi:type="dcterms:W3CDTF">2020-12-30T02:38:00Z</dcterms:modified>
</cp:coreProperties>
</file>