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4D7" w:rsidRPr="003A7EFA" w:rsidRDefault="001424D7" w:rsidP="001424D7">
      <w:pPr>
        <w:pStyle w:val="MDPI12title"/>
        <w:rPr>
          <w:lang w:val="en-GB"/>
        </w:rPr>
      </w:pPr>
      <w:r w:rsidRPr="003A7EFA">
        <w:t>Determinants of diet quality in adolescents: results from the prospective population-based EVA-Tyrol and EVA4YOU cohorts</w:t>
      </w:r>
    </w:p>
    <w:p w:rsidR="001424D7" w:rsidRDefault="001424D7" w:rsidP="001424D7">
      <w:pPr>
        <w:pStyle w:val="MDPI13authornames"/>
      </w:pPr>
      <w:r w:rsidRPr="003A7EFA">
        <w:t xml:space="preserve">Katharina Mueller (1,2), Alex </w:t>
      </w:r>
      <w:proofErr w:type="spellStart"/>
      <w:r w:rsidRPr="003A7EFA">
        <w:t>Messner</w:t>
      </w:r>
      <w:proofErr w:type="spellEnd"/>
      <w:r w:rsidRPr="003A7EFA">
        <w:t xml:space="preserve"> (2), Johannes </w:t>
      </w:r>
      <w:proofErr w:type="spellStart"/>
      <w:r w:rsidRPr="003A7EFA">
        <w:t>Nairz</w:t>
      </w:r>
      <w:proofErr w:type="spellEnd"/>
      <w:r w:rsidRPr="003A7EFA">
        <w:t xml:space="preserve"> (3), Bernhard Winder (4), Anna </w:t>
      </w:r>
      <w:proofErr w:type="spellStart"/>
      <w:r w:rsidRPr="003A7EFA">
        <w:t>Staudt</w:t>
      </w:r>
      <w:proofErr w:type="spellEnd"/>
      <w:r w:rsidRPr="003A7EFA">
        <w:t xml:space="preserve"> (2), Katharina Stock (2), Nina </w:t>
      </w:r>
      <w:proofErr w:type="spellStart"/>
      <w:r w:rsidRPr="003A7EFA">
        <w:t>Gande</w:t>
      </w:r>
      <w:proofErr w:type="spellEnd"/>
      <w:r w:rsidRPr="003A7EFA">
        <w:t xml:space="preserve"> (2), Christoph </w:t>
      </w:r>
      <w:proofErr w:type="spellStart"/>
      <w:r w:rsidRPr="003A7EFA">
        <w:t>Hochmayr</w:t>
      </w:r>
      <w:proofErr w:type="spellEnd"/>
      <w:r w:rsidRPr="003A7EFA">
        <w:t xml:space="preserve"> (2), Benoit </w:t>
      </w:r>
      <w:proofErr w:type="spellStart"/>
      <w:r w:rsidRPr="003A7EFA">
        <w:t>Bernar</w:t>
      </w:r>
      <w:proofErr w:type="spellEnd"/>
      <w:r w:rsidRPr="003A7EFA">
        <w:t xml:space="preserve"> (5), </w:t>
      </w:r>
      <w:proofErr w:type="spellStart"/>
      <w:r w:rsidRPr="003A7EFA">
        <w:t>Raimund</w:t>
      </w:r>
      <w:proofErr w:type="spellEnd"/>
      <w:r w:rsidRPr="003A7EFA">
        <w:t xml:space="preserve"> </w:t>
      </w:r>
      <w:proofErr w:type="spellStart"/>
      <w:r w:rsidRPr="003A7EFA">
        <w:t>Pechlaner</w:t>
      </w:r>
      <w:proofErr w:type="spellEnd"/>
      <w:r w:rsidRPr="003A7EFA">
        <w:t xml:space="preserve"> (6), Andrea </w:t>
      </w:r>
      <w:proofErr w:type="spellStart"/>
      <w:r w:rsidRPr="003A7EFA">
        <w:t>Griesmacher</w:t>
      </w:r>
      <w:proofErr w:type="spellEnd"/>
      <w:r w:rsidRPr="003A7EFA">
        <w:t xml:space="preserve"> (7), Alexander E Egger (8), Ralf Geiger (3), Ursula </w:t>
      </w:r>
      <w:proofErr w:type="spellStart"/>
      <w:r w:rsidRPr="003A7EFA">
        <w:t>Kiechl-Kohlendorfer</w:t>
      </w:r>
      <w:proofErr w:type="spellEnd"/>
      <w:r w:rsidRPr="003A7EFA">
        <w:t xml:space="preserve"> (2), Michael </w:t>
      </w:r>
      <w:proofErr w:type="spellStart"/>
      <w:r>
        <w:t>Knoflach</w:t>
      </w:r>
      <w:proofErr w:type="spellEnd"/>
      <w:r>
        <w:t>*(1,6</w:t>
      </w:r>
      <w:r w:rsidRPr="003A7EFA">
        <w:t xml:space="preserve">), Sophia J </w:t>
      </w:r>
      <w:proofErr w:type="spellStart"/>
      <w:r w:rsidRPr="003A7EFA">
        <w:t>Kiechl</w:t>
      </w:r>
      <w:proofErr w:type="spellEnd"/>
      <w:r w:rsidRPr="003A7EFA">
        <w:t>*(1,9) for the EVA-Tyrol and EVA4YOU Study groups.</w:t>
      </w:r>
    </w:p>
    <w:p w:rsidR="001424D7" w:rsidRDefault="001424D7" w:rsidP="001424D7">
      <w:pPr>
        <w:rPr>
          <w:rFonts w:cstheme="minorHAnsi"/>
          <w:b/>
          <w:sz w:val="24"/>
          <w:szCs w:val="24"/>
          <w:lang w:val="en-GB"/>
        </w:rPr>
      </w:pPr>
      <w:r w:rsidRPr="00320178">
        <w:rPr>
          <w:rFonts w:cstheme="minorHAnsi"/>
          <w:b/>
          <w:sz w:val="24"/>
          <w:szCs w:val="24"/>
          <w:lang w:val="en-GB"/>
        </w:rPr>
        <w:t>Supplements</w:t>
      </w:r>
    </w:p>
    <w:p w:rsidR="001424D7" w:rsidRPr="00320178" w:rsidRDefault="001424D7" w:rsidP="001424D7">
      <w:pPr>
        <w:rPr>
          <w:rFonts w:cstheme="minorHAnsi"/>
          <w:i/>
          <w:lang w:val="en-GB"/>
        </w:rPr>
      </w:pPr>
      <w:r w:rsidRPr="00320178">
        <w:rPr>
          <w:rFonts w:cstheme="minorHAnsi"/>
          <w:i/>
          <w:lang w:val="en-GB"/>
        </w:rPr>
        <w:t>Assessment of dietary scores</w:t>
      </w:r>
    </w:p>
    <w:p w:rsidR="001424D7" w:rsidRPr="00256A84" w:rsidRDefault="001424D7" w:rsidP="001424D7">
      <w:pPr>
        <w:rPr>
          <w:rFonts w:cstheme="minorHAnsi"/>
          <w:sz w:val="16"/>
          <w:szCs w:val="16"/>
          <w:lang w:val="en-GB"/>
        </w:rPr>
      </w:pPr>
      <w:r w:rsidRPr="00256A84">
        <w:rPr>
          <w:rFonts w:cstheme="minorHAnsi"/>
          <w:b/>
          <w:sz w:val="16"/>
          <w:szCs w:val="16"/>
          <w:lang w:val="en-GB"/>
        </w:rPr>
        <w:t>Table S1:</w:t>
      </w:r>
      <w:r w:rsidRPr="00256A84">
        <w:rPr>
          <w:rFonts w:cstheme="minorHAnsi"/>
          <w:sz w:val="16"/>
          <w:szCs w:val="16"/>
          <w:lang w:val="en-GB"/>
        </w:rPr>
        <w:t xml:space="preserve"> Alternate Healthy Eating Index (AHEI-2010) compone</w:t>
      </w:r>
      <w:r>
        <w:rPr>
          <w:rFonts w:cstheme="minorHAnsi"/>
          <w:sz w:val="16"/>
          <w:szCs w:val="16"/>
          <w:lang w:val="en-GB"/>
        </w:rPr>
        <w:t>nts and criteria for scoring [1</w:t>
      </w:r>
      <w:r w:rsidRPr="00256A84">
        <w:rPr>
          <w:rFonts w:cstheme="minorHAnsi"/>
          <w:sz w:val="16"/>
          <w:szCs w:val="16"/>
          <w:lang w:val="en-GB"/>
        </w:rPr>
        <w:t>]</w:t>
      </w:r>
    </w:p>
    <w:tbl>
      <w:tblPr>
        <w:tblStyle w:val="Tabellenraster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2929"/>
        <w:gridCol w:w="3260"/>
      </w:tblGrid>
      <w:tr w:rsidR="001424D7" w:rsidRPr="00B6340B" w:rsidTr="00F836BA">
        <w:tc>
          <w:tcPr>
            <w:tcW w:w="3020" w:type="dxa"/>
            <w:tcBorders>
              <w:top w:val="single" w:sz="12" w:space="0" w:color="auto"/>
              <w:bottom w:val="single" w:sz="8" w:space="0" w:color="auto"/>
            </w:tcBorders>
          </w:tcPr>
          <w:p w:rsidR="001424D7" w:rsidRPr="00256A84" w:rsidRDefault="001424D7" w:rsidP="00F836BA">
            <w:pPr>
              <w:rPr>
                <w:rFonts w:cstheme="minorHAnsi"/>
                <w:b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b/>
                <w:sz w:val="16"/>
                <w:szCs w:val="16"/>
                <w:lang w:val="en-GB"/>
              </w:rPr>
              <w:t>Component</w:t>
            </w:r>
          </w:p>
        </w:tc>
        <w:tc>
          <w:tcPr>
            <w:tcW w:w="2929" w:type="dxa"/>
            <w:tcBorders>
              <w:top w:val="single" w:sz="12" w:space="0" w:color="auto"/>
              <w:bottom w:val="single" w:sz="8" w:space="0" w:color="auto"/>
            </w:tcBorders>
          </w:tcPr>
          <w:p w:rsidR="001424D7" w:rsidRPr="00256A84" w:rsidRDefault="001424D7" w:rsidP="00F836BA">
            <w:pPr>
              <w:rPr>
                <w:rFonts w:cstheme="minorHAnsi"/>
                <w:b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b/>
                <w:sz w:val="16"/>
                <w:szCs w:val="16"/>
                <w:lang w:val="en-GB"/>
              </w:rPr>
              <w:t>Criteria for minimum score 0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8" w:space="0" w:color="auto"/>
            </w:tcBorders>
          </w:tcPr>
          <w:p w:rsidR="001424D7" w:rsidRPr="00256A84" w:rsidRDefault="001424D7" w:rsidP="00F836BA">
            <w:pPr>
              <w:rPr>
                <w:rFonts w:cstheme="minorHAnsi"/>
                <w:b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b/>
                <w:sz w:val="16"/>
                <w:szCs w:val="16"/>
                <w:lang w:val="en-GB"/>
              </w:rPr>
              <w:t>Criteria for maximum score of 10</w:t>
            </w:r>
          </w:p>
        </w:tc>
      </w:tr>
      <w:tr w:rsidR="001424D7" w:rsidRPr="00256A84" w:rsidTr="00F836BA">
        <w:tc>
          <w:tcPr>
            <w:tcW w:w="3020" w:type="dxa"/>
            <w:tcBorders>
              <w:top w:val="single" w:sz="8" w:space="0" w:color="auto"/>
            </w:tcBorders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Whole fruit</w:t>
            </w:r>
          </w:p>
        </w:tc>
        <w:tc>
          <w:tcPr>
            <w:tcW w:w="2929" w:type="dxa"/>
            <w:tcBorders>
              <w:top w:val="single" w:sz="8" w:space="0" w:color="auto"/>
            </w:tcBorders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0</w:t>
            </w:r>
          </w:p>
        </w:tc>
        <w:tc>
          <w:tcPr>
            <w:tcW w:w="3260" w:type="dxa"/>
            <w:tcBorders>
              <w:top w:val="single" w:sz="8" w:space="0" w:color="auto"/>
            </w:tcBorders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≥ 4 servings/d</w:t>
            </w:r>
          </w:p>
        </w:tc>
      </w:tr>
      <w:tr w:rsidR="001424D7" w:rsidRPr="00256A84" w:rsidTr="00F836BA">
        <w:tc>
          <w:tcPr>
            <w:tcW w:w="3020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Vegetable (excluding potatoes)</w:t>
            </w:r>
          </w:p>
        </w:tc>
        <w:tc>
          <w:tcPr>
            <w:tcW w:w="2929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0</w:t>
            </w:r>
          </w:p>
        </w:tc>
        <w:tc>
          <w:tcPr>
            <w:tcW w:w="3260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≥ 5 servings/d</w:t>
            </w:r>
          </w:p>
        </w:tc>
      </w:tr>
      <w:tr w:rsidR="001424D7" w:rsidRPr="00B6340B" w:rsidTr="00F836BA">
        <w:tc>
          <w:tcPr>
            <w:tcW w:w="3020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Whole grains</w:t>
            </w:r>
          </w:p>
        </w:tc>
        <w:tc>
          <w:tcPr>
            <w:tcW w:w="2929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0</w:t>
            </w:r>
          </w:p>
        </w:tc>
        <w:tc>
          <w:tcPr>
            <w:tcW w:w="3260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Female: ≥ 75 g/d</w:t>
            </w:r>
          </w:p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Male: ≥ 90 g/d</w:t>
            </w:r>
          </w:p>
        </w:tc>
      </w:tr>
      <w:tr w:rsidR="001424D7" w:rsidRPr="00256A84" w:rsidTr="00F836BA">
        <w:tc>
          <w:tcPr>
            <w:tcW w:w="3020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Red and processed meat</w:t>
            </w:r>
          </w:p>
        </w:tc>
        <w:tc>
          <w:tcPr>
            <w:tcW w:w="2929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≥ 1.5 servings/day</w:t>
            </w:r>
          </w:p>
        </w:tc>
        <w:tc>
          <w:tcPr>
            <w:tcW w:w="3260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0</w:t>
            </w:r>
          </w:p>
        </w:tc>
      </w:tr>
      <w:tr w:rsidR="001424D7" w:rsidRPr="00256A84" w:rsidTr="00F836BA">
        <w:tc>
          <w:tcPr>
            <w:tcW w:w="3020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Nuts and legumes</w:t>
            </w:r>
          </w:p>
        </w:tc>
        <w:tc>
          <w:tcPr>
            <w:tcW w:w="2929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0</w:t>
            </w:r>
          </w:p>
        </w:tc>
        <w:tc>
          <w:tcPr>
            <w:tcW w:w="3260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≥ 1 serving/d</w:t>
            </w:r>
          </w:p>
        </w:tc>
      </w:tr>
      <w:tr w:rsidR="001424D7" w:rsidRPr="00256A84" w:rsidTr="00F836BA">
        <w:tc>
          <w:tcPr>
            <w:tcW w:w="3020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Long-chain (ω-3) fats (EPA+DHA)</w:t>
            </w:r>
          </w:p>
        </w:tc>
        <w:tc>
          <w:tcPr>
            <w:tcW w:w="2929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0</w:t>
            </w:r>
          </w:p>
        </w:tc>
        <w:tc>
          <w:tcPr>
            <w:tcW w:w="3260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≥ 250 mg/d</w:t>
            </w:r>
          </w:p>
        </w:tc>
      </w:tr>
      <w:tr w:rsidR="001424D7" w:rsidRPr="00256A84" w:rsidTr="00F836BA">
        <w:tc>
          <w:tcPr>
            <w:tcW w:w="3020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Polyunsaturated fatty acids</w:t>
            </w:r>
          </w:p>
        </w:tc>
        <w:tc>
          <w:tcPr>
            <w:tcW w:w="2929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≤ 2 % of energy</w:t>
            </w:r>
          </w:p>
        </w:tc>
        <w:tc>
          <w:tcPr>
            <w:tcW w:w="3260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≥ 10 % of energy</w:t>
            </w:r>
          </w:p>
        </w:tc>
      </w:tr>
      <w:tr w:rsidR="001424D7" w:rsidRPr="00256A84" w:rsidTr="00F836BA">
        <w:tc>
          <w:tcPr>
            <w:tcW w:w="3020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Trans fats</w:t>
            </w:r>
          </w:p>
        </w:tc>
        <w:tc>
          <w:tcPr>
            <w:tcW w:w="2929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≥ 4 % of energy</w:t>
            </w:r>
          </w:p>
        </w:tc>
        <w:tc>
          <w:tcPr>
            <w:tcW w:w="3260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≤ 0.5 % of energy</w:t>
            </w:r>
          </w:p>
        </w:tc>
      </w:tr>
      <w:tr w:rsidR="001424D7" w:rsidRPr="00256A84" w:rsidTr="00F836BA">
        <w:tc>
          <w:tcPr>
            <w:tcW w:w="3020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SSBs and fruit juice</w:t>
            </w:r>
          </w:p>
        </w:tc>
        <w:tc>
          <w:tcPr>
            <w:tcW w:w="2929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≥ 1 serving/d</w:t>
            </w:r>
          </w:p>
        </w:tc>
        <w:tc>
          <w:tcPr>
            <w:tcW w:w="3260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0</w:t>
            </w:r>
          </w:p>
        </w:tc>
      </w:tr>
      <w:tr w:rsidR="001424D7" w:rsidRPr="00B6340B" w:rsidTr="00F836BA">
        <w:tc>
          <w:tcPr>
            <w:tcW w:w="3020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Sodium</w:t>
            </w:r>
          </w:p>
        </w:tc>
        <w:tc>
          <w:tcPr>
            <w:tcW w:w="2929" w:type="dxa"/>
          </w:tcPr>
          <w:p w:rsidR="001424D7" w:rsidRPr="00256A84" w:rsidRDefault="001424D7" w:rsidP="00F836BA">
            <w:pPr>
              <w:rPr>
                <w:rFonts w:cstheme="minorHAnsi"/>
                <w:i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i/>
                <w:sz w:val="16"/>
                <w:szCs w:val="16"/>
                <w:lang w:val="en-GB"/>
              </w:rPr>
              <w:t>Highest decile</w:t>
            </w:r>
          </w:p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Female: ≥ 3337 mg/d</w:t>
            </w:r>
          </w:p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Male: ≥ 5271 mg/d</w:t>
            </w:r>
          </w:p>
        </w:tc>
        <w:tc>
          <w:tcPr>
            <w:tcW w:w="3260" w:type="dxa"/>
          </w:tcPr>
          <w:p w:rsidR="001424D7" w:rsidRPr="00256A84" w:rsidRDefault="001424D7" w:rsidP="00F836BA">
            <w:pPr>
              <w:rPr>
                <w:rFonts w:cstheme="minorHAnsi"/>
                <w:i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i/>
                <w:sz w:val="16"/>
                <w:szCs w:val="16"/>
                <w:lang w:val="en-GB"/>
              </w:rPr>
              <w:t>Lowest decile</w:t>
            </w:r>
          </w:p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Female: ≤ 1112 mg/d</w:t>
            </w:r>
          </w:p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Male: ≤ 1612 mg/d</w:t>
            </w:r>
          </w:p>
        </w:tc>
      </w:tr>
      <w:tr w:rsidR="001424D7" w:rsidRPr="00256A84" w:rsidTr="00F836BA">
        <w:tc>
          <w:tcPr>
            <w:tcW w:w="3020" w:type="dxa"/>
            <w:tcBorders>
              <w:bottom w:val="single" w:sz="12" w:space="0" w:color="auto"/>
            </w:tcBorders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2929" w:type="dxa"/>
            <w:tcBorders>
              <w:bottom w:val="single" w:sz="12" w:space="0" w:color="auto"/>
            </w:tcBorders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0</w:t>
            </w:r>
          </w:p>
        </w:tc>
        <w:tc>
          <w:tcPr>
            <w:tcW w:w="3260" w:type="dxa"/>
            <w:tcBorders>
              <w:bottom w:val="single" w:sz="12" w:space="0" w:color="auto"/>
            </w:tcBorders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100</w:t>
            </w:r>
          </w:p>
        </w:tc>
      </w:tr>
    </w:tbl>
    <w:p w:rsidR="001424D7" w:rsidRPr="00256A84" w:rsidRDefault="001424D7" w:rsidP="001424D7">
      <w:pPr>
        <w:rPr>
          <w:rFonts w:cstheme="minorHAnsi"/>
          <w:sz w:val="16"/>
          <w:szCs w:val="16"/>
          <w:lang w:val="en-GB"/>
        </w:rPr>
      </w:pPr>
      <w:r w:rsidRPr="00256A84">
        <w:rPr>
          <w:rFonts w:cstheme="minorHAnsi"/>
          <w:sz w:val="16"/>
          <w:szCs w:val="16"/>
          <w:lang w:val="en-GB"/>
        </w:rPr>
        <w:t>EPA, eicosapentaenoic acids; DHA, docosahexaenoic acids; SSB, Sugar-sweetened beverage.</w:t>
      </w:r>
    </w:p>
    <w:p w:rsidR="001424D7" w:rsidRPr="00256A84" w:rsidRDefault="001424D7" w:rsidP="001424D7">
      <w:pPr>
        <w:rPr>
          <w:rFonts w:cstheme="minorHAnsi"/>
          <w:sz w:val="16"/>
          <w:szCs w:val="16"/>
          <w:lang w:val="en-GB"/>
        </w:rPr>
      </w:pPr>
    </w:p>
    <w:p w:rsidR="001424D7" w:rsidRPr="00256A84" w:rsidRDefault="001424D7" w:rsidP="001424D7">
      <w:pPr>
        <w:rPr>
          <w:rFonts w:cstheme="minorHAnsi"/>
          <w:sz w:val="16"/>
          <w:szCs w:val="16"/>
          <w:lang w:val="en-GB"/>
        </w:rPr>
      </w:pPr>
      <w:r w:rsidRPr="00256A84">
        <w:rPr>
          <w:rFonts w:cstheme="minorHAnsi"/>
          <w:b/>
          <w:sz w:val="16"/>
          <w:szCs w:val="16"/>
          <w:lang w:val="en-GB"/>
        </w:rPr>
        <w:t>Table S2:</w:t>
      </w:r>
      <w:r w:rsidRPr="00256A84">
        <w:rPr>
          <w:rFonts w:cstheme="minorHAnsi"/>
          <w:sz w:val="16"/>
          <w:szCs w:val="16"/>
          <w:lang w:val="en-GB"/>
        </w:rPr>
        <w:t xml:space="preserve"> Dietary Approaches to Stop Hypertension (DASH)-score compone</w:t>
      </w:r>
      <w:r>
        <w:rPr>
          <w:rFonts w:cstheme="minorHAnsi"/>
          <w:sz w:val="16"/>
          <w:szCs w:val="16"/>
          <w:lang w:val="en-GB"/>
        </w:rPr>
        <w:t>nts and criteria for scoring [2</w:t>
      </w:r>
      <w:r w:rsidRPr="00256A84">
        <w:rPr>
          <w:rFonts w:cstheme="minorHAnsi"/>
          <w:sz w:val="16"/>
          <w:szCs w:val="16"/>
          <w:lang w:val="en-GB"/>
        </w:rPr>
        <w:t>]</w:t>
      </w:r>
    </w:p>
    <w:tbl>
      <w:tblPr>
        <w:tblStyle w:val="Tabellenraster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168"/>
      </w:tblGrid>
      <w:tr w:rsidR="001424D7" w:rsidRPr="00256A84" w:rsidTr="00F836BA">
        <w:tc>
          <w:tcPr>
            <w:tcW w:w="3020" w:type="dxa"/>
            <w:tcBorders>
              <w:top w:val="single" w:sz="12" w:space="0" w:color="auto"/>
              <w:bottom w:val="single" w:sz="8" w:space="0" w:color="auto"/>
            </w:tcBorders>
          </w:tcPr>
          <w:p w:rsidR="001424D7" w:rsidRPr="00256A84" w:rsidRDefault="001424D7" w:rsidP="00F836BA">
            <w:pPr>
              <w:rPr>
                <w:rFonts w:cstheme="minorHAnsi"/>
                <w:b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b/>
                <w:sz w:val="16"/>
                <w:szCs w:val="16"/>
                <w:lang w:val="en-GB"/>
              </w:rPr>
              <w:t>Component</w:t>
            </w:r>
          </w:p>
        </w:tc>
        <w:tc>
          <w:tcPr>
            <w:tcW w:w="3021" w:type="dxa"/>
            <w:tcBorders>
              <w:top w:val="single" w:sz="12" w:space="0" w:color="auto"/>
              <w:bottom w:val="single" w:sz="8" w:space="0" w:color="auto"/>
            </w:tcBorders>
          </w:tcPr>
          <w:p w:rsidR="001424D7" w:rsidRPr="00256A84" w:rsidRDefault="001424D7" w:rsidP="00F836BA">
            <w:pPr>
              <w:rPr>
                <w:rFonts w:cstheme="minorHAnsi"/>
                <w:b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b/>
                <w:sz w:val="16"/>
                <w:szCs w:val="16"/>
                <w:lang w:val="en-GB"/>
              </w:rPr>
              <w:t>Criteria for minimum score 1</w:t>
            </w:r>
          </w:p>
          <w:p w:rsidR="001424D7" w:rsidRPr="00256A84" w:rsidRDefault="001424D7" w:rsidP="00F836BA">
            <w:pPr>
              <w:rPr>
                <w:rFonts w:cstheme="minorHAnsi"/>
                <w:b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b/>
                <w:sz w:val="16"/>
                <w:szCs w:val="16"/>
                <w:lang w:val="en-GB"/>
              </w:rPr>
              <w:t>Servings/d</w:t>
            </w:r>
          </w:p>
        </w:tc>
        <w:tc>
          <w:tcPr>
            <w:tcW w:w="3168" w:type="dxa"/>
            <w:tcBorders>
              <w:top w:val="single" w:sz="12" w:space="0" w:color="auto"/>
              <w:bottom w:val="single" w:sz="8" w:space="0" w:color="auto"/>
            </w:tcBorders>
          </w:tcPr>
          <w:p w:rsidR="001424D7" w:rsidRPr="00256A84" w:rsidRDefault="001424D7" w:rsidP="00F836BA">
            <w:pPr>
              <w:rPr>
                <w:rFonts w:cstheme="minorHAnsi"/>
                <w:b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b/>
                <w:sz w:val="16"/>
                <w:szCs w:val="16"/>
                <w:lang w:val="en-GB"/>
              </w:rPr>
              <w:t>Criteria for maximum score of 5</w:t>
            </w:r>
          </w:p>
          <w:p w:rsidR="001424D7" w:rsidRPr="00256A84" w:rsidRDefault="001424D7" w:rsidP="00F836BA">
            <w:pPr>
              <w:rPr>
                <w:rFonts w:cstheme="minorHAnsi"/>
                <w:b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b/>
                <w:sz w:val="16"/>
                <w:szCs w:val="16"/>
                <w:lang w:val="en-GB"/>
              </w:rPr>
              <w:t>Servings/d</w:t>
            </w:r>
          </w:p>
        </w:tc>
      </w:tr>
      <w:tr w:rsidR="001424D7" w:rsidRPr="00256A84" w:rsidTr="00F836BA">
        <w:tc>
          <w:tcPr>
            <w:tcW w:w="3020" w:type="dxa"/>
            <w:tcBorders>
              <w:top w:val="single" w:sz="8" w:space="0" w:color="auto"/>
            </w:tcBorders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Whole fruit and fruit juices</w:t>
            </w:r>
          </w:p>
        </w:tc>
        <w:tc>
          <w:tcPr>
            <w:tcW w:w="3021" w:type="dxa"/>
            <w:tcBorders>
              <w:top w:val="single" w:sz="8" w:space="0" w:color="auto"/>
            </w:tcBorders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0.7</w:t>
            </w:r>
          </w:p>
        </w:tc>
        <w:tc>
          <w:tcPr>
            <w:tcW w:w="3168" w:type="dxa"/>
            <w:tcBorders>
              <w:top w:val="single" w:sz="8" w:space="0" w:color="auto"/>
            </w:tcBorders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4.1</w:t>
            </w:r>
          </w:p>
        </w:tc>
      </w:tr>
      <w:tr w:rsidR="001424D7" w:rsidRPr="00256A84" w:rsidTr="00F836BA">
        <w:tc>
          <w:tcPr>
            <w:tcW w:w="3020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Vegetable (excluding potatoes) and vegetable juices</w:t>
            </w:r>
          </w:p>
        </w:tc>
        <w:tc>
          <w:tcPr>
            <w:tcW w:w="3021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1.1</w:t>
            </w:r>
          </w:p>
        </w:tc>
        <w:tc>
          <w:tcPr>
            <w:tcW w:w="3168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4.6</w:t>
            </w:r>
          </w:p>
        </w:tc>
      </w:tr>
      <w:tr w:rsidR="001424D7" w:rsidRPr="00256A84" w:rsidTr="00F836BA">
        <w:tc>
          <w:tcPr>
            <w:tcW w:w="3020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Whole grains</w:t>
            </w:r>
          </w:p>
        </w:tc>
        <w:tc>
          <w:tcPr>
            <w:tcW w:w="3021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0.1</w:t>
            </w:r>
          </w:p>
        </w:tc>
        <w:tc>
          <w:tcPr>
            <w:tcW w:w="3168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2.4</w:t>
            </w:r>
          </w:p>
        </w:tc>
      </w:tr>
      <w:tr w:rsidR="001424D7" w:rsidRPr="00256A84" w:rsidTr="00F836BA">
        <w:tc>
          <w:tcPr>
            <w:tcW w:w="3020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Nuts and legumes</w:t>
            </w:r>
          </w:p>
        </w:tc>
        <w:tc>
          <w:tcPr>
            <w:tcW w:w="3021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0.3</w:t>
            </w:r>
          </w:p>
        </w:tc>
        <w:tc>
          <w:tcPr>
            <w:tcW w:w="3168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1.5</w:t>
            </w:r>
          </w:p>
        </w:tc>
      </w:tr>
      <w:tr w:rsidR="001424D7" w:rsidRPr="00256A84" w:rsidTr="00F836BA">
        <w:tc>
          <w:tcPr>
            <w:tcW w:w="3020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Low-fat dairy</w:t>
            </w:r>
          </w:p>
        </w:tc>
        <w:tc>
          <w:tcPr>
            <w:tcW w:w="3021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0.1</w:t>
            </w:r>
          </w:p>
        </w:tc>
        <w:tc>
          <w:tcPr>
            <w:tcW w:w="3168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2.3</w:t>
            </w:r>
          </w:p>
        </w:tc>
      </w:tr>
      <w:tr w:rsidR="001424D7" w:rsidRPr="00256A84" w:rsidTr="00F836BA">
        <w:tc>
          <w:tcPr>
            <w:tcW w:w="3020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Sodium</w:t>
            </w:r>
          </w:p>
        </w:tc>
        <w:tc>
          <w:tcPr>
            <w:tcW w:w="3021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2676 mg</w:t>
            </w:r>
          </w:p>
        </w:tc>
        <w:tc>
          <w:tcPr>
            <w:tcW w:w="3168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1041 mg</w:t>
            </w:r>
          </w:p>
        </w:tc>
      </w:tr>
      <w:tr w:rsidR="001424D7" w:rsidRPr="00256A84" w:rsidTr="00F836BA">
        <w:tc>
          <w:tcPr>
            <w:tcW w:w="3020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Red and processed meat</w:t>
            </w:r>
          </w:p>
        </w:tc>
        <w:tc>
          <w:tcPr>
            <w:tcW w:w="3021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1.8</w:t>
            </w:r>
          </w:p>
        </w:tc>
        <w:tc>
          <w:tcPr>
            <w:tcW w:w="3168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0.4</w:t>
            </w:r>
          </w:p>
        </w:tc>
      </w:tr>
      <w:tr w:rsidR="001424D7" w:rsidRPr="00256A84" w:rsidTr="00F836BA">
        <w:tc>
          <w:tcPr>
            <w:tcW w:w="3020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Sweetened beverages</w:t>
            </w:r>
          </w:p>
        </w:tc>
        <w:tc>
          <w:tcPr>
            <w:tcW w:w="3021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1.2</w:t>
            </w:r>
          </w:p>
        </w:tc>
        <w:tc>
          <w:tcPr>
            <w:tcW w:w="3168" w:type="dxa"/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0</w:t>
            </w:r>
          </w:p>
        </w:tc>
      </w:tr>
      <w:tr w:rsidR="001424D7" w:rsidRPr="00256A84" w:rsidTr="00F836BA">
        <w:tc>
          <w:tcPr>
            <w:tcW w:w="3020" w:type="dxa"/>
            <w:tcBorders>
              <w:bottom w:val="single" w:sz="12" w:space="0" w:color="auto"/>
            </w:tcBorders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3021" w:type="dxa"/>
            <w:tcBorders>
              <w:bottom w:val="single" w:sz="12" w:space="0" w:color="auto"/>
            </w:tcBorders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8</w:t>
            </w:r>
          </w:p>
        </w:tc>
        <w:tc>
          <w:tcPr>
            <w:tcW w:w="3168" w:type="dxa"/>
            <w:tcBorders>
              <w:bottom w:val="single" w:sz="12" w:space="0" w:color="auto"/>
            </w:tcBorders>
          </w:tcPr>
          <w:p w:rsidR="001424D7" w:rsidRPr="00256A84" w:rsidRDefault="001424D7" w:rsidP="00F836BA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56A84">
              <w:rPr>
                <w:rFonts w:cstheme="minorHAnsi"/>
                <w:sz w:val="16"/>
                <w:szCs w:val="16"/>
                <w:lang w:val="en-GB"/>
              </w:rPr>
              <w:t>40</w:t>
            </w:r>
          </w:p>
        </w:tc>
      </w:tr>
    </w:tbl>
    <w:p w:rsidR="001424D7" w:rsidRDefault="001424D7" w:rsidP="001424D7">
      <w:pPr>
        <w:rPr>
          <w:rFonts w:cstheme="minorHAnsi"/>
          <w:sz w:val="24"/>
          <w:szCs w:val="24"/>
          <w:lang w:val="en-GB"/>
        </w:rPr>
      </w:pPr>
    </w:p>
    <w:p w:rsidR="001424D7" w:rsidRPr="00434FDD" w:rsidRDefault="001424D7" w:rsidP="001424D7">
      <w:pPr>
        <w:pageBreakBefore/>
        <w:rPr>
          <w:rFonts w:cstheme="minorHAnsi"/>
          <w:i/>
          <w:lang w:val="en-GB"/>
        </w:rPr>
      </w:pPr>
      <w:r w:rsidRPr="00434FDD">
        <w:rPr>
          <w:rFonts w:cstheme="minorHAnsi"/>
          <w:i/>
          <w:lang w:val="en-GB"/>
        </w:rPr>
        <w:lastRenderedPageBreak/>
        <w:t>Dietary scor</w:t>
      </w:r>
      <w:bookmarkStart w:id="0" w:name="_GoBack"/>
      <w:bookmarkEnd w:id="0"/>
      <w:r w:rsidRPr="00434FDD">
        <w:rPr>
          <w:rFonts w:cstheme="minorHAnsi"/>
          <w:i/>
          <w:lang w:val="en-GB"/>
        </w:rPr>
        <w:t>es and scoring in various categories</w:t>
      </w:r>
    </w:p>
    <w:p w:rsidR="001424D7" w:rsidRPr="00434FDD" w:rsidRDefault="001424D7" w:rsidP="001424D7">
      <w:pPr>
        <w:rPr>
          <w:rFonts w:cstheme="minorHAnsi"/>
          <w:sz w:val="16"/>
          <w:szCs w:val="16"/>
          <w:lang w:val="en-GB"/>
        </w:rPr>
      </w:pPr>
      <w:r w:rsidRPr="00434FDD">
        <w:rPr>
          <w:rFonts w:cstheme="minorHAnsi"/>
          <w:b/>
          <w:sz w:val="16"/>
          <w:szCs w:val="16"/>
          <w:lang w:val="en-GB"/>
        </w:rPr>
        <w:t>Figure S1</w:t>
      </w:r>
      <w:r w:rsidRPr="00434FDD">
        <w:rPr>
          <w:rFonts w:cstheme="minorHAnsi"/>
          <w:sz w:val="16"/>
          <w:szCs w:val="16"/>
          <w:lang w:val="en-GB"/>
        </w:rPr>
        <w:t>: AHEI-2010 components and percentage of participants scoring in various categories</w:t>
      </w:r>
    </w:p>
    <w:p w:rsidR="001424D7" w:rsidRDefault="001424D7" w:rsidP="001424D7">
      <w:pPr>
        <w:rPr>
          <w:rFonts w:cstheme="minorHAnsi"/>
          <w:b/>
          <w:lang w:val="en-GB"/>
        </w:rPr>
      </w:pPr>
      <w:r>
        <w:rPr>
          <w:rFonts w:cstheme="minorHAnsi"/>
          <w:b/>
          <w:lang w:val="de-DE" w:eastAsia="de-DE"/>
        </w:rPr>
        <w:drawing>
          <wp:inline distT="0" distB="0" distL="0" distR="0" wp14:anchorId="37C04A70" wp14:editId="66F477C9">
            <wp:extent cx="6242685" cy="2822575"/>
            <wp:effectExtent l="0" t="0" r="5715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685" cy="282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24D7" w:rsidRDefault="001424D7" w:rsidP="001424D7">
      <w:pPr>
        <w:spacing w:after="240"/>
        <w:jc w:val="left"/>
        <w:rPr>
          <w:rFonts w:eastAsia="Calibri" w:cs="Calibri"/>
          <w:noProof w:val="0"/>
          <w:color w:val="auto"/>
          <w:sz w:val="16"/>
          <w:szCs w:val="16"/>
          <w:lang w:val="en-GB" w:eastAsia="en-US"/>
        </w:rPr>
      </w:pPr>
      <w:r w:rsidRPr="00434FDD">
        <w:rPr>
          <w:rFonts w:eastAsia="Calibri" w:cs="Calibri"/>
          <w:noProof w:val="0"/>
          <w:color w:val="auto"/>
          <w:sz w:val="16"/>
          <w:szCs w:val="16"/>
          <w:lang w:val="en-GB" w:eastAsia="en-US"/>
        </w:rPr>
        <w:t>Recommendations not met, 0 points; low diet quality, 1-3 points; medium diet quality, 4-6 points; high diet quality, 7</w:t>
      </w:r>
      <w:r>
        <w:rPr>
          <w:rFonts w:eastAsia="Calibri" w:cs="Calibri"/>
          <w:noProof w:val="0"/>
          <w:color w:val="auto"/>
          <w:sz w:val="16"/>
          <w:szCs w:val="16"/>
          <w:lang w:val="en-GB" w:eastAsia="en-US"/>
        </w:rPr>
        <w:t xml:space="preserve">-9 points, recommendations met, </w:t>
      </w:r>
      <w:r w:rsidRPr="00434FDD">
        <w:rPr>
          <w:rFonts w:eastAsia="Calibri" w:cs="Calibri"/>
          <w:noProof w:val="0"/>
          <w:color w:val="auto"/>
          <w:sz w:val="16"/>
          <w:szCs w:val="16"/>
          <w:lang w:val="en-GB" w:eastAsia="en-US"/>
        </w:rPr>
        <w:t>10 points.</w:t>
      </w:r>
    </w:p>
    <w:p w:rsidR="001424D7" w:rsidRDefault="001424D7" w:rsidP="001424D7">
      <w:pPr>
        <w:spacing w:after="240"/>
        <w:jc w:val="left"/>
        <w:rPr>
          <w:rFonts w:eastAsia="Calibri" w:cs="Calibri"/>
          <w:b/>
          <w:noProof w:val="0"/>
          <w:color w:val="auto"/>
          <w:sz w:val="16"/>
          <w:szCs w:val="16"/>
          <w:lang w:val="en-GB" w:eastAsia="en-US"/>
        </w:rPr>
      </w:pPr>
    </w:p>
    <w:p w:rsidR="001424D7" w:rsidRDefault="001424D7" w:rsidP="001424D7">
      <w:pPr>
        <w:jc w:val="left"/>
        <w:rPr>
          <w:rFonts w:eastAsia="Calibri" w:cs="Calibri"/>
          <w:noProof w:val="0"/>
          <w:color w:val="auto"/>
          <w:sz w:val="16"/>
          <w:szCs w:val="16"/>
          <w:lang w:val="en-GB" w:eastAsia="en-US"/>
        </w:rPr>
      </w:pPr>
      <w:r w:rsidRPr="00434FDD">
        <w:rPr>
          <w:rFonts w:eastAsia="Calibri" w:cs="Calibri"/>
          <w:b/>
          <w:noProof w:val="0"/>
          <w:color w:val="auto"/>
          <w:sz w:val="16"/>
          <w:szCs w:val="16"/>
          <w:lang w:val="en-GB" w:eastAsia="en-US"/>
        </w:rPr>
        <w:t>Figure S2:</w:t>
      </w:r>
      <w:r w:rsidRPr="00434FDD">
        <w:rPr>
          <w:rFonts w:eastAsia="Calibri" w:cs="Calibri"/>
          <w:noProof w:val="0"/>
          <w:color w:val="auto"/>
          <w:sz w:val="16"/>
          <w:szCs w:val="16"/>
          <w:lang w:val="en-GB" w:eastAsia="en-US"/>
        </w:rPr>
        <w:t xml:space="preserve"> DASH-score components and percentage of participants scoring in various categories</w:t>
      </w:r>
    </w:p>
    <w:p w:rsidR="001424D7" w:rsidRDefault="001424D7" w:rsidP="001424D7">
      <w:pPr>
        <w:spacing w:before="240"/>
        <w:jc w:val="left"/>
        <w:rPr>
          <w:rFonts w:cstheme="minorHAnsi"/>
          <w:b/>
          <w:lang w:val="en-GB"/>
        </w:rPr>
      </w:pPr>
      <w:r>
        <w:rPr>
          <w:rFonts w:cstheme="minorHAnsi"/>
          <w:b/>
          <w:lang w:val="de-DE" w:eastAsia="de-DE"/>
        </w:rPr>
        <w:drawing>
          <wp:inline distT="0" distB="0" distL="0" distR="0" wp14:anchorId="4BA456B3" wp14:editId="7A9EF474">
            <wp:extent cx="5029835" cy="2688590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835" cy="2688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24D7" w:rsidRPr="00434FDD" w:rsidRDefault="001424D7" w:rsidP="001424D7">
      <w:pPr>
        <w:jc w:val="left"/>
        <w:rPr>
          <w:rFonts w:cstheme="minorHAnsi"/>
          <w:b/>
          <w:lang w:val="en-GB"/>
        </w:rPr>
      </w:pPr>
      <w:r w:rsidRPr="00434FDD">
        <w:rPr>
          <w:rFonts w:eastAsia="Calibri" w:cs="Calibri"/>
          <w:noProof w:val="0"/>
          <w:color w:val="auto"/>
          <w:sz w:val="16"/>
          <w:szCs w:val="16"/>
          <w:lang w:val="en-GB" w:eastAsia="en-US"/>
        </w:rPr>
        <w:t>Worst diet, 1 point; better diet, 2-4 points, best diet, 5 points.</w:t>
      </w:r>
    </w:p>
    <w:p w:rsidR="00F21B95" w:rsidRDefault="001424D7">
      <w:pPr>
        <w:rPr>
          <w:lang w:val="en-GB"/>
        </w:rPr>
      </w:pPr>
    </w:p>
    <w:p w:rsidR="001424D7" w:rsidRDefault="001424D7">
      <w:pPr>
        <w:rPr>
          <w:lang w:val="en-GB"/>
        </w:rPr>
      </w:pPr>
    </w:p>
    <w:p w:rsidR="001424D7" w:rsidRDefault="001424D7">
      <w:pPr>
        <w:rPr>
          <w:lang w:val="en-GB"/>
        </w:rPr>
      </w:pPr>
    </w:p>
    <w:p w:rsidR="001424D7" w:rsidRDefault="001424D7">
      <w:pPr>
        <w:rPr>
          <w:lang w:val="en-GB"/>
        </w:rPr>
      </w:pPr>
    </w:p>
    <w:p w:rsidR="001424D7" w:rsidRDefault="001424D7">
      <w:pPr>
        <w:rPr>
          <w:lang w:val="en-GB"/>
        </w:rPr>
      </w:pPr>
    </w:p>
    <w:p w:rsidR="001424D7" w:rsidRDefault="001424D7">
      <w:pPr>
        <w:rPr>
          <w:lang w:val="en-GB"/>
        </w:rPr>
      </w:pPr>
    </w:p>
    <w:p w:rsidR="001424D7" w:rsidRDefault="001424D7">
      <w:pPr>
        <w:rPr>
          <w:lang w:val="en-GB"/>
        </w:rPr>
      </w:pPr>
    </w:p>
    <w:p w:rsidR="001424D7" w:rsidRDefault="001424D7">
      <w:pPr>
        <w:rPr>
          <w:lang w:val="en-GB"/>
        </w:rPr>
      </w:pPr>
    </w:p>
    <w:p w:rsidR="001424D7" w:rsidRDefault="001424D7">
      <w:pPr>
        <w:rPr>
          <w:lang w:val="en-GB"/>
        </w:rPr>
      </w:pPr>
    </w:p>
    <w:p w:rsidR="001424D7" w:rsidRDefault="001424D7">
      <w:pPr>
        <w:rPr>
          <w:lang w:val="en-GB"/>
        </w:rPr>
      </w:pPr>
    </w:p>
    <w:p w:rsidR="001424D7" w:rsidRDefault="001424D7">
      <w:pPr>
        <w:rPr>
          <w:lang w:val="en-GB"/>
        </w:rPr>
      </w:pPr>
    </w:p>
    <w:p w:rsidR="001424D7" w:rsidRPr="00325902" w:rsidRDefault="001424D7" w:rsidP="001424D7">
      <w:pPr>
        <w:pStyle w:val="MDPI21heading1"/>
        <w:pageBreakBefore/>
        <w:ind w:left="0"/>
      </w:pPr>
      <w:r w:rsidRPr="00FA04F1">
        <w:lastRenderedPageBreak/>
        <w:t>References</w:t>
      </w:r>
    </w:p>
    <w:p w:rsidR="001424D7" w:rsidRPr="00434FDD" w:rsidRDefault="001424D7" w:rsidP="001424D7">
      <w:pPr>
        <w:pStyle w:val="MDPI63Notes"/>
        <w:numPr>
          <w:ilvl w:val="0"/>
          <w:numId w:val="1"/>
        </w:numPr>
        <w:spacing w:before="0"/>
        <w:rPr>
          <w:rFonts w:eastAsia="Times New Roman"/>
          <w:lang w:val="en-GB" w:eastAsia="de-DE"/>
        </w:rPr>
      </w:pPr>
      <w:r>
        <w:rPr>
          <w:lang w:val="en-GB"/>
        </w:rPr>
        <w:t xml:space="preserve"> </w:t>
      </w:r>
      <w:proofErr w:type="spellStart"/>
      <w:r w:rsidRPr="00434FDD">
        <w:rPr>
          <w:rFonts w:eastAsia="Times New Roman"/>
          <w:lang w:val="en-GB" w:eastAsia="de-DE"/>
        </w:rPr>
        <w:t>Chiuve</w:t>
      </w:r>
      <w:proofErr w:type="spellEnd"/>
      <w:r w:rsidRPr="00434FDD">
        <w:rPr>
          <w:rFonts w:eastAsia="Times New Roman"/>
          <w:lang w:val="en-GB" w:eastAsia="de-DE"/>
        </w:rPr>
        <w:t xml:space="preserve">, S.E.; Fung, T.T.; </w:t>
      </w:r>
      <w:proofErr w:type="spellStart"/>
      <w:r w:rsidRPr="00434FDD">
        <w:rPr>
          <w:rFonts w:eastAsia="Times New Roman"/>
          <w:lang w:val="en-GB" w:eastAsia="de-DE"/>
        </w:rPr>
        <w:t>Rimm</w:t>
      </w:r>
      <w:proofErr w:type="spellEnd"/>
      <w:r w:rsidRPr="00434FDD">
        <w:rPr>
          <w:rFonts w:eastAsia="Times New Roman"/>
          <w:lang w:val="en-GB" w:eastAsia="de-DE"/>
        </w:rPr>
        <w:t xml:space="preserve">, E.B.; Hu, F.B.; McCullough, M.L.; Wang, M.; </w:t>
      </w:r>
      <w:proofErr w:type="spellStart"/>
      <w:r w:rsidRPr="00434FDD">
        <w:rPr>
          <w:rFonts w:eastAsia="Times New Roman"/>
          <w:lang w:val="en-GB" w:eastAsia="de-DE"/>
        </w:rPr>
        <w:t>Stampfer</w:t>
      </w:r>
      <w:proofErr w:type="spellEnd"/>
      <w:r w:rsidRPr="00434FDD">
        <w:rPr>
          <w:rFonts w:eastAsia="Times New Roman"/>
          <w:lang w:val="en-GB" w:eastAsia="de-DE"/>
        </w:rPr>
        <w:t xml:space="preserve">, M.J.; Willett, W.C. Alternative dietary indices both strongly predict risk of chronic disease. </w:t>
      </w:r>
      <w:r w:rsidRPr="00434FDD">
        <w:rPr>
          <w:rFonts w:eastAsia="Times New Roman"/>
          <w:i/>
          <w:lang w:val="en-GB" w:eastAsia="de-DE"/>
        </w:rPr>
        <w:t xml:space="preserve">J. </w:t>
      </w:r>
      <w:proofErr w:type="spellStart"/>
      <w:r w:rsidRPr="00434FDD">
        <w:rPr>
          <w:rFonts w:eastAsia="Times New Roman"/>
          <w:i/>
          <w:lang w:val="en-GB" w:eastAsia="de-DE"/>
        </w:rPr>
        <w:t>Nutr</w:t>
      </w:r>
      <w:proofErr w:type="spellEnd"/>
      <w:r w:rsidRPr="00434FDD">
        <w:rPr>
          <w:rFonts w:eastAsia="Times New Roman"/>
          <w:i/>
          <w:lang w:val="en-GB" w:eastAsia="de-DE"/>
        </w:rPr>
        <w:t>.</w:t>
      </w:r>
      <w:r w:rsidRPr="00434FDD">
        <w:rPr>
          <w:rFonts w:eastAsia="Times New Roman"/>
          <w:lang w:val="en-GB" w:eastAsia="de-DE"/>
        </w:rPr>
        <w:t xml:space="preserve"> </w:t>
      </w:r>
      <w:proofErr w:type="gramStart"/>
      <w:r w:rsidRPr="00434FDD">
        <w:rPr>
          <w:rFonts w:eastAsia="Times New Roman"/>
          <w:b/>
          <w:lang w:val="en-GB" w:eastAsia="de-DE"/>
        </w:rPr>
        <w:t>2012</w:t>
      </w:r>
      <w:proofErr w:type="gramEnd"/>
      <w:r w:rsidRPr="00434FDD">
        <w:rPr>
          <w:rFonts w:eastAsia="Times New Roman"/>
          <w:lang w:val="en-GB" w:eastAsia="de-DE"/>
        </w:rPr>
        <w:t xml:space="preserve">, </w:t>
      </w:r>
      <w:r w:rsidRPr="00434FDD">
        <w:rPr>
          <w:rFonts w:eastAsia="Times New Roman"/>
          <w:i/>
          <w:lang w:val="en-GB" w:eastAsia="de-DE"/>
        </w:rPr>
        <w:t xml:space="preserve">142, </w:t>
      </w:r>
      <w:r w:rsidRPr="00434FDD">
        <w:rPr>
          <w:rFonts w:eastAsia="Times New Roman"/>
          <w:lang w:val="en-GB" w:eastAsia="de-DE"/>
        </w:rPr>
        <w:t xml:space="preserve">1009–18. </w:t>
      </w:r>
      <w:proofErr w:type="spellStart"/>
      <w:proofErr w:type="gramStart"/>
      <w:r w:rsidRPr="00434FDD">
        <w:rPr>
          <w:rFonts w:eastAsia="Times New Roman"/>
          <w:lang w:val="en-GB" w:eastAsia="de-DE"/>
        </w:rPr>
        <w:t>doi</w:t>
      </w:r>
      <w:proofErr w:type="spellEnd"/>
      <w:proofErr w:type="gramEnd"/>
      <w:r w:rsidRPr="00434FDD">
        <w:rPr>
          <w:rFonts w:eastAsia="Times New Roman"/>
          <w:lang w:val="en-GB" w:eastAsia="de-DE"/>
        </w:rPr>
        <w:t>: 10.3945/jn.111.157222.</w:t>
      </w:r>
    </w:p>
    <w:p w:rsidR="001424D7" w:rsidRPr="00434FDD" w:rsidRDefault="001424D7" w:rsidP="001424D7">
      <w:pPr>
        <w:pStyle w:val="MDPI63Notes"/>
        <w:numPr>
          <w:ilvl w:val="0"/>
          <w:numId w:val="1"/>
        </w:numPr>
        <w:spacing w:before="0"/>
        <w:rPr>
          <w:rFonts w:eastAsia="Times New Roman"/>
          <w:lang w:val="en-GB" w:eastAsia="de-DE"/>
        </w:rPr>
      </w:pPr>
      <w:r>
        <w:rPr>
          <w:lang w:val="en-GB"/>
        </w:rPr>
        <w:t xml:space="preserve"> </w:t>
      </w:r>
      <w:r w:rsidRPr="00434FDD">
        <w:rPr>
          <w:rFonts w:eastAsia="Times New Roman"/>
          <w:lang w:val="en-GB" w:eastAsia="de-DE"/>
        </w:rPr>
        <w:t xml:space="preserve">Fung T.T.; </w:t>
      </w:r>
      <w:proofErr w:type="spellStart"/>
      <w:r w:rsidRPr="00434FDD">
        <w:rPr>
          <w:rFonts w:eastAsia="Times New Roman"/>
          <w:lang w:val="en-GB" w:eastAsia="de-DE"/>
        </w:rPr>
        <w:t>Chiuve</w:t>
      </w:r>
      <w:proofErr w:type="spellEnd"/>
      <w:r w:rsidRPr="00434FDD">
        <w:rPr>
          <w:rFonts w:eastAsia="Times New Roman"/>
          <w:lang w:val="en-GB" w:eastAsia="de-DE"/>
        </w:rPr>
        <w:t xml:space="preserve">, S.E.; McCullough, M.L.; </w:t>
      </w:r>
      <w:proofErr w:type="spellStart"/>
      <w:r w:rsidRPr="00434FDD">
        <w:rPr>
          <w:rFonts w:eastAsia="Times New Roman"/>
          <w:lang w:val="en-GB" w:eastAsia="de-DE"/>
        </w:rPr>
        <w:t>Rexrode</w:t>
      </w:r>
      <w:proofErr w:type="spellEnd"/>
      <w:r w:rsidRPr="00434FDD">
        <w:rPr>
          <w:rFonts w:eastAsia="Times New Roman"/>
          <w:lang w:val="en-GB" w:eastAsia="de-DE"/>
        </w:rPr>
        <w:t xml:space="preserve">, K.M.; </w:t>
      </w:r>
      <w:proofErr w:type="spellStart"/>
      <w:r w:rsidRPr="00434FDD">
        <w:rPr>
          <w:rFonts w:eastAsia="Times New Roman"/>
          <w:lang w:val="en-GB" w:eastAsia="de-DE"/>
        </w:rPr>
        <w:t>Logroscino</w:t>
      </w:r>
      <w:proofErr w:type="spellEnd"/>
      <w:r w:rsidRPr="00434FDD">
        <w:rPr>
          <w:rFonts w:eastAsia="Times New Roman"/>
          <w:lang w:val="en-GB" w:eastAsia="de-DE"/>
        </w:rPr>
        <w:t xml:space="preserve">, G.; Hu, F.B. Adherence to a DASH-style diet and risk of coronary heart disease and stroke in women. </w:t>
      </w:r>
      <w:r w:rsidRPr="00434FDD">
        <w:rPr>
          <w:rFonts w:eastAsia="Times New Roman"/>
          <w:i/>
          <w:lang w:val="en-GB" w:eastAsia="de-DE"/>
        </w:rPr>
        <w:t>Arch. Intern. Med.</w:t>
      </w:r>
      <w:r w:rsidRPr="00434FDD">
        <w:rPr>
          <w:rFonts w:eastAsia="Times New Roman"/>
          <w:lang w:val="en-GB" w:eastAsia="de-DE"/>
        </w:rPr>
        <w:t xml:space="preserve"> </w:t>
      </w:r>
      <w:r w:rsidRPr="00434FDD">
        <w:rPr>
          <w:rFonts w:eastAsia="Times New Roman"/>
          <w:b/>
          <w:lang w:val="en-GB" w:eastAsia="de-DE"/>
        </w:rPr>
        <w:t>2008</w:t>
      </w:r>
      <w:r w:rsidRPr="00434FDD">
        <w:rPr>
          <w:rFonts w:eastAsia="Times New Roman"/>
          <w:lang w:val="en-GB" w:eastAsia="de-DE"/>
        </w:rPr>
        <w:t xml:space="preserve">, </w:t>
      </w:r>
      <w:r w:rsidRPr="00434FDD">
        <w:rPr>
          <w:rFonts w:eastAsia="Times New Roman"/>
          <w:i/>
          <w:lang w:val="en-GB" w:eastAsia="de-DE"/>
        </w:rPr>
        <w:t>168</w:t>
      </w:r>
      <w:r w:rsidRPr="00434FDD">
        <w:rPr>
          <w:rFonts w:eastAsia="Times New Roman"/>
          <w:lang w:val="en-GB" w:eastAsia="de-DE"/>
        </w:rPr>
        <w:t xml:space="preserve">, 713–20. </w:t>
      </w:r>
      <w:proofErr w:type="spellStart"/>
      <w:proofErr w:type="gramStart"/>
      <w:r w:rsidRPr="00434FDD">
        <w:rPr>
          <w:rFonts w:eastAsia="Times New Roman"/>
          <w:lang w:val="en-GB" w:eastAsia="de-DE"/>
        </w:rPr>
        <w:t>doi</w:t>
      </w:r>
      <w:proofErr w:type="spellEnd"/>
      <w:proofErr w:type="gramEnd"/>
      <w:r w:rsidRPr="00434FDD">
        <w:rPr>
          <w:rFonts w:eastAsia="Times New Roman"/>
          <w:lang w:val="en-GB" w:eastAsia="de-DE"/>
        </w:rPr>
        <w:t>: 10.1001/archinte.168.7.713.</w:t>
      </w:r>
    </w:p>
    <w:p w:rsidR="001424D7" w:rsidRPr="001424D7" w:rsidRDefault="001424D7">
      <w:pPr>
        <w:rPr>
          <w:lang w:val="en-GB"/>
        </w:rPr>
      </w:pPr>
    </w:p>
    <w:sectPr w:rsidR="001424D7" w:rsidRPr="001424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F0C6C"/>
    <w:multiLevelType w:val="hybridMultilevel"/>
    <w:tmpl w:val="B290C77C"/>
    <w:lvl w:ilvl="0" w:tplc="578ACC9A">
      <w:start w:val="1"/>
      <w:numFmt w:val="decimal"/>
      <w:lvlText w:val="%1"/>
      <w:lvlJc w:val="left"/>
      <w:pPr>
        <w:ind w:left="720" w:hanging="360"/>
      </w:pPr>
      <w:rPr>
        <w:rFonts w:hint="default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4E1902"/>
    <w:multiLevelType w:val="hybridMultilevel"/>
    <w:tmpl w:val="86DE66CE"/>
    <w:lvl w:ilvl="0" w:tplc="0AF83C2A">
      <w:start w:val="1"/>
      <w:numFmt w:val="decimal"/>
      <w:lvlText w:val="%1"/>
      <w:lvlJc w:val="left"/>
      <w:pPr>
        <w:ind w:left="1080" w:hanging="360"/>
      </w:pPr>
      <w:rPr>
        <w:rFonts w:eastAsia="SimSun"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4D7"/>
    <w:rsid w:val="001424D7"/>
    <w:rsid w:val="00244E64"/>
    <w:rsid w:val="00B246F8"/>
    <w:rsid w:val="00F2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D1BA3"/>
  <w15:chartTrackingRefBased/>
  <w15:docId w15:val="{F371C56A-745A-4999-B5EF-870707568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424D7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424D7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21heading1">
    <w:name w:val="MDPI_2.1_heading1"/>
    <w:qFormat/>
    <w:rsid w:val="001424D7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customStyle="1" w:styleId="MDPI63Notes">
    <w:name w:val="MDPI_6.3_Notes"/>
    <w:qFormat/>
    <w:rsid w:val="001424D7"/>
    <w:pPr>
      <w:adjustRightInd w:val="0"/>
      <w:snapToGrid w:val="0"/>
      <w:spacing w:before="240" w:after="0" w:line="228" w:lineRule="auto"/>
      <w:jc w:val="both"/>
    </w:pPr>
    <w:rPr>
      <w:rFonts w:ascii="Palatino Linotype" w:eastAsia="SimSu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12title">
    <w:name w:val="MDPI_1.2_title"/>
    <w:next w:val="Standard"/>
    <w:qFormat/>
    <w:rsid w:val="001424D7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Standard"/>
    <w:qFormat/>
    <w:rsid w:val="001424D7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379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tirol-kliniken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MÜLLER Katharina_Dr.med.univ.</dc:creator>
  <cp:keywords/>
  <dc:description/>
  <cp:lastModifiedBy>MÜLLER Katharina_Dr.med.univ.</cp:lastModifiedBy>
  <cp:revision>1</cp:revision>
  <dcterms:created xsi:type="dcterms:W3CDTF">2023-11-23T08:12:00Z</dcterms:created>
  <dcterms:modified xsi:type="dcterms:W3CDTF">2023-11-23T08:16:00Z</dcterms:modified>
</cp:coreProperties>
</file>