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B9D0CF" w14:textId="77777777" w:rsidR="003D15C2" w:rsidRPr="00D632B1" w:rsidRDefault="003D15C2" w:rsidP="003D15C2">
      <w:pPr>
        <w:pStyle w:val="MDPI12title"/>
      </w:pPr>
      <w:r w:rsidRPr="00D632B1">
        <w:t>Supplementary</w:t>
      </w:r>
      <w:r w:rsidRPr="00D632B1">
        <w:rPr>
          <w:spacing w:val="-42"/>
        </w:rPr>
        <w:t xml:space="preserve"> </w:t>
      </w:r>
      <w:r w:rsidRPr="00D632B1">
        <w:rPr>
          <w:szCs w:val="36"/>
        </w:rPr>
        <w:t xml:space="preserve">Materials: </w:t>
      </w:r>
      <w:r w:rsidRPr="00D632B1">
        <w:t>Challenges in Analyzing the Biological Effects of Resveratrol</w:t>
      </w:r>
      <w:bookmarkStart w:id="0" w:name="_GoBack"/>
      <w:bookmarkEnd w:id="0"/>
    </w:p>
    <w:p w14:paraId="5C8C8A16" w14:textId="77777777" w:rsidR="003D15C2" w:rsidRPr="00D632B1" w:rsidRDefault="003D15C2" w:rsidP="003D15C2">
      <w:pPr>
        <w:pStyle w:val="MDPI13authornames"/>
        <w:rPr>
          <w:lang w:val="da-DK"/>
        </w:rPr>
      </w:pPr>
      <w:r w:rsidRPr="00D632B1">
        <w:rPr>
          <w:lang w:val="da-DK"/>
        </w:rPr>
        <w:t>Cihan Suleyman Erdogan and Ole Vang</w:t>
      </w:r>
    </w:p>
    <w:p w14:paraId="169A559F" w14:textId="77777777" w:rsidR="003D15C2" w:rsidRPr="00D632B1" w:rsidRDefault="003D15C2" w:rsidP="003D15C2">
      <w:pPr>
        <w:pStyle w:val="MDPI41tablecaption"/>
        <w:jc w:val="center"/>
      </w:pPr>
      <w:r w:rsidRPr="00D632B1">
        <w:rPr>
          <w:b/>
        </w:rPr>
        <w:t>Table S5.</w:t>
      </w:r>
      <w:r w:rsidRPr="00D632B1">
        <w:t xml:space="preserve"> Effects of various mixtures containing resveratrol (Resv).</w:t>
      </w:r>
    </w:p>
    <w:tbl>
      <w:tblPr>
        <w:tblStyle w:val="Mdeck5tablebodythreelines"/>
        <w:tblW w:w="0" w:type="auto"/>
        <w:tblLook w:val="04A0" w:firstRow="1" w:lastRow="0" w:firstColumn="1" w:lastColumn="0" w:noHBand="0" w:noVBand="1"/>
      </w:tblPr>
      <w:tblGrid>
        <w:gridCol w:w="3757"/>
        <w:gridCol w:w="2975"/>
        <w:gridCol w:w="5658"/>
        <w:gridCol w:w="1145"/>
      </w:tblGrid>
      <w:tr w:rsidR="003D15C2" w:rsidRPr="00D632B1" w14:paraId="0836F7FC" w14:textId="77777777" w:rsidTr="003D15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tcW w:w="3757" w:type="dxa"/>
          </w:tcPr>
          <w:p w14:paraId="39D37041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b/>
                <w:sz w:val="18"/>
                <w:szCs w:val="18"/>
              </w:rPr>
              <w:t>Compounds</w:t>
            </w:r>
          </w:p>
        </w:tc>
        <w:tc>
          <w:tcPr>
            <w:tcW w:w="2975" w:type="dxa"/>
          </w:tcPr>
          <w:p w14:paraId="7F864FFE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b/>
                <w:sz w:val="18"/>
                <w:szCs w:val="18"/>
              </w:rPr>
              <w:t>Activity</w:t>
            </w:r>
          </w:p>
        </w:tc>
        <w:tc>
          <w:tcPr>
            <w:tcW w:w="5658" w:type="dxa"/>
          </w:tcPr>
          <w:p w14:paraId="5EB7B011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b/>
                <w:sz w:val="18"/>
                <w:szCs w:val="18"/>
              </w:rPr>
              <w:t>Effect</w:t>
            </w:r>
          </w:p>
        </w:tc>
        <w:tc>
          <w:tcPr>
            <w:tcW w:w="1144" w:type="dxa"/>
          </w:tcPr>
          <w:p w14:paraId="47EA727D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b/>
                <w:sz w:val="18"/>
                <w:szCs w:val="18"/>
              </w:rPr>
              <w:t>Reference</w:t>
            </w:r>
          </w:p>
        </w:tc>
      </w:tr>
      <w:tr w:rsidR="003D15C2" w:rsidRPr="00D632B1" w14:paraId="4B8716BB" w14:textId="77777777" w:rsidTr="003D15C2">
        <w:trPr>
          <w:trHeight w:val="227"/>
        </w:trPr>
        <w:tc>
          <w:tcPr>
            <w:tcW w:w="13535" w:type="dxa"/>
            <w:gridSpan w:val="4"/>
            <w:tcBorders>
              <w:bottom w:val="single" w:sz="4" w:space="0" w:color="auto"/>
            </w:tcBorders>
          </w:tcPr>
          <w:p w14:paraId="3FD43877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i/>
                <w:sz w:val="18"/>
                <w:szCs w:val="18"/>
              </w:rPr>
              <w:t>In vitro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 xml:space="preserve"> studies</w:t>
            </w:r>
          </w:p>
        </w:tc>
      </w:tr>
      <w:tr w:rsidR="003D15C2" w:rsidRPr="00D632B1" w14:paraId="6E4A37FC" w14:textId="77777777" w:rsidTr="003D15C2">
        <w:trPr>
          <w:trHeight w:val="1138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187FD42F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Combination of a mixture of Resv, epicatechin, cyanidin and quercetin (QUE) in comparison with the single compounds and grape powder.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AFBD727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Cell viability, inhibition of taurodeoxycholic acid-induced ROS and apoptosis in Huh7 cells.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2A79E955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The preventive effect of 300 µg/mL grape powder was observed by the mixture of Resv (25 µM), epicatechin (100 µM), anthocyanin (50 µM), and QUE (100 µM). The single components did not show any effect.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21F92697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[1]</w:t>
            </w:r>
          </w:p>
        </w:tc>
      </w:tr>
      <w:tr w:rsidR="003D15C2" w:rsidRPr="00D632B1" w14:paraId="12BDC19B" w14:textId="77777777" w:rsidTr="003D15C2">
        <w:trPr>
          <w:trHeight w:val="909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3052A32D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Mixture of ferulic acid, phloretin, curcumin (CUR), and Resv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6D4ACD16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Migration of primary human gingival fibroblasts and human periodontal ligament fibroblast.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69AAB9BA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Combination of two or three substances (all as 10 µM) was generally more effective than single compounds.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55A414C6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[2]</w:t>
            </w:r>
          </w:p>
        </w:tc>
      </w:tr>
      <w:tr w:rsidR="003D15C2" w:rsidRPr="00D632B1" w14:paraId="6C97EF94" w14:textId="77777777" w:rsidTr="003D15C2">
        <w:trPr>
          <w:trHeight w:val="909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14B90A56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Mixtures: RFT: Resv, ferulic acid and curcumin (CUR); PFR: phloretin, ferulic acid and Resv; PFT: phloretin, ferulic acid and CUR, all 1:1:1 by weight ratio composition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19CE5378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Cell viability and DNA synthesis in human gingival fibroblasts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1B64EE59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Treatment with H</w:t>
            </w:r>
            <w:r w:rsidRPr="00D632B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D632B1">
              <w:rPr>
                <w:rFonts w:ascii="Palatino Linotype" w:hAnsi="Palatino Linotype"/>
                <w:sz w:val="18"/>
                <w:szCs w:val="18"/>
                <w:vertAlign w:val="subscript"/>
              </w:rPr>
              <w:t>2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, EtOH and nicotine caused decreased cell viability and reduced DNA synthesis. Reduction of these biomarkers were counteracted by all three mixtures.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0A189850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[3]</w:t>
            </w:r>
          </w:p>
        </w:tc>
      </w:tr>
      <w:tr w:rsidR="003D15C2" w:rsidRPr="00D632B1" w14:paraId="2221E5C9" w14:textId="77777777" w:rsidTr="003D15C2">
        <w:trPr>
          <w:trHeight w:val="909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1BCEFBA7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Mixtures: RFT: Resv, ferulic acid and curcumin (CUR); PFR: phloretin, ferulic acid and Resv; PFT: phloretin, ferulic acid and CUR, all 1:1:1 by weight ratio composition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6E98E4F2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Cu and Zn-induced cytotoxicity of human gingival fibroblasts and human periodontal ligament cells.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7A94095A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The mixtures increased recovery of cells exposed to Cu and Zn.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C37C233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[4]</w:t>
            </w:r>
          </w:p>
        </w:tc>
      </w:tr>
      <w:tr w:rsidR="003D15C2" w:rsidRPr="00D632B1" w14:paraId="06C95FCC" w14:textId="77777777" w:rsidTr="003D15C2">
        <w:trPr>
          <w:trHeight w:val="227"/>
        </w:trPr>
        <w:tc>
          <w:tcPr>
            <w:tcW w:w="13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09791FE6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Animal studies</w:t>
            </w:r>
          </w:p>
        </w:tc>
      </w:tr>
      <w:tr w:rsidR="003D15C2" w:rsidRPr="00D632B1" w14:paraId="1675743B" w14:textId="77777777" w:rsidTr="003D15C2">
        <w:trPr>
          <w:trHeight w:val="1365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766CD326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Mixtures of apigenin (API), baicalein (BAI), curcumin (CUR), epigallocatechin 3-gallate (EGCG), genistein (GEN), Quercetin (QUE), and Resv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47ED41EE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Cancer treatment and prevention abilities in transgenic adenocarcinoma of the mouse prostate (TRAMP) mice.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74071B4E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 xml:space="preserve">Mixtures of CUR (10 mg/kg diet) + EGCG (100 mg/kg diet) + Resv (10 mg/kg diet), mixtures of API (15 mg/kg diet) + BAI (150 mg/kg diet) + GEN (250 mg/kg diet) + QUE (1 g/kg diet), as well all seven compounds together were able to reduce or delay prostate cancer </w:t>
            </w:r>
            <w:r w:rsidRPr="00D632B1">
              <w:rPr>
                <w:rFonts w:ascii="Palatino Linotype" w:hAnsi="Palatino Linotype"/>
                <w:i/>
                <w:sz w:val="18"/>
                <w:szCs w:val="18"/>
              </w:rPr>
              <w:t>in vivo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4FAF62FD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[5]</w:t>
            </w:r>
          </w:p>
        </w:tc>
      </w:tr>
      <w:tr w:rsidR="003D15C2" w:rsidRPr="00D632B1" w14:paraId="293327B0" w14:textId="77777777" w:rsidTr="003D15C2">
        <w:trPr>
          <w:trHeight w:val="691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32F8B9A0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Black Tea Polyphenol (BTP)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0AF5FFD4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Suppression of the two-stage mouse skin carcinogenesis induced by DMBA and TPA (male, Balb/c mice).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1A640D2F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Resv- (0.01 µmol topical applicated) or BTP- (0.2% in drinking water, three times per week) alone treatment decreased tumor incidence, while their combination at low doses synergistically decreased tumor incidence even more.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0B5A7B26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[6]</w:t>
            </w:r>
          </w:p>
        </w:tc>
      </w:tr>
      <w:tr w:rsidR="003D15C2" w:rsidRPr="00D632B1" w14:paraId="54F32C60" w14:textId="77777777" w:rsidTr="003D15C2">
        <w:trPr>
          <w:trHeight w:val="1365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2A865E56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lastRenderedPageBreak/>
              <w:t>Grape seed extract (GSE), concord grape juice extract in combination with Resv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7FDDC315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Amyloid-β (Aβ) mediated neuropathology and cognitive impairments in a mouse model of AD (J20 AD mice).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79920585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Combination treatment resulted in better protection against cognitive impairments compared to individual treatments. Resv (400 mg/kg mixed with food), GSE (200 mg/kg mixed with food); the juice extract: 183 mg total polyphenol/kg food.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71EABA1F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[7]</w:t>
            </w:r>
          </w:p>
        </w:tc>
      </w:tr>
      <w:tr w:rsidR="003D15C2" w:rsidRPr="00D632B1" w14:paraId="34A5DB64" w14:textId="77777777" w:rsidTr="003D15C2">
        <w:trPr>
          <w:trHeight w:val="1138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0FFA351F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Nutrient supplementation, containing (mg/kg/day): R-α-lipoic acid (50), acetyl-</w:t>
            </w:r>
            <w:r w:rsidR="00C2418C" w:rsidRPr="00D632B1">
              <w:rPr>
                <w:rFonts w:ascii="Palatino Linotype" w:hAnsi="Palatino Linotype"/>
                <w:smallCaps/>
                <w:sz w:val="18"/>
                <w:szCs w:val="18"/>
              </w:rPr>
              <w:t>l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-carnitine (100), biotin (0.1), nicotinamide (15), riboflavin (6), pyridoxine (6), creatine (50), CoQ10 (5), Resv (5) and taurine (100).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0CD49C5D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Effect on running distances, exercise-induced oxidative damage and mitochondrial dysfunction in male Sprague Dawley rats.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537F54CE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Nutrient supplementation caused significantly longer run distance, reduced exhaustive exercise-induced oxidative damage, and reduced mitochondrial dysfunction.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56E54571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[8]</w:t>
            </w:r>
          </w:p>
        </w:tc>
      </w:tr>
      <w:tr w:rsidR="003D15C2" w:rsidRPr="00D632B1" w14:paraId="40863AB4" w14:textId="77777777" w:rsidTr="003D15C2">
        <w:trPr>
          <w:trHeight w:val="227"/>
        </w:trPr>
        <w:tc>
          <w:tcPr>
            <w:tcW w:w="135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59DE4EEA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Human studies</w:t>
            </w:r>
          </w:p>
        </w:tc>
      </w:tr>
      <w:tr w:rsidR="003D15C2" w:rsidRPr="00D632B1" w14:paraId="1B485577" w14:textId="77777777" w:rsidTr="003D15C2">
        <w:trPr>
          <w:trHeight w:val="1365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7886E11B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 xml:space="preserve">Resv, pterostilbene, morin hydrate, quercetin (QUE), δ-tocotrienol, riboflavin. 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br/>
              <w:t>(NS-7 = 25 mg of each, Resv, pterostilbene, QUE, δ-tocotrienol, nicotinic acid, and morin hydrate or NS-6 = morin hydrate replaced with QUE, 50 mg QUE/capsule)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6976C137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Elderly human subjects with normal or elevated serum cholesterol. Measure the effect on fatty acid and inflammation biomarkers.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0BDF574A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Two capsules/day of NS-7 or NS-6 for four weeks reduced serum nitric oxide (NO) as well as the inflammation markers.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2247279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[9]</w:t>
            </w:r>
          </w:p>
        </w:tc>
      </w:tr>
      <w:tr w:rsidR="003D15C2" w:rsidRPr="00D632B1" w14:paraId="1FB70943" w14:textId="77777777" w:rsidTr="003D15C2">
        <w:trPr>
          <w:trHeight w:val="1820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410370F9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b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Nutritional Supplement-5 (NS-5: Resv, Pterostilbene, Quercetin (QUE), δ-tocotrienol, nicotinic acid). NS-5 contains QUE (50 mg), δ-tocotrienol, Resv, pterostilbene, nicotinic acid (25 mg of each).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3C11E9E2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A double blind, randomized, placebo-controlled cross-over trial with free-living and hyperchole-sterolemic elderly subjects exposed to the NS-5.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16464C62" w14:textId="77777777" w:rsidR="003D15C2" w:rsidRPr="00D632B1" w:rsidRDefault="003D15C2" w:rsidP="00D73C96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Following the exposure to NS-5 in six weeks, the serum levels of NO, CRP, γ-GT activity and blood pressure were decreased in free-living healthy seniors. No effect was observed on the total, HDL-, LD</w:t>
            </w:r>
            <w:r w:rsidR="00D73C96" w:rsidRPr="00D632B1">
              <w:rPr>
                <w:rFonts w:ascii="Palatino Linotype" w:hAnsi="Palatino Linotype"/>
                <w:sz w:val="18"/>
                <w:szCs w:val="18"/>
              </w:rPr>
              <w:t xml:space="preserve">L-cholesterol or triglycerides. </w:t>
            </w:r>
            <w:r w:rsidR="00D73C96" w:rsidRPr="00D632B1">
              <w:rPr>
                <w:rFonts w:ascii="Palatino Linotype" w:hAnsi="Palatino Linotype"/>
                <w:sz w:val="18"/>
                <w:szCs w:val="18"/>
              </w:rPr>
              <w:br/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In a hypercholesterolemic sub group, serum levels of NO, CRP, γ-GT, total cholesterol, LDL-cholesterol, triglycerides were reduced by NS-5.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21ED17CE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[10]</w:t>
            </w:r>
          </w:p>
        </w:tc>
      </w:tr>
      <w:tr w:rsidR="003D15C2" w:rsidRPr="00D632B1" w14:paraId="295BE42C" w14:textId="77777777" w:rsidTr="003D15C2">
        <w:trPr>
          <w:trHeight w:val="681"/>
        </w:trPr>
        <w:tc>
          <w:tcPr>
            <w:tcW w:w="3757" w:type="dxa"/>
            <w:tcBorders>
              <w:top w:val="single" w:sz="4" w:space="0" w:color="auto"/>
              <w:bottom w:val="single" w:sz="4" w:space="0" w:color="auto"/>
            </w:tcBorders>
          </w:tcPr>
          <w:p w14:paraId="4BEB177F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 xml:space="preserve">Epigallocatechin-gallate (EG), Resv and soy isoflavones (SI) </w:t>
            </w:r>
            <w:r w:rsidRPr="00D632B1">
              <w:rPr>
                <w:rFonts w:ascii="Palatino Linotype" w:hAnsi="Palatino Linotype"/>
                <w:i/>
                <w:sz w:val="18"/>
                <w:szCs w:val="18"/>
              </w:rPr>
              <w:t>N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 xml:space="preserve"> = 18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4" w:space="0" w:color="auto"/>
            </w:tcBorders>
          </w:tcPr>
          <w:p w14:paraId="14F139E8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Double-blind randomized placebo-controlled cross-over trial, 3 days exposure.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4" w:space="0" w:color="auto"/>
            </w:tcBorders>
          </w:tcPr>
          <w:p w14:paraId="054739CC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Increased energy expenditure by EG (282 mg/day). Fasting plasma free fatty acid was increased by EG + SI (80 mg/day) + Resv (200 mg/day).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</w:tcPr>
          <w:p w14:paraId="188109A6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[11]</w:t>
            </w:r>
          </w:p>
        </w:tc>
      </w:tr>
      <w:tr w:rsidR="003D15C2" w:rsidRPr="00D632B1" w14:paraId="373E3FF1" w14:textId="77777777" w:rsidTr="003D15C2">
        <w:trPr>
          <w:trHeight w:val="1365"/>
        </w:trPr>
        <w:tc>
          <w:tcPr>
            <w:tcW w:w="3757" w:type="dxa"/>
            <w:tcBorders>
              <w:top w:val="single" w:sz="4" w:space="0" w:color="auto"/>
              <w:bottom w:val="single" w:sz="8" w:space="0" w:color="auto"/>
            </w:tcBorders>
          </w:tcPr>
          <w:p w14:paraId="454D2EAC" w14:textId="77777777" w:rsidR="003D15C2" w:rsidRPr="00D632B1" w:rsidRDefault="003D15C2" w:rsidP="00C2418C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A complex of Resv (100 mg), each of green, black, and white tea extracts (800 mg), pomegranate extract (250 mg), quercetin (650 mg), acetyl-</w:t>
            </w:r>
            <w:r w:rsidR="00C2418C" w:rsidRPr="00D632B1">
              <w:rPr>
                <w:rFonts w:ascii="Palatino Linotype" w:hAnsi="Palatino Linotype"/>
                <w:smallCaps/>
                <w:sz w:val="18"/>
                <w:szCs w:val="18"/>
              </w:rPr>
              <w:t>l</w:t>
            </w:r>
            <w:r w:rsidRPr="00D632B1">
              <w:rPr>
                <w:rFonts w:ascii="Palatino Linotype" w:hAnsi="Palatino Linotype"/>
                <w:sz w:val="18"/>
                <w:szCs w:val="18"/>
              </w:rPr>
              <w:t>-carnitine (500 mg), lipoic acid (600 mg), curcumin (900 mg), sesamin (1 g), cinnamon bark extract (1.7 g), and fish oil (1.0 g)</w:t>
            </w:r>
          </w:p>
        </w:tc>
        <w:tc>
          <w:tcPr>
            <w:tcW w:w="2975" w:type="dxa"/>
            <w:tcBorders>
              <w:top w:val="single" w:sz="4" w:space="0" w:color="auto"/>
              <w:bottom w:val="single" w:sz="8" w:space="0" w:color="auto"/>
            </w:tcBorders>
          </w:tcPr>
          <w:p w14:paraId="3D044949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6-month randomized, single-blind controlled trial, including 54 non-obese subjects.</w:t>
            </w:r>
          </w:p>
        </w:tc>
        <w:tc>
          <w:tcPr>
            <w:tcW w:w="5658" w:type="dxa"/>
            <w:tcBorders>
              <w:top w:val="single" w:sz="4" w:space="0" w:color="auto"/>
              <w:bottom w:val="single" w:sz="8" w:space="0" w:color="auto"/>
            </w:tcBorders>
          </w:tcPr>
          <w:p w14:paraId="687C5653" w14:textId="77777777" w:rsidR="003D15C2" w:rsidRPr="00D632B1" w:rsidRDefault="003D15C2" w:rsidP="003D15C2">
            <w:pPr>
              <w:spacing w:line="240" w:lineRule="auto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sz w:val="18"/>
                <w:szCs w:val="18"/>
              </w:rPr>
              <w:t>These supplements did not either alter arterial stiffness or endothelial function, body fat measured by DEXA, blood pressure, plasma lipids, glucose, insulin, IGF-1, nor markers of inflammation and oxidative stress.</w:t>
            </w:r>
          </w:p>
        </w:tc>
        <w:tc>
          <w:tcPr>
            <w:tcW w:w="1144" w:type="dxa"/>
            <w:tcBorders>
              <w:top w:val="single" w:sz="4" w:space="0" w:color="auto"/>
              <w:bottom w:val="single" w:sz="8" w:space="0" w:color="auto"/>
            </w:tcBorders>
          </w:tcPr>
          <w:p w14:paraId="0508A212" w14:textId="77777777" w:rsidR="003D15C2" w:rsidRPr="00D632B1" w:rsidRDefault="003D15C2" w:rsidP="003D15C2">
            <w:pPr>
              <w:spacing w:line="240" w:lineRule="auto"/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D632B1">
              <w:rPr>
                <w:rFonts w:ascii="Palatino Linotype" w:hAnsi="Palatino Linotype"/>
                <w:noProof/>
                <w:sz w:val="18"/>
                <w:szCs w:val="18"/>
              </w:rPr>
              <w:t>[12]</w:t>
            </w:r>
          </w:p>
        </w:tc>
      </w:tr>
    </w:tbl>
    <w:p w14:paraId="6A27CB41" w14:textId="77777777" w:rsidR="003D15C2" w:rsidRPr="00D632B1" w:rsidRDefault="003D15C2" w:rsidP="003D15C2">
      <w:pPr>
        <w:pStyle w:val="MDPI21heading1"/>
        <w:sectPr w:rsidR="003D15C2" w:rsidRPr="00D632B1" w:rsidSect="003D15C2">
          <w:headerReference w:type="even" r:id="rId8"/>
          <w:headerReference w:type="default" r:id="rId9"/>
          <w:headerReference w:type="first" r:id="rId10"/>
          <w:type w:val="continuous"/>
          <w:pgSz w:w="16838" w:h="11906" w:orient="landscape" w:code="9"/>
          <w:pgMar w:top="1418" w:right="1531" w:bottom="1077" w:left="1531" w:header="1021" w:footer="851" w:gutter="0"/>
          <w:pgNumType w:start="1"/>
          <w:cols w:space="425"/>
          <w:titlePg/>
          <w:docGrid w:type="lines" w:linePitch="326"/>
        </w:sectPr>
      </w:pPr>
    </w:p>
    <w:p w14:paraId="13AD5A20" w14:textId="77777777" w:rsidR="003D15C2" w:rsidRPr="00D632B1" w:rsidRDefault="003D15C2" w:rsidP="003D15C2">
      <w:pPr>
        <w:pStyle w:val="MDPI21heading1"/>
      </w:pPr>
      <w:r w:rsidRPr="00D632B1">
        <w:lastRenderedPageBreak/>
        <w:t>References</w:t>
      </w:r>
    </w:p>
    <w:p w14:paraId="7C674B79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Yu, J.; Xu, Y.M.; Khaoustov, V.; Yoffe, B. Identification of components of grape powder with anti-apoptotic effects. </w:t>
      </w:r>
      <w:r w:rsidRPr="00D632B1">
        <w:rPr>
          <w:rFonts w:ascii="Palatino Linotype" w:hAnsi="Palatino Linotype"/>
          <w:i/>
          <w:sz w:val="18"/>
          <w:szCs w:val="18"/>
        </w:rPr>
        <w:t xml:space="preserve">Toxicol. Ind. Health </w:t>
      </w:r>
      <w:r w:rsidRPr="00D632B1">
        <w:rPr>
          <w:rFonts w:ascii="Palatino Linotype" w:hAnsi="Palatino Linotype"/>
          <w:b/>
          <w:sz w:val="18"/>
          <w:szCs w:val="18"/>
        </w:rPr>
        <w:t>2011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27</w:t>
      </w:r>
      <w:r w:rsidRPr="00D632B1">
        <w:rPr>
          <w:rFonts w:ascii="Palatino Linotype" w:hAnsi="Palatino Linotype"/>
          <w:sz w:val="18"/>
          <w:szCs w:val="18"/>
        </w:rPr>
        <w:t>, 19–28.</w:t>
      </w:r>
    </w:p>
    <w:p w14:paraId="21C75699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San Miguel, S.M.; Opperman, L.A.; Allen, E.P.; Zielinski, J.; Svoboda, K.K. Antioxidants counteract nicotine and promote migration via RacGTP in oral fibroblast cells. </w:t>
      </w:r>
      <w:r w:rsidRPr="00D632B1">
        <w:rPr>
          <w:rFonts w:ascii="Palatino Linotype" w:hAnsi="Palatino Linotype"/>
          <w:i/>
          <w:sz w:val="18"/>
          <w:szCs w:val="18"/>
        </w:rPr>
        <w:t xml:space="preserve">J. Periodontol. </w:t>
      </w:r>
      <w:r w:rsidRPr="00D632B1">
        <w:rPr>
          <w:rFonts w:ascii="Palatino Linotype" w:hAnsi="Palatino Linotype"/>
          <w:b/>
          <w:sz w:val="18"/>
          <w:szCs w:val="18"/>
        </w:rPr>
        <w:t>2010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81</w:t>
      </w:r>
      <w:r w:rsidRPr="00D632B1">
        <w:rPr>
          <w:rFonts w:ascii="Palatino Linotype" w:hAnsi="Palatino Linotype"/>
          <w:sz w:val="18"/>
          <w:szCs w:val="18"/>
        </w:rPr>
        <w:t>, 1675–1690.</w:t>
      </w:r>
    </w:p>
    <w:p w14:paraId="7751E5F3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San Miguel, S.M.; Opperman, L.A.; Allen, E.P.; Zielinski, J.; Svoboda, K.K. Bioactive polyphenol antioxidants protect oral fibroblasts from ROS-inducing agents. </w:t>
      </w:r>
      <w:r w:rsidRPr="00D632B1">
        <w:rPr>
          <w:rFonts w:ascii="Palatino Linotype" w:hAnsi="Palatino Linotype"/>
          <w:i/>
          <w:sz w:val="18"/>
          <w:szCs w:val="18"/>
        </w:rPr>
        <w:t xml:space="preserve">Arch. Oral. Biol. </w:t>
      </w:r>
      <w:r w:rsidRPr="00D632B1">
        <w:rPr>
          <w:rFonts w:ascii="Palatino Linotype" w:hAnsi="Palatino Linotype"/>
          <w:b/>
          <w:sz w:val="18"/>
          <w:szCs w:val="18"/>
        </w:rPr>
        <w:t>2012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57</w:t>
      </w:r>
      <w:r w:rsidRPr="00D632B1">
        <w:rPr>
          <w:rFonts w:ascii="Palatino Linotype" w:hAnsi="Palatino Linotype"/>
          <w:sz w:val="18"/>
          <w:szCs w:val="18"/>
        </w:rPr>
        <w:t>, 1657–1667.</w:t>
      </w:r>
    </w:p>
    <w:p w14:paraId="1BEF883A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San Miguel, S.M.; Opperman, L.A.; Allen, E.P.; Zielinski, J.E.; Svoboda, K.K. Antioxidant combinations protect oral fibroblasts against metal-induced toxicity. </w:t>
      </w:r>
      <w:r w:rsidRPr="00D632B1">
        <w:rPr>
          <w:rFonts w:ascii="Palatino Linotype" w:hAnsi="Palatino Linotype"/>
          <w:i/>
          <w:sz w:val="18"/>
          <w:szCs w:val="18"/>
        </w:rPr>
        <w:t xml:space="preserve">Arch. Oral. Biol. </w:t>
      </w:r>
      <w:r w:rsidRPr="00D632B1">
        <w:rPr>
          <w:rFonts w:ascii="Palatino Linotype" w:hAnsi="Palatino Linotype"/>
          <w:b/>
          <w:sz w:val="18"/>
          <w:szCs w:val="18"/>
        </w:rPr>
        <w:t>2013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58</w:t>
      </w:r>
      <w:r w:rsidRPr="00D632B1">
        <w:rPr>
          <w:rFonts w:ascii="Palatino Linotype" w:hAnsi="Palatino Linotype"/>
          <w:sz w:val="18"/>
          <w:szCs w:val="18"/>
        </w:rPr>
        <w:t>, 299–310.</w:t>
      </w:r>
    </w:p>
    <w:p w14:paraId="4F49D0BE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Slusarz, A.; Shenouda, N.S.; Sakla, M.S.; Drenkhahn, S.K.; Narula, A.S.; MacDonald, R.S.; Besch-Williford, C.L.; Lubahn, D.B. Common botanical compounds inhibit the hedgehog signaling pathway in prostate cancer. </w:t>
      </w:r>
      <w:r w:rsidRPr="00D632B1">
        <w:rPr>
          <w:rFonts w:ascii="Palatino Linotype" w:hAnsi="Palatino Linotype"/>
          <w:i/>
          <w:sz w:val="18"/>
          <w:szCs w:val="18"/>
        </w:rPr>
        <w:t xml:space="preserve">Cancer Res. </w:t>
      </w:r>
      <w:r w:rsidRPr="00D632B1">
        <w:rPr>
          <w:rFonts w:ascii="Palatino Linotype" w:hAnsi="Palatino Linotype"/>
          <w:b/>
          <w:sz w:val="18"/>
          <w:szCs w:val="18"/>
        </w:rPr>
        <w:t>2010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70</w:t>
      </w:r>
      <w:r w:rsidRPr="00D632B1">
        <w:rPr>
          <w:rFonts w:ascii="Palatino Linotype" w:hAnsi="Palatino Linotype"/>
          <w:sz w:val="18"/>
          <w:szCs w:val="18"/>
        </w:rPr>
        <w:t>, 3382–3390.</w:t>
      </w:r>
    </w:p>
    <w:p w14:paraId="5DD9E14A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George, J.; Singh, M.; Srivastava, A.K.; Bhui, K.; Roy, P.; Chaturvedi, P.K.; Shukla, Y. Resveratrol and black tea polyphenol combination synergistically suppress mouse skin tumors growth by inhibition of activated MAPKs and p53. </w:t>
      </w:r>
      <w:r w:rsidRPr="00D632B1">
        <w:rPr>
          <w:rFonts w:ascii="Palatino Linotype" w:hAnsi="Palatino Linotype"/>
          <w:i/>
          <w:sz w:val="18"/>
          <w:szCs w:val="18"/>
        </w:rPr>
        <w:t xml:space="preserve">PLoS ONE </w:t>
      </w:r>
      <w:r w:rsidRPr="00D632B1">
        <w:rPr>
          <w:rFonts w:ascii="Palatino Linotype" w:hAnsi="Palatino Linotype"/>
          <w:b/>
          <w:sz w:val="18"/>
          <w:szCs w:val="18"/>
        </w:rPr>
        <w:t>2011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6</w:t>
      </w:r>
      <w:r w:rsidRPr="00D632B1">
        <w:rPr>
          <w:rFonts w:ascii="Palatino Linotype" w:hAnsi="Palatino Linotype"/>
          <w:sz w:val="18"/>
          <w:szCs w:val="18"/>
        </w:rPr>
        <w:t>, e23395.</w:t>
      </w:r>
    </w:p>
    <w:p w14:paraId="0AA4ACAD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  <w:lang w:val="da-DK"/>
        </w:rPr>
        <w:t>Wang, J.; Bi, W.N.; Cheng, A.; Freire, D.; Vempati, P.; Zhao, W.; Gong, B.; Janle, E.M.; Chen, T.Y.; Ferruzzi, M.G.</w:t>
      </w:r>
      <w:r w:rsidR="00D73C96" w:rsidRPr="00D632B1">
        <w:rPr>
          <w:rFonts w:ascii="Palatino Linotype" w:hAnsi="Palatino Linotype"/>
          <w:sz w:val="18"/>
          <w:szCs w:val="18"/>
          <w:lang w:val="da-DK"/>
        </w:rPr>
        <w:t>;</w:t>
      </w:r>
      <w:r w:rsidRPr="00D632B1">
        <w:rPr>
          <w:rFonts w:ascii="Palatino Linotype" w:hAnsi="Palatino Linotype"/>
          <w:i/>
          <w:sz w:val="18"/>
          <w:szCs w:val="18"/>
          <w:lang w:val="da-DK"/>
        </w:rPr>
        <w:t xml:space="preserve"> et al.</w:t>
      </w:r>
      <w:r w:rsidRPr="00D632B1">
        <w:rPr>
          <w:rFonts w:ascii="Palatino Linotype" w:hAnsi="Palatino Linotype"/>
          <w:sz w:val="18"/>
          <w:szCs w:val="18"/>
          <w:lang w:val="da-DK"/>
        </w:rPr>
        <w:t xml:space="preserve"> </w:t>
      </w:r>
      <w:r w:rsidRPr="00D632B1">
        <w:rPr>
          <w:rFonts w:ascii="Palatino Linotype" w:hAnsi="Palatino Linotype"/>
          <w:sz w:val="18"/>
          <w:szCs w:val="18"/>
        </w:rPr>
        <w:t xml:space="preserve">Targeting multiple pathogenic mechanisms with polyphenols for the treatment of Alzheimer’s disease-experimental approach and therapeutic implications. </w:t>
      </w:r>
      <w:r w:rsidRPr="00D632B1">
        <w:rPr>
          <w:rFonts w:ascii="Palatino Linotype" w:hAnsi="Palatino Linotype"/>
          <w:i/>
          <w:sz w:val="18"/>
          <w:szCs w:val="18"/>
        </w:rPr>
        <w:t xml:space="preserve">Front. Aging Neurosci. </w:t>
      </w:r>
      <w:r w:rsidRPr="00D632B1">
        <w:rPr>
          <w:rFonts w:ascii="Palatino Linotype" w:hAnsi="Palatino Linotype"/>
          <w:b/>
          <w:sz w:val="18"/>
          <w:szCs w:val="18"/>
        </w:rPr>
        <w:t>2014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6</w:t>
      </w:r>
      <w:r w:rsidRPr="00D632B1">
        <w:rPr>
          <w:rFonts w:ascii="Palatino Linotype" w:hAnsi="Palatino Linotype"/>
          <w:sz w:val="18"/>
          <w:szCs w:val="18"/>
        </w:rPr>
        <w:t>, 42.</w:t>
      </w:r>
    </w:p>
    <w:p w14:paraId="6A8125B0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Sun, M.; Qian, F.; Shen, W.; Tian, C.; Hao, J.; Sun, L.; Liu, J. Mitochondrial nutrients stimulate performance and mitochondrial biogenesis in exhaustively exercised rats. </w:t>
      </w:r>
      <w:r w:rsidRPr="00D632B1">
        <w:rPr>
          <w:rFonts w:ascii="Palatino Linotype" w:hAnsi="Palatino Linotype"/>
          <w:i/>
          <w:sz w:val="18"/>
          <w:szCs w:val="18"/>
        </w:rPr>
        <w:t xml:space="preserve">Scand. J. Med. Sci. Sports </w:t>
      </w:r>
      <w:r w:rsidRPr="00D632B1">
        <w:rPr>
          <w:rFonts w:ascii="Palatino Linotype" w:hAnsi="Palatino Linotype"/>
          <w:b/>
          <w:sz w:val="18"/>
          <w:szCs w:val="18"/>
        </w:rPr>
        <w:t>2012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22</w:t>
      </w:r>
      <w:r w:rsidRPr="00D632B1">
        <w:rPr>
          <w:rFonts w:ascii="Palatino Linotype" w:hAnsi="Palatino Linotype"/>
          <w:sz w:val="18"/>
          <w:szCs w:val="18"/>
        </w:rPr>
        <w:t>, 764–775.</w:t>
      </w:r>
    </w:p>
    <w:p w14:paraId="778FBDA8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Qureshi, A.A.; Khan, D.A.; Mahjabeen, W.; Papasian, C.J.; Qureshi, N. Suppression of Nitric Oxide production and cardiovascular risk factors in healthy seniors and hypercholesterolemic subjects by a combination of polyphenols and vitamins. </w:t>
      </w:r>
      <w:r w:rsidRPr="00D632B1">
        <w:rPr>
          <w:rFonts w:ascii="Palatino Linotype" w:hAnsi="Palatino Linotype"/>
          <w:i/>
          <w:sz w:val="18"/>
          <w:szCs w:val="18"/>
        </w:rPr>
        <w:t>J. Clin. Exp. Cardiol</w:t>
      </w:r>
      <w:r w:rsidR="00244C34" w:rsidRPr="00D632B1">
        <w:rPr>
          <w:rFonts w:ascii="Palatino Linotype" w:hAnsi="Palatino Linotype"/>
          <w:i/>
          <w:sz w:val="18"/>
          <w:szCs w:val="18"/>
        </w:rPr>
        <w:t>.</w:t>
      </w:r>
      <w:r w:rsidRPr="00D632B1">
        <w:rPr>
          <w:rFonts w:ascii="Palatino Linotype" w:hAnsi="Palatino Linotype"/>
          <w:i/>
          <w:sz w:val="18"/>
          <w:szCs w:val="18"/>
        </w:rPr>
        <w:t xml:space="preserve"> </w:t>
      </w:r>
      <w:r w:rsidRPr="00D632B1">
        <w:rPr>
          <w:rFonts w:ascii="Palatino Linotype" w:hAnsi="Palatino Linotype"/>
          <w:b/>
          <w:sz w:val="18"/>
          <w:szCs w:val="18"/>
        </w:rPr>
        <w:t>2012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5</w:t>
      </w:r>
      <w:r w:rsidRPr="00D632B1">
        <w:rPr>
          <w:rFonts w:ascii="Palatino Linotype" w:hAnsi="Palatino Linotype"/>
          <w:sz w:val="18"/>
          <w:szCs w:val="18"/>
        </w:rPr>
        <w:t>, 8.</w:t>
      </w:r>
    </w:p>
    <w:p w14:paraId="606BC560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Qureshi, A.A.; Khan, D.A.; Mahjabeen, W.; Papasian, C.J.; Qureshi, N. Nutritional Supplement-5 with a combination of proteasome inhibitors (resveratrol, quercetin, </w:t>
      </w:r>
      <w:r w:rsidRPr="00D632B1">
        <w:rPr>
          <w:rFonts w:ascii="Palatino Linotype" w:hAnsi="Palatino Linotype"/>
          <w:i/>
          <w:sz w:val="18"/>
          <w:szCs w:val="18"/>
        </w:rPr>
        <w:t>g</w:t>
      </w:r>
      <w:r w:rsidRPr="00D632B1">
        <w:rPr>
          <w:rFonts w:ascii="Palatino Linotype" w:hAnsi="Palatino Linotype"/>
          <w:sz w:val="18"/>
          <w:szCs w:val="18"/>
        </w:rPr>
        <w:t xml:space="preserve">-tocotrienol) modulate age-associated biomarkers and cardiovascular lipid parameters in human subjects. </w:t>
      </w:r>
      <w:r w:rsidRPr="00D632B1">
        <w:rPr>
          <w:rFonts w:ascii="Palatino Linotype" w:hAnsi="Palatino Linotype"/>
          <w:i/>
          <w:sz w:val="18"/>
          <w:szCs w:val="18"/>
        </w:rPr>
        <w:t xml:space="preserve">J. Clin. Exp. Cardiol. </w:t>
      </w:r>
      <w:r w:rsidRPr="00D632B1">
        <w:rPr>
          <w:rFonts w:ascii="Palatino Linotype" w:hAnsi="Palatino Linotype"/>
          <w:b/>
          <w:sz w:val="18"/>
          <w:szCs w:val="18"/>
        </w:rPr>
        <w:t>2013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="00244C34" w:rsidRPr="00D632B1">
        <w:rPr>
          <w:rFonts w:ascii="Palatino Linotype" w:eastAsia="Times New Roman" w:hAnsi="Palatino Linotype" w:cs="Times New Roman"/>
          <w:noProof w:val="0"/>
          <w:sz w:val="18"/>
          <w:szCs w:val="18"/>
          <w:lang w:eastAsia="de-DE"/>
        </w:rPr>
        <w:t>doi:10.4172/2155-9880.1000238.</w:t>
      </w:r>
    </w:p>
    <w:p w14:paraId="217FCAB8" w14:textId="77777777" w:rsidR="003D15C2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Most, J.; Goossens, G.H.; Jocken, J.W.; Blaak, E.E. Short-term supplementation with a specific combination of dietary polyphenols increases energy expenditure and alters substrate metabolism in overweight subjects. </w:t>
      </w:r>
      <w:r w:rsidRPr="00D632B1">
        <w:rPr>
          <w:rFonts w:ascii="Palatino Linotype" w:hAnsi="Palatino Linotype"/>
          <w:i/>
          <w:sz w:val="18"/>
          <w:szCs w:val="18"/>
        </w:rPr>
        <w:t>Int</w:t>
      </w:r>
      <w:r w:rsidR="00244C34" w:rsidRPr="00D632B1">
        <w:rPr>
          <w:rFonts w:ascii="Palatino Linotype" w:hAnsi="Palatino Linotype"/>
          <w:i/>
          <w:sz w:val="18"/>
          <w:szCs w:val="18"/>
        </w:rPr>
        <w:t>.</w:t>
      </w:r>
      <w:r w:rsidRPr="00D632B1">
        <w:rPr>
          <w:rFonts w:ascii="Palatino Linotype" w:hAnsi="Palatino Linotype"/>
          <w:i/>
          <w:sz w:val="18"/>
          <w:szCs w:val="18"/>
        </w:rPr>
        <w:t xml:space="preserve"> J</w:t>
      </w:r>
      <w:r w:rsidR="00244C34" w:rsidRPr="00D632B1">
        <w:rPr>
          <w:rFonts w:ascii="Palatino Linotype" w:hAnsi="Palatino Linotype"/>
          <w:i/>
          <w:sz w:val="18"/>
          <w:szCs w:val="18"/>
        </w:rPr>
        <w:t>.</w:t>
      </w:r>
      <w:r w:rsidRPr="00D632B1">
        <w:rPr>
          <w:rFonts w:ascii="Palatino Linotype" w:hAnsi="Palatino Linotype"/>
          <w:i/>
          <w:sz w:val="18"/>
          <w:szCs w:val="18"/>
        </w:rPr>
        <w:t xml:space="preserve"> Obes</w:t>
      </w:r>
      <w:r w:rsidR="00244C34" w:rsidRPr="00D632B1">
        <w:rPr>
          <w:rFonts w:ascii="Palatino Linotype" w:hAnsi="Palatino Linotype"/>
          <w:i/>
          <w:sz w:val="18"/>
          <w:szCs w:val="18"/>
        </w:rPr>
        <w:t>.</w:t>
      </w:r>
      <w:r w:rsidRPr="00D632B1">
        <w:rPr>
          <w:rFonts w:ascii="Palatino Linotype" w:hAnsi="Palatino Linotype"/>
          <w:i/>
          <w:sz w:val="18"/>
          <w:szCs w:val="18"/>
        </w:rPr>
        <w:t xml:space="preserve"> </w:t>
      </w:r>
      <w:r w:rsidRPr="00D632B1">
        <w:rPr>
          <w:rFonts w:ascii="Palatino Linotype" w:hAnsi="Palatino Linotype"/>
          <w:b/>
          <w:sz w:val="18"/>
          <w:szCs w:val="18"/>
        </w:rPr>
        <w:t>2014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38</w:t>
      </w:r>
      <w:r w:rsidRPr="00D632B1">
        <w:rPr>
          <w:rFonts w:ascii="Palatino Linotype" w:hAnsi="Palatino Linotype"/>
          <w:sz w:val="18"/>
          <w:szCs w:val="18"/>
        </w:rPr>
        <w:t>, 698–706.</w:t>
      </w:r>
    </w:p>
    <w:p w14:paraId="3E90BC53" w14:textId="77777777" w:rsidR="00A01504" w:rsidRPr="00D632B1" w:rsidRDefault="003D15C2" w:rsidP="003D15C2">
      <w:pPr>
        <w:pStyle w:val="EndNoteBibliography"/>
        <w:numPr>
          <w:ilvl w:val="0"/>
          <w:numId w:val="34"/>
        </w:numPr>
        <w:adjustRightInd w:val="0"/>
        <w:snapToGrid w:val="0"/>
        <w:spacing w:after="0" w:line="260" w:lineRule="atLeast"/>
        <w:ind w:left="425" w:hanging="425"/>
        <w:jc w:val="both"/>
        <w:rPr>
          <w:rFonts w:ascii="Palatino Linotype" w:hAnsi="Palatino Linotype"/>
          <w:sz w:val="18"/>
          <w:szCs w:val="18"/>
        </w:rPr>
      </w:pPr>
      <w:r w:rsidRPr="00D632B1">
        <w:rPr>
          <w:rFonts w:ascii="Palatino Linotype" w:hAnsi="Palatino Linotype"/>
          <w:sz w:val="18"/>
          <w:szCs w:val="18"/>
        </w:rPr>
        <w:t xml:space="preserve">Soare, A.; Weiss, E.P.; Holloszy, J.O.; Fontana, L. Multiple dietary supplements do not affect metabolic and cardio-vascular health. </w:t>
      </w:r>
      <w:r w:rsidRPr="00D632B1">
        <w:rPr>
          <w:rFonts w:ascii="Palatino Linotype" w:hAnsi="Palatino Linotype"/>
          <w:i/>
          <w:sz w:val="18"/>
          <w:szCs w:val="18"/>
        </w:rPr>
        <w:t xml:space="preserve">Aging </w:t>
      </w:r>
      <w:r w:rsidRPr="00D632B1">
        <w:rPr>
          <w:rFonts w:ascii="Palatino Linotype" w:hAnsi="Palatino Linotype"/>
          <w:b/>
          <w:sz w:val="18"/>
          <w:szCs w:val="18"/>
        </w:rPr>
        <w:t>2014</w:t>
      </w:r>
      <w:r w:rsidRPr="00D632B1">
        <w:rPr>
          <w:rFonts w:ascii="Palatino Linotype" w:hAnsi="Palatino Linotype"/>
          <w:sz w:val="18"/>
          <w:szCs w:val="18"/>
        </w:rPr>
        <w:t xml:space="preserve">, </w:t>
      </w:r>
      <w:r w:rsidRPr="00D632B1">
        <w:rPr>
          <w:rFonts w:ascii="Palatino Linotype" w:hAnsi="Palatino Linotype"/>
          <w:i/>
          <w:sz w:val="18"/>
          <w:szCs w:val="18"/>
        </w:rPr>
        <w:t>6</w:t>
      </w:r>
      <w:r w:rsidRPr="00D632B1">
        <w:rPr>
          <w:rFonts w:ascii="Palatino Linotype" w:hAnsi="Palatino Linotype"/>
          <w:sz w:val="18"/>
          <w:szCs w:val="18"/>
        </w:rPr>
        <w:t>, 149–157.</w:t>
      </w:r>
    </w:p>
    <w:sectPr w:rsidR="00A01504" w:rsidRPr="00D632B1" w:rsidSect="003D15C2">
      <w:headerReference w:type="first" r:id="rId11"/>
      <w:pgSz w:w="11906" w:h="16838" w:code="9"/>
      <w:pgMar w:top="1417" w:right="1531" w:bottom="1077" w:left="1531" w:header="1020" w:footer="850" w:gutter="0"/>
      <w:pgNumType w:start="3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48ECA9" w14:textId="77777777" w:rsidR="00782565" w:rsidRDefault="00782565" w:rsidP="00C1340D">
      <w:r>
        <w:separator/>
      </w:r>
    </w:p>
  </w:endnote>
  <w:endnote w:type="continuationSeparator" w:id="0">
    <w:p w14:paraId="277AEDF4" w14:textId="77777777" w:rsidR="00782565" w:rsidRDefault="0078256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A434D6" w14:textId="77777777" w:rsidR="00782565" w:rsidRDefault="00782565" w:rsidP="00C1340D">
      <w:r>
        <w:separator/>
      </w:r>
    </w:p>
  </w:footnote>
  <w:footnote w:type="continuationSeparator" w:id="0">
    <w:p w14:paraId="114571B1" w14:textId="77777777" w:rsidR="00782565" w:rsidRDefault="0078256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1412F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8C91FD" w14:textId="77777777" w:rsidR="003D15C2" w:rsidRPr="00670F70" w:rsidRDefault="003D15C2" w:rsidP="003D15C2">
    <w:pPr>
      <w:adjustRightInd w:val="0"/>
      <w:snapToGrid w:val="0"/>
      <w:spacing w:after="240" w:line="240" w:lineRule="auto"/>
    </w:pPr>
    <w:r>
      <w:rPr>
        <w:rFonts w:ascii="Palatino Linotype" w:hAnsi="Palatino Linotype"/>
        <w:i/>
        <w:sz w:val="16"/>
      </w:rPr>
      <w:t xml:space="preserve">Nutrients </w:t>
    </w:r>
    <w:r w:rsidRPr="00D73C96"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 w:rsidRPr="00D73C96"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CB64B" w14:textId="71C77E89" w:rsidR="003D15C2" w:rsidRPr="00670F70" w:rsidRDefault="003D15C2" w:rsidP="003D15C2">
    <w:pPr>
      <w:adjustRightInd w:val="0"/>
      <w:snapToGrid w:val="0"/>
      <w:spacing w:after="240" w:line="240" w:lineRule="auto"/>
    </w:pPr>
    <w:r>
      <w:rPr>
        <w:rFonts w:ascii="Palatino Linotype" w:hAnsi="Palatino Linotype"/>
        <w:i/>
        <w:sz w:val="16"/>
      </w:rPr>
      <w:t xml:space="preserve">Nutrients </w:t>
    </w:r>
    <w:r w:rsidRPr="00D73C96"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 w:rsidRPr="00D73C96"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</w:t>
    </w:r>
    <w:r w:rsidR="00E427D2">
      <w:rPr>
        <w:rFonts w:ascii="Palatino Linotype" w:hAnsi="Palatino Linotype"/>
        <w:sz w:val="16"/>
      </w:rPr>
      <w:t>353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1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A6809" w14:textId="77777777" w:rsidR="003D15C2" w:rsidRPr="00670F70" w:rsidRDefault="003D15C2" w:rsidP="003D15C2">
    <w:pPr>
      <w:adjustRightInd w:val="0"/>
      <w:snapToGrid w:val="0"/>
      <w:spacing w:after="240" w:line="240" w:lineRule="auto"/>
    </w:pPr>
    <w:r>
      <w:rPr>
        <w:rFonts w:ascii="Palatino Linotype" w:hAnsi="Palatino Linotype"/>
        <w:i/>
        <w:sz w:val="16"/>
      </w:rPr>
      <w:t xml:space="preserve">Nutrients </w:t>
    </w:r>
    <w:r w:rsidRPr="00D73C96">
      <w:rPr>
        <w:rFonts w:ascii="Palatino Linotype" w:hAnsi="Palatino Linotype"/>
        <w:b/>
        <w:sz w:val="16"/>
      </w:rPr>
      <w:t>2016</w:t>
    </w:r>
    <w:r>
      <w:rPr>
        <w:rFonts w:ascii="Palatino Linotype" w:hAnsi="Palatino Linotype"/>
        <w:sz w:val="16"/>
      </w:rPr>
      <w:t xml:space="preserve">, </w:t>
    </w:r>
    <w:r w:rsidRPr="00D73C96"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>, x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t>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S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E427D2">
      <w:rPr>
        <w:rFonts w:ascii="Palatino Linotype" w:hAnsi="Palatino Linotype"/>
        <w:noProof/>
        <w:sz w:val="16"/>
      </w:rPr>
      <w:t>3</w:t>
    </w:r>
    <w:r>
      <w:rPr>
        <w:rFonts w:ascii="Palatino Linotype" w:hAnsi="Palatino Linotype"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6DFCEE46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F140ED14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5F0A570C"/>
    <w:multiLevelType w:val="hybridMultilevel"/>
    <w:tmpl w:val="5ACA8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73C370A"/>
    <w:multiLevelType w:val="hybridMultilevel"/>
    <w:tmpl w:val="EC3AEE96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B43CDC7A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3"/>
  </w:num>
  <w:num w:numId="3">
    <w:abstractNumId w:val="8"/>
  </w:num>
  <w:num w:numId="4">
    <w:abstractNumId w:val="0"/>
  </w:num>
  <w:num w:numId="5">
    <w:abstractNumId w:val="7"/>
  </w:num>
  <w:num w:numId="6">
    <w:abstractNumId w:val="13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1"/>
  </w:num>
  <w:num w:numId="12">
    <w:abstractNumId w:val="12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2"/>
  </w:num>
  <w:num w:numId="20">
    <w:abstractNumId w:val="13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18"/>
    <w:rsid w:val="00000637"/>
    <w:rsid w:val="000006F8"/>
    <w:rsid w:val="00001288"/>
    <w:rsid w:val="000046B6"/>
    <w:rsid w:val="00004BA7"/>
    <w:rsid w:val="00005FC2"/>
    <w:rsid w:val="00011BC3"/>
    <w:rsid w:val="0001283B"/>
    <w:rsid w:val="0001690A"/>
    <w:rsid w:val="0002090C"/>
    <w:rsid w:val="00021B58"/>
    <w:rsid w:val="00022B90"/>
    <w:rsid w:val="00024621"/>
    <w:rsid w:val="0002467B"/>
    <w:rsid w:val="00025C56"/>
    <w:rsid w:val="00027E1F"/>
    <w:rsid w:val="0003032F"/>
    <w:rsid w:val="000319B8"/>
    <w:rsid w:val="0003351A"/>
    <w:rsid w:val="00034110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09"/>
    <w:rsid w:val="00044417"/>
    <w:rsid w:val="0004473F"/>
    <w:rsid w:val="00045898"/>
    <w:rsid w:val="00050716"/>
    <w:rsid w:val="00050C65"/>
    <w:rsid w:val="000520E3"/>
    <w:rsid w:val="000534A5"/>
    <w:rsid w:val="000551E0"/>
    <w:rsid w:val="000562B9"/>
    <w:rsid w:val="00056DBB"/>
    <w:rsid w:val="000578BD"/>
    <w:rsid w:val="000602E4"/>
    <w:rsid w:val="00060365"/>
    <w:rsid w:val="000605CD"/>
    <w:rsid w:val="0006438D"/>
    <w:rsid w:val="0006467F"/>
    <w:rsid w:val="00071D03"/>
    <w:rsid w:val="00073BD9"/>
    <w:rsid w:val="00077A9D"/>
    <w:rsid w:val="00082D78"/>
    <w:rsid w:val="00082DED"/>
    <w:rsid w:val="000833FA"/>
    <w:rsid w:val="000848F9"/>
    <w:rsid w:val="00094176"/>
    <w:rsid w:val="00095416"/>
    <w:rsid w:val="0009760C"/>
    <w:rsid w:val="000A0E49"/>
    <w:rsid w:val="000A0F29"/>
    <w:rsid w:val="000A3155"/>
    <w:rsid w:val="000A340B"/>
    <w:rsid w:val="000A37C3"/>
    <w:rsid w:val="000A411D"/>
    <w:rsid w:val="000A45A9"/>
    <w:rsid w:val="000A5FAE"/>
    <w:rsid w:val="000B05D0"/>
    <w:rsid w:val="000B38AC"/>
    <w:rsid w:val="000B529D"/>
    <w:rsid w:val="000B5482"/>
    <w:rsid w:val="000B5A05"/>
    <w:rsid w:val="000B7965"/>
    <w:rsid w:val="000B7EF6"/>
    <w:rsid w:val="000C299D"/>
    <w:rsid w:val="000C4A82"/>
    <w:rsid w:val="000C4B5D"/>
    <w:rsid w:val="000C4FB6"/>
    <w:rsid w:val="000D0874"/>
    <w:rsid w:val="000D093A"/>
    <w:rsid w:val="000D166F"/>
    <w:rsid w:val="000D2842"/>
    <w:rsid w:val="000D2F06"/>
    <w:rsid w:val="000D4C25"/>
    <w:rsid w:val="000D5554"/>
    <w:rsid w:val="000E08FD"/>
    <w:rsid w:val="000E35FE"/>
    <w:rsid w:val="000E37D1"/>
    <w:rsid w:val="000E7A5D"/>
    <w:rsid w:val="000F0E85"/>
    <w:rsid w:val="000F0F9F"/>
    <w:rsid w:val="000F4E0E"/>
    <w:rsid w:val="000F7462"/>
    <w:rsid w:val="00100FE2"/>
    <w:rsid w:val="00103634"/>
    <w:rsid w:val="00104C0A"/>
    <w:rsid w:val="001123F1"/>
    <w:rsid w:val="00113C9F"/>
    <w:rsid w:val="001153A2"/>
    <w:rsid w:val="001170CF"/>
    <w:rsid w:val="0011779E"/>
    <w:rsid w:val="0012125D"/>
    <w:rsid w:val="00121CE9"/>
    <w:rsid w:val="00124285"/>
    <w:rsid w:val="0012462F"/>
    <w:rsid w:val="001268A0"/>
    <w:rsid w:val="00127B58"/>
    <w:rsid w:val="00130F88"/>
    <w:rsid w:val="00131F3D"/>
    <w:rsid w:val="00132E95"/>
    <w:rsid w:val="001352B6"/>
    <w:rsid w:val="00135C14"/>
    <w:rsid w:val="0013667F"/>
    <w:rsid w:val="00140A39"/>
    <w:rsid w:val="0014158B"/>
    <w:rsid w:val="00144660"/>
    <w:rsid w:val="00144DC5"/>
    <w:rsid w:val="00144E54"/>
    <w:rsid w:val="00145F5A"/>
    <w:rsid w:val="00150342"/>
    <w:rsid w:val="00151E48"/>
    <w:rsid w:val="00152F85"/>
    <w:rsid w:val="001531C8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2DE"/>
    <w:rsid w:val="00182F93"/>
    <w:rsid w:val="00184B65"/>
    <w:rsid w:val="00184ECF"/>
    <w:rsid w:val="001854A7"/>
    <w:rsid w:val="00190717"/>
    <w:rsid w:val="00192141"/>
    <w:rsid w:val="001929BE"/>
    <w:rsid w:val="00193EBD"/>
    <w:rsid w:val="00194DCB"/>
    <w:rsid w:val="001A0D5B"/>
    <w:rsid w:val="001A103B"/>
    <w:rsid w:val="001A3926"/>
    <w:rsid w:val="001A4A0E"/>
    <w:rsid w:val="001A7D08"/>
    <w:rsid w:val="001B09F9"/>
    <w:rsid w:val="001B16E8"/>
    <w:rsid w:val="001B1C77"/>
    <w:rsid w:val="001B22D3"/>
    <w:rsid w:val="001B2E32"/>
    <w:rsid w:val="001B396D"/>
    <w:rsid w:val="001B3A0F"/>
    <w:rsid w:val="001B446E"/>
    <w:rsid w:val="001B5C88"/>
    <w:rsid w:val="001C0136"/>
    <w:rsid w:val="001C2A2E"/>
    <w:rsid w:val="001C3462"/>
    <w:rsid w:val="001C3B86"/>
    <w:rsid w:val="001C6374"/>
    <w:rsid w:val="001C64AA"/>
    <w:rsid w:val="001D0A2E"/>
    <w:rsid w:val="001D0BD8"/>
    <w:rsid w:val="001D44C4"/>
    <w:rsid w:val="001D4C88"/>
    <w:rsid w:val="001D4CBF"/>
    <w:rsid w:val="001D5C83"/>
    <w:rsid w:val="001D5CB0"/>
    <w:rsid w:val="001D7118"/>
    <w:rsid w:val="001D7351"/>
    <w:rsid w:val="001E0BFA"/>
    <w:rsid w:val="001E0D5D"/>
    <w:rsid w:val="001E26BA"/>
    <w:rsid w:val="001E3B40"/>
    <w:rsid w:val="001E3DBC"/>
    <w:rsid w:val="001F0DDD"/>
    <w:rsid w:val="001F2913"/>
    <w:rsid w:val="001F29CB"/>
    <w:rsid w:val="001F45A9"/>
    <w:rsid w:val="001F51E0"/>
    <w:rsid w:val="001F55DC"/>
    <w:rsid w:val="001F5A4A"/>
    <w:rsid w:val="001F64F1"/>
    <w:rsid w:val="001F689E"/>
    <w:rsid w:val="0020147D"/>
    <w:rsid w:val="002021CF"/>
    <w:rsid w:val="002026F5"/>
    <w:rsid w:val="00203493"/>
    <w:rsid w:val="00206B4D"/>
    <w:rsid w:val="00207655"/>
    <w:rsid w:val="0021202D"/>
    <w:rsid w:val="00214190"/>
    <w:rsid w:val="002155A6"/>
    <w:rsid w:val="00216FA9"/>
    <w:rsid w:val="00220209"/>
    <w:rsid w:val="002220D5"/>
    <w:rsid w:val="00223A64"/>
    <w:rsid w:val="00225217"/>
    <w:rsid w:val="00225F3F"/>
    <w:rsid w:val="00226AB1"/>
    <w:rsid w:val="00232427"/>
    <w:rsid w:val="00234505"/>
    <w:rsid w:val="00234D86"/>
    <w:rsid w:val="00235077"/>
    <w:rsid w:val="00235973"/>
    <w:rsid w:val="00236969"/>
    <w:rsid w:val="00236C0D"/>
    <w:rsid w:val="00236D35"/>
    <w:rsid w:val="00236F94"/>
    <w:rsid w:val="00237BD4"/>
    <w:rsid w:val="00237EDD"/>
    <w:rsid w:val="0024084D"/>
    <w:rsid w:val="00240C8C"/>
    <w:rsid w:val="00241C14"/>
    <w:rsid w:val="002434C9"/>
    <w:rsid w:val="00243E60"/>
    <w:rsid w:val="00244C34"/>
    <w:rsid w:val="00246CE0"/>
    <w:rsid w:val="00250261"/>
    <w:rsid w:val="0025127B"/>
    <w:rsid w:val="00251811"/>
    <w:rsid w:val="0025232D"/>
    <w:rsid w:val="00252515"/>
    <w:rsid w:val="0025259B"/>
    <w:rsid w:val="00252BD9"/>
    <w:rsid w:val="00253193"/>
    <w:rsid w:val="0025354C"/>
    <w:rsid w:val="00255B5C"/>
    <w:rsid w:val="00257403"/>
    <w:rsid w:val="0025777F"/>
    <w:rsid w:val="00261B77"/>
    <w:rsid w:val="00263890"/>
    <w:rsid w:val="0026479E"/>
    <w:rsid w:val="002665A2"/>
    <w:rsid w:val="00271978"/>
    <w:rsid w:val="00272574"/>
    <w:rsid w:val="00273440"/>
    <w:rsid w:val="002740EC"/>
    <w:rsid w:val="0027513B"/>
    <w:rsid w:val="0027593D"/>
    <w:rsid w:val="00275F7E"/>
    <w:rsid w:val="00276B71"/>
    <w:rsid w:val="00276FC3"/>
    <w:rsid w:val="0027713B"/>
    <w:rsid w:val="00280BF0"/>
    <w:rsid w:val="002813F6"/>
    <w:rsid w:val="00285954"/>
    <w:rsid w:val="0028727D"/>
    <w:rsid w:val="0029096B"/>
    <w:rsid w:val="002915B6"/>
    <w:rsid w:val="0029287A"/>
    <w:rsid w:val="00294C2F"/>
    <w:rsid w:val="0029628E"/>
    <w:rsid w:val="00296EB7"/>
    <w:rsid w:val="002A0069"/>
    <w:rsid w:val="002A28B0"/>
    <w:rsid w:val="002A31E4"/>
    <w:rsid w:val="002A66E9"/>
    <w:rsid w:val="002B0BCA"/>
    <w:rsid w:val="002B37F5"/>
    <w:rsid w:val="002B39BD"/>
    <w:rsid w:val="002B4981"/>
    <w:rsid w:val="002B75A2"/>
    <w:rsid w:val="002B7893"/>
    <w:rsid w:val="002C0E6A"/>
    <w:rsid w:val="002C28DD"/>
    <w:rsid w:val="002C300A"/>
    <w:rsid w:val="002C5045"/>
    <w:rsid w:val="002C6616"/>
    <w:rsid w:val="002C6C5F"/>
    <w:rsid w:val="002C7423"/>
    <w:rsid w:val="002C7CEB"/>
    <w:rsid w:val="002D0834"/>
    <w:rsid w:val="002D2055"/>
    <w:rsid w:val="002D476D"/>
    <w:rsid w:val="002D61D1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054E"/>
    <w:rsid w:val="002F1F90"/>
    <w:rsid w:val="002F30E0"/>
    <w:rsid w:val="002F34AC"/>
    <w:rsid w:val="002F3A40"/>
    <w:rsid w:val="002F6006"/>
    <w:rsid w:val="002F667B"/>
    <w:rsid w:val="002F6728"/>
    <w:rsid w:val="002F6FC8"/>
    <w:rsid w:val="00300F39"/>
    <w:rsid w:val="00301D78"/>
    <w:rsid w:val="0030227D"/>
    <w:rsid w:val="0030282D"/>
    <w:rsid w:val="0030286C"/>
    <w:rsid w:val="0030379B"/>
    <w:rsid w:val="003053D7"/>
    <w:rsid w:val="00305668"/>
    <w:rsid w:val="00305916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264DF"/>
    <w:rsid w:val="00326AA6"/>
    <w:rsid w:val="0033124F"/>
    <w:rsid w:val="0033164F"/>
    <w:rsid w:val="0033194C"/>
    <w:rsid w:val="00333C2D"/>
    <w:rsid w:val="003352F1"/>
    <w:rsid w:val="00336080"/>
    <w:rsid w:val="00336BEA"/>
    <w:rsid w:val="003379F5"/>
    <w:rsid w:val="00340477"/>
    <w:rsid w:val="00341638"/>
    <w:rsid w:val="00341815"/>
    <w:rsid w:val="00342263"/>
    <w:rsid w:val="00344684"/>
    <w:rsid w:val="00344DFE"/>
    <w:rsid w:val="0034591F"/>
    <w:rsid w:val="003463F0"/>
    <w:rsid w:val="00346A68"/>
    <w:rsid w:val="00346B1B"/>
    <w:rsid w:val="00347596"/>
    <w:rsid w:val="0035006A"/>
    <w:rsid w:val="003502EF"/>
    <w:rsid w:val="00352D55"/>
    <w:rsid w:val="0035313A"/>
    <w:rsid w:val="0035340A"/>
    <w:rsid w:val="00353B41"/>
    <w:rsid w:val="0035469E"/>
    <w:rsid w:val="0035521D"/>
    <w:rsid w:val="00356904"/>
    <w:rsid w:val="00357207"/>
    <w:rsid w:val="00360FE8"/>
    <w:rsid w:val="00363D81"/>
    <w:rsid w:val="00364B75"/>
    <w:rsid w:val="003655C0"/>
    <w:rsid w:val="00367166"/>
    <w:rsid w:val="00367343"/>
    <w:rsid w:val="003675B2"/>
    <w:rsid w:val="00367C05"/>
    <w:rsid w:val="00370569"/>
    <w:rsid w:val="003709EC"/>
    <w:rsid w:val="00373D16"/>
    <w:rsid w:val="00373F32"/>
    <w:rsid w:val="00374898"/>
    <w:rsid w:val="00376FA1"/>
    <w:rsid w:val="00381651"/>
    <w:rsid w:val="00381C2D"/>
    <w:rsid w:val="00381D89"/>
    <w:rsid w:val="00381FC4"/>
    <w:rsid w:val="003835CE"/>
    <w:rsid w:val="003855CF"/>
    <w:rsid w:val="00385E8A"/>
    <w:rsid w:val="003878F5"/>
    <w:rsid w:val="003902E6"/>
    <w:rsid w:val="003911F6"/>
    <w:rsid w:val="00391F71"/>
    <w:rsid w:val="003938E0"/>
    <w:rsid w:val="00394742"/>
    <w:rsid w:val="003A0FDD"/>
    <w:rsid w:val="003A116E"/>
    <w:rsid w:val="003A117B"/>
    <w:rsid w:val="003A1FCC"/>
    <w:rsid w:val="003A2168"/>
    <w:rsid w:val="003A3F7E"/>
    <w:rsid w:val="003A445F"/>
    <w:rsid w:val="003A4FD3"/>
    <w:rsid w:val="003B14DD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6650"/>
    <w:rsid w:val="003C7C01"/>
    <w:rsid w:val="003D15C2"/>
    <w:rsid w:val="003D1BCF"/>
    <w:rsid w:val="003D2888"/>
    <w:rsid w:val="003D2BC8"/>
    <w:rsid w:val="003D2F75"/>
    <w:rsid w:val="003D6836"/>
    <w:rsid w:val="003D6DF8"/>
    <w:rsid w:val="003D740F"/>
    <w:rsid w:val="003E08EB"/>
    <w:rsid w:val="003E0C56"/>
    <w:rsid w:val="003E0EB6"/>
    <w:rsid w:val="003E14E1"/>
    <w:rsid w:val="003E2B81"/>
    <w:rsid w:val="003E5F91"/>
    <w:rsid w:val="003E68A1"/>
    <w:rsid w:val="003E69F6"/>
    <w:rsid w:val="003F0471"/>
    <w:rsid w:val="003F21C8"/>
    <w:rsid w:val="003F2876"/>
    <w:rsid w:val="003F35A6"/>
    <w:rsid w:val="003F368E"/>
    <w:rsid w:val="003F4AE6"/>
    <w:rsid w:val="003F6004"/>
    <w:rsid w:val="003F6100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D4A"/>
    <w:rsid w:val="00415FB0"/>
    <w:rsid w:val="00416147"/>
    <w:rsid w:val="00416645"/>
    <w:rsid w:val="00417A0D"/>
    <w:rsid w:val="00422883"/>
    <w:rsid w:val="00423429"/>
    <w:rsid w:val="00423556"/>
    <w:rsid w:val="00424882"/>
    <w:rsid w:val="00425AEA"/>
    <w:rsid w:val="0042627E"/>
    <w:rsid w:val="004262FE"/>
    <w:rsid w:val="00427902"/>
    <w:rsid w:val="0043115A"/>
    <w:rsid w:val="00432800"/>
    <w:rsid w:val="0043282E"/>
    <w:rsid w:val="00433837"/>
    <w:rsid w:val="00434423"/>
    <w:rsid w:val="00435F6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44B2"/>
    <w:rsid w:val="00455021"/>
    <w:rsid w:val="00456BA6"/>
    <w:rsid w:val="00457A2B"/>
    <w:rsid w:val="00461413"/>
    <w:rsid w:val="004614D9"/>
    <w:rsid w:val="00461DA2"/>
    <w:rsid w:val="00462789"/>
    <w:rsid w:val="004628C2"/>
    <w:rsid w:val="00462F89"/>
    <w:rsid w:val="00464AD8"/>
    <w:rsid w:val="00467F33"/>
    <w:rsid w:val="00471859"/>
    <w:rsid w:val="00474D5C"/>
    <w:rsid w:val="00474F2C"/>
    <w:rsid w:val="00475F95"/>
    <w:rsid w:val="00476172"/>
    <w:rsid w:val="00477487"/>
    <w:rsid w:val="0048098C"/>
    <w:rsid w:val="00480BAE"/>
    <w:rsid w:val="00481ADA"/>
    <w:rsid w:val="00483436"/>
    <w:rsid w:val="00483C7F"/>
    <w:rsid w:val="00484615"/>
    <w:rsid w:val="004869B2"/>
    <w:rsid w:val="004914DF"/>
    <w:rsid w:val="00492418"/>
    <w:rsid w:val="00492DD6"/>
    <w:rsid w:val="004938FB"/>
    <w:rsid w:val="004971EB"/>
    <w:rsid w:val="004975CF"/>
    <w:rsid w:val="004A3D67"/>
    <w:rsid w:val="004A3EEB"/>
    <w:rsid w:val="004A44AE"/>
    <w:rsid w:val="004A485C"/>
    <w:rsid w:val="004A6E3D"/>
    <w:rsid w:val="004A7C02"/>
    <w:rsid w:val="004B1516"/>
    <w:rsid w:val="004B453D"/>
    <w:rsid w:val="004B637A"/>
    <w:rsid w:val="004B664F"/>
    <w:rsid w:val="004B7FAD"/>
    <w:rsid w:val="004C16C9"/>
    <w:rsid w:val="004C1961"/>
    <w:rsid w:val="004C1A82"/>
    <w:rsid w:val="004C1AB7"/>
    <w:rsid w:val="004C1B70"/>
    <w:rsid w:val="004C3D4B"/>
    <w:rsid w:val="004C6058"/>
    <w:rsid w:val="004C6EE2"/>
    <w:rsid w:val="004C71C5"/>
    <w:rsid w:val="004D0408"/>
    <w:rsid w:val="004D3D30"/>
    <w:rsid w:val="004D464D"/>
    <w:rsid w:val="004D50E0"/>
    <w:rsid w:val="004D6828"/>
    <w:rsid w:val="004E16F5"/>
    <w:rsid w:val="004E3359"/>
    <w:rsid w:val="004E70CE"/>
    <w:rsid w:val="004F1511"/>
    <w:rsid w:val="004F41A3"/>
    <w:rsid w:val="004F615E"/>
    <w:rsid w:val="004F7B5B"/>
    <w:rsid w:val="00500AD1"/>
    <w:rsid w:val="00500BD3"/>
    <w:rsid w:val="00502036"/>
    <w:rsid w:val="00502854"/>
    <w:rsid w:val="00505235"/>
    <w:rsid w:val="005052F4"/>
    <w:rsid w:val="005055B1"/>
    <w:rsid w:val="0050609E"/>
    <w:rsid w:val="005112A6"/>
    <w:rsid w:val="0051313D"/>
    <w:rsid w:val="00514D19"/>
    <w:rsid w:val="00516FD5"/>
    <w:rsid w:val="005173DA"/>
    <w:rsid w:val="00520C33"/>
    <w:rsid w:val="00521DBF"/>
    <w:rsid w:val="00523489"/>
    <w:rsid w:val="00523C06"/>
    <w:rsid w:val="00525CC6"/>
    <w:rsid w:val="00527BF5"/>
    <w:rsid w:val="00532B9C"/>
    <w:rsid w:val="005332DD"/>
    <w:rsid w:val="00533883"/>
    <w:rsid w:val="00534135"/>
    <w:rsid w:val="00534DBC"/>
    <w:rsid w:val="005400CD"/>
    <w:rsid w:val="00541DC6"/>
    <w:rsid w:val="00546A9B"/>
    <w:rsid w:val="005477D0"/>
    <w:rsid w:val="00547A73"/>
    <w:rsid w:val="00550577"/>
    <w:rsid w:val="00550622"/>
    <w:rsid w:val="005509C8"/>
    <w:rsid w:val="005518BE"/>
    <w:rsid w:val="005519F1"/>
    <w:rsid w:val="005522FB"/>
    <w:rsid w:val="00554334"/>
    <w:rsid w:val="00554D7C"/>
    <w:rsid w:val="005556AA"/>
    <w:rsid w:val="005569C6"/>
    <w:rsid w:val="00556FA7"/>
    <w:rsid w:val="005574FA"/>
    <w:rsid w:val="005579F5"/>
    <w:rsid w:val="00561861"/>
    <w:rsid w:val="005635C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75376"/>
    <w:rsid w:val="00580739"/>
    <w:rsid w:val="00585B5F"/>
    <w:rsid w:val="00587689"/>
    <w:rsid w:val="005879FB"/>
    <w:rsid w:val="00591118"/>
    <w:rsid w:val="00592174"/>
    <w:rsid w:val="005967E7"/>
    <w:rsid w:val="0059706B"/>
    <w:rsid w:val="0059738E"/>
    <w:rsid w:val="005A1A79"/>
    <w:rsid w:val="005A294C"/>
    <w:rsid w:val="005A2DD1"/>
    <w:rsid w:val="005A42BD"/>
    <w:rsid w:val="005A478E"/>
    <w:rsid w:val="005A6731"/>
    <w:rsid w:val="005A6846"/>
    <w:rsid w:val="005A71A5"/>
    <w:rsid w:val="005A791C"/>
    <w:rsid w:val="005B372B"/>
    <w:rsid w:val="005B6BB9"/>
    <w:rsid w:val="005C001C"/>
    <w:rsid w:val="005C1C6F"/>
    <w:rsid w:val="005C1F13"/>
    <w:rsid w:val="005C2A6C"/>
    <w:rsid w:val="005C4A8E"/>
    <w:rsid w:val="005C5730"/>
    <w:rsid w:val="005D052D"/>
    <w:rsid w:val="005D196D"/>
    <w:rsid w:val="005D19D4"/>
    <w:rsid w:val="005D2650"/>
    <w:rsid w:val="005D35BB"/>
    <w:rsid w:val="005D6744"/>
    <w:rsid w:val="005E0D3F"/>
    <w:rsid w:val="005E1274"/>
    <w:rsid w:val="005E13E0"/>
    <w:rsid w:val="005E36A0"/>
    <w:rsid w:val="005E4EC3"/>
    <w:rsid w:val="005E64B5"/>
    <w:rsid w:val="005E7457"/>
    <w:rsid w:val="005E74D7"/>
    <w:rsid w:val="005E790B"/>
    <w:rsid w:val="005E7B20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39D"/>
    <w:rsid w:val="0061583B"/>
    <w:rsid w:val="00615B18"/>
    <w:rsid w:val="00621703"/>
    <w:rsid w:val="00621836"/>
    <w:rsid w:val="00621F58"/>
    <w:rsid w:val="00622325"/>
    <w:rsid w:val="00622348"/>
    <w:rsid w:val="006229A7"/>
    <w:rsid w:val="00625F2E"/>
    <w:rsid w:val="00626100"/>
    <w:rsid w:val="00626476"/>
    <w:rsid w:val="00627115"/>
    <w:rsid w:val="00627887"/>
    <w:rsid w:val="006310D8"/>
    <w:rsid w:val="00632FFC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097D"/>
    <w:rsid w:val="0065221D"/>
    <w:rsid w:val="00652887"/>
    <w:rsid w:val="00653B88"/>
    <w:rsid w:val="00654659"/>
    <w:rsid w:val="00655087"/>
    <w:rsid w:val="00655F4C"/>
    <w:rsid w:val="0065777B"/>
    <w:rsid w:val="0066133B"/>
    <w:rsid w:val="00661780"/>
    <w:rsid w:val="00662259"/>
    <w:rsid w:val="00663D7F"/>
    <w:rsid w:val="00663FED"/>
    <w:rsid w:val="00665846"/>
    <w:rsid w:val="00667F99"/>
    <w:rsid w:val="006719DE"/>
    <w:rsid w:val="00671AD9"/>
    <w:rsid w:val="00673C97"/>
    <w:rsid w:val="00674566"/>
    <w:rsid w:val="006746B1"/>
    <w:rsid w:val="00675529"/>
    <w:rsid w:val="006808E8"/>
    <w:rsid w:val="00682FE2"/>
    <w:rsid w:val="006835F1"/>
    <w:rsid w:val="00684284"/>
    <w:rsid w:val="00684579"/>
    <w:rsid w:val="00685864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54E3"/>
    <w:rsid w:val="006A55D7"/>
    <w:rsid w:val="006A7AD1"/>
    <w:rsid w:val="006B20CA"/>
    <w:rsid w:val="006B3265"/>
    <w:rsid w:val="006B440B"/>
    <w:rsid w:val="006B5189"/>
    <w:rsid w:val="006C09DE"/>
    <w:rsid w:val="006C1055"/>
    <w:rsid w:val="006C14AC"/>
    <w:rsid w:val="006C3C0B"/>
    <w:rsid w:val="006C3E9D"/>
    <w:rsid w:val="006C44B9"/>
    <w:rsid w:val="006C4FA4"/>
    <w:rsid w:val="006C59CF"/>
    <w:rsid w:val="006C6552"/>
    <w:rsid w:val="006C67DC"/>
    <w:rsid w:val="006C7D91"/>
    <w:rsid w:val="006C7FED"/>
    <w:rsid w:val="006D0C85"/>
    <w:rsid w:val="006D2ED9"/>
    <w:rsid w:val="006D4052"/>
    <w:rsid w:val="006D425B"/>
    <w:rsid w:val="006D6E62"/>
    <w:rsid w:val="006D6F56"/>
    <w:rsid w:val="006D7D80"/>
    <w:rsid w:val="006E16A5"/>
    <w:rsid w:val="006E17AC"/>
    <w:rsid w:val="006E24C6"/>
    <w:rsid w:val="006E32F6"/>
    <w:rsid w:val="006E577A"/>
    <w:rsid w:val="006E60D8"/>
    <w:rsid w:val="006E60E5"/>
    <w:rsid w:val="006E6F19"/>
    <w:rsid w:val="006F0B83"/>
    <w:rsid w:val="00701836"/>
    <w:rsid w:val="00701F70"/>
    <w:rsid w:val="00702650"/>
    <w:rsid w:val="00703174"/>
    <w:rsid w:val="0070525A"/>
    <w:rsid w:val="007062E3"/>
    <w:rsid w:val="00706936"/>
    <w:rsid w:val="0070769C"/>
    <w:rsid w:val="00714F3F"/>
    <w:rsid w:val="00715914"/>
    <w:rsid w:val="00716CC2"/>
    <w:rsid w:val="0071759D"/>
    <w:rsid w:val="007201EE"/>
    <w:rsid w:val="0072079B"/>
    <w:rsid w:val="00722184"/>
    <w:rsid w:val="007229D7"/>
    <w:rsid w:val="0072401B"/>
    <w:rsid w:val="00724474"/>
    <w:rsid w:val="0072687B"/>
    <w:rsid w:val="007269A0"/>
    <w:rsid w:val="00730EDD"/>
    <w:rsid w:val="00732905"/>
    <w:rsid w:val="00734C7C"/>
    <w:rsid w:val="007368FD"/>
    <w:rsid w:val="00736D2D"/>
    <w:rsid w:val="00736FD6"/>
    <w:rsid w:val="0073714D"/>
    <w:rsid w:val="00737F17"/>
    <w:rsid w:val="0074264B"/>
    <w:rsid w:val="007426AA"/>
    <w:rsid w:val="0074415C"/>
    <w:rsid w:val="00746790"/>
    <w:rsid w:val="0074696F"/>
    <w:rsid w:val="00746DFC"/>
    <w:rsid w:val="00747BD5"/>
    <w:rsid w:val="007512D0"/>
    <w:rsid w:val="00751AF6"/>
    <w:rsid w:val="0075223F"/>
    <w:rsid w:val="00752DCE"/>
    <w:rsid w:val="00753727"/>
    <w:rsid w:val="00755404"/>
    <w:rsid w:val="00755676"/>
    <w:rsid w:val="007603C6"/>
    <w:rsid w:val="00760E65"/>
    <w:rsid w:val="00763B07"/>
    <w:rsid w:val="00763D41"/>
    <w:rsid w:val="00766CD4"/>
    <w:rsid w:val="00767034"/>
    <w:rsid w:val="0077079D"/>
    <w:rsid w:val="0077147D"/>
    <w:rsid w:val="00774DBD"/>
    <w:rsid w:val="007814A1"/>
    <w:rsid w:val="00782565"/>
    <w:rsid w:val="00786C6C"/>
    <w:rsid w:val="00790072"/>
    <w:rsid w:val="00792569"/>
    <w:rsid w:val="00793554"/>
    <w:rsid w:val="007936E5"/>
    <w:rsid w:val="00793A96"/>
    <w:rsid w:val="007A29C5"/>
    <w:rsid w:val="007A50D9"/>
    <w:rsid w:val="007B0185"/>
    <w:rsid w:val="007B0A56"/>
    <w:rsid w:val="007B4B9B"/>
    <w:rsid w:val="007B7493"/>
    <w:rsid w:val="007C30EB"/>
    <w:rsid w:val="007C368A"/>
    <w:rsid w:val="007C425D"/>
    <w:rsid w:val="007C431E"/>
    <w:rsid w:val="007C6E23"/>
    <w:rsid w:val="007C72F7"/>
    <w:rsid w:val="007C76F2"/>
    <w:rsid w:val="007C7E77"/>
    <w:rsid w:val="007D21AD"/>
    <w:rsid w:val="007D40E6"/>
    <w:rsid w:val="007D542D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7F7B39"/>
    <w:rsid w:val="0080057F"/>
    <w:rsid w:val="008005B3"/>
    <w:rsid w:val="0080262B"/>
    <w:rsid w:val="0080381D"/>
    <w:rsid w:val="00803BBF"/>
    <w:rsid w:val="00803C60"/>
    <w:rsid w:val="00803E34"/>
    <w:rsid w:val="008045A7"/>
    <w:rsid w:val="00804F2A"/>
    <w:rsid w:val="008067E4"/>
    <w:rsid w:val="00806F80"/>
    <w:rsid w:val="00810D0F"/>
    <w:rsid w:val="008111C0"/>
    <w:rsid w:val="00811217"/>
    <w:rsid w:val="00814E34"/>
    <w:rsid w:val="008156EB"/>
    <w:rsid w:val="008158EE"/>
    <w:rsid w:val="0081603E"/>
    <w:rsid w:val="00816EB3"/>
    <w:rsid w:val="00823588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054"/>
    <w:rsid w:val="008434A1"/>
    <w:rsid w:val="00844A58"/>
    <w:rsid w:val="008471DD"/>
    <w:rsid w:val="0084766E"/>
    <w:rsid w:val="00850027"/>
    <w:rsid w:val="00851EA5"/>
    <w:rsid w:val="00852591"/>
    <w:rsid w:val="00856761"/>
    <w:rsid w:val="00857347"/>
    <w:rsid w:val="008573D5"/>
    <w:rsid w:val="00861E9D"/>
    <w:rsid w:val="008625BD"/>
    <w:rsid w:val="008640E5"/>
    <w:rsid w:val="00864804"/>
    <w:rsid w:val="00865499"/>
    <w:rsid w:val="008670AA"/>
    <w:rsid w:val="0086721C"/>
    <w:rsid w:val="00867924"/>
    <w:rsid w:val="00870E00"/>
    <w:rsid w:val="008734CF"/>
    <w:rsid w:val="008777D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0CCF"/>
    <w:rsid w:val="008A1923"/>
    <w:rsid w:val="008A20CD"/>
    <w:rsid w:val="008A26D8"/>
    <w:rsid w:val="008A37CD"/>
    <w:rsid w:val="008A5B8F"/>
    <w:rsid w:val="008A5EC4"/>
    <w:rsid w:val="008A6BDF"/>
    <w:rsid w:val="008A716B"/>
    <w:rsid w:val="008B2E41"/>
    <w:rsid w:val="008B2E9A"/>
    <w:rsid w:val="008B333A"/>
    <w:rsid w:val="008B5B4F"/>
    <w:rsid w:val="008C066B"/>
    <w:rsid w:val="008C0E13"/>
    <w:rsid w:val="008C2CAB"/>
    <w:rsid w:val="008C3CC7"/>
    <w:rsid w:val="008C5A60"/>
    <w:rsid w:val="008D2721"/>
    <w:rsid w:val="008D3129"/>
    <w:rsid w:val="008D448D"/>
    <w:rsid w:val="008D48DD"/>
    <w:rsid w:val="008D5B12"/>
    <w:rsid w:val="008D5E3B"/>
    <w:rsid w:val="008E114F"/>
    <w:rsid w:val="008E2523"/>
    <w:rsid w:val="008E6FD9"/>
    <w:rsid w:val="008E7A56"/>
    <w:rsid w:val="008E7C63"/>
    <w:rsid w:val="008F1057"/>
    <w:rsid w:val="008F1A68"/>
    <w:rsid w:val="008F2DEE"/>
    <w:rsid w:val="008F33FE"/>
    <w:rsid w:val="008F3A92"/>
    <w:rsid w:val="008F45EA"/>
    <w:rsid w:val="008F71EA"/>
    <w:rsid w:val="008F754B"/>
    <w:rsid w:val="00900F5C"/>
    <w:rsid w:val="00901648"/>
    <w:rsid w:val="0090278A"/>
    <w:rsid w:val="009029A5"/>
    <w:rsid w:val="00905184"/>
    <w:rsid w:val="0090632D"/>
    <w:rsid w:val="00907387"/>
    <w:rsid w:val="00910A12"/>
    <w:rsid w:val="009136F9"/>
    <w:rsid w:val="00916274"/>
    <w:rsid w:val="00917AB1"/>
    <w:rsid w:val="0092016B"/>
    <w:rsid w:val="0092078E"/>
    <w:rsid w:val="00921161"/>
    <w:rsid w:val="00922B6B"/>
    <w:rsid w:val="00922F79"/>
    <w:rsid w:val="00923D04"/>
    <w:rsid w:val="00924154"/>
    <w:rsid w:val="00924749"/>
    <w:rsid w:val="0092481C"/>
    <w:rsid w:val="0092599A"/>
    <w:rsid w:val="00926435"/>
    <w:rsid w:val="009268BD"/>
    <w:rsid w:val="00930D40"/>
    <w:rsid w:val="009320BE"/>
    <w:rsid w:val="0093245D"/>
    <w:rsid w:val="00932DF7"/>
    <w:rsid w:val="00935FFF"/>
    <w:rsid w:val="00936873"/>
    <w:rsid w:val="00937054"/>
    <w:rsid w:val="00937630"/>
    <w:rsid w:val="00940F18"/>
    <w:rsid w:val="00940FB4"/>
    <w:rsid w:val="00941A38"/>
    <w:rsid w:val="0094295E"/>
    <w:rsid w:val="00943DB0"/>
    <w:rsid w:val="009441E5"/>
    <w:rsid w:val="009445C2"/>
    <w:rsid w:val="00945ABF"/>
    <w:rsid w:val="009479BC"/>
    <w:rsid w:val="00947D33"/>
    <w:rsid w:val="009502B2"/>
    <w:rsid w:val="00952246"/>
    <w:rsid w:val="00953BF5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2CFA"/>
    <w:rsid w:val="00986BB9"/>
    <w:rsid w:val="0098796E"/>
    <w:rsid w:val="009900AD"/>
    <w:rsid w:val="0099115A"/>
    <w:rsid w:val="00992FA0"/>
    <w:rsid w:val="0099449B"/>
    <w:rsid w:val="009947DB"/>
    <w:rsid w:val="00994E48"/>
    <w:rsid w:val="00995BCA"/>
    <w:rsid w:val="0099601C"/>
    <w:rsid w:val="00997702"/>
    <w:rsid w:val="00997704"/>
    <w:rsid w:val="009A0D46"/>
    <w:rsid w:val="009A1DD4"/>
    <w:rsid w:val="009A21C5"/>
    <w:rsid w:val="009A2C90"/>
    <w:rsid w:val="009A2D1C"/>
    <w:rsid w:val="009A428D"/>
    <w:rsid w:val="009A453D"/>
    <w:rsid w:val="009A656B"/>
    <w:rsid w:val="009A73A9"/>
    <w:rsid w:val="009A7AF9"/>
    <w:rsid w:val="009A7DE1"/>
    <w:rsid w:val="009B1383"/>
    <w:rsid w:val="009B3978"/>
    <w:rsid w:val="009B75D1"/>
    <w:rsid w:val="009C1EA0"/>
    <w:rsid w:val="009C3772"/>
    <w:rsid w:val="009C3A17"/>
    <w:rsid w:val="009C47DE"/>
    <w:rsid w:val="009C4D38"/>
    <w:rsid w:val="009C501E"/>
    <w:rsid w:val="009C50FC"/>
    <w:rsid w:val="009D0479"/>
    <w:rsid w:val="009D05EB"/>
    <w:rsid w:val="009D0828"/>
    <w:rsid w:val="009D0924"/>
    <w:rsid w:val="009D34D2"/>
    <w:rsid w:val="009D55DE"/>
    <w:rsid w:val="009D56B4"/>
    <w:rsid w:val="009D6AE1"/>
    <w:rsid w:val="009D6D2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A76"/>
    <w:rsid w:val="009F3C30"/>
    <w:rsid w:val="009F6F14"/>
    <w:rsid w:val="009F70DB"/>
    <w:rsid w:val="00A00529"/>
    <w:rsid w:val="00A01504"/>
    <w:rsid w:val="00A01773"/>
    <w:rsid w:val="00A04A14"/>
    <w:rsid w:val="00A06558"/>
    <w:rsid w:val="00A06614"/>
    <w:rsid w:val="00A0689F"/>
    <w:rsid w:val="00A077D6"/>
    <w:rsid w:val="00A10B4B"/>
    <w:rsid w:val="00A12039"/>
    <w:rsid w:val="00A13B4F"/>
    <w:rsid w:val="00A14C60"/>
    <w:rsid w:val="00A15B50"/>
    <w:rsid w:val="00A1644E"/>
    <w:rsid w:val="00A16B99"/>
    <w:rsid w:val="00A17787"/>
    <w:rsid w:val="00A202CE"/>
    <w:rsid w:val="00A214E1"/>
    <w:rsid w:val="00A216C3"/>
    <w:rsid w:val="00A2178C"/>
    <w:rsid w:val="00A2505D"/>
    <w:rsid w:val="00A2661C"/>
    <w:rsid w:val="00A30421"/>
    <w:rsid w:val="00A30E40"/>
    <w:rsid w:val="00A31A58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4FF1"/>
    <w:rsid w:val="00A46EC6"/>
    <w:rsid w:val="00A46FB9"/>
    <w:rsid w:val="00A47071"/>
    <w:rsid w:val="00A51E43"/>
    <w:rsid w:val="00A55A64"/>
    <w:rsid w:val="00A56833"/>
    <w:rsid w:val="00A61568"/>
    <w:rsid w:val="00A61DE2"/>
    <w:rsid w:val="00A67762"/>
    <w:rsid w:val="00A711C6"/>
    <w:rsid w:val="00A7295D"/>
    <w:rsid w:val="00A732BA"/>
    <w:rsid w:val="00A753C9"/>
    <w:rsid w:val="00A75C8E"/>
    <w:rsid w:val="00A80771"/>
    <w:rsid w:val="00A82ADF"/>
    <w:rsid w:val="00A8361D"/>
    <w:rsid w:val="00A836E8"/>
    <w:rsid w:val="00A8384F"/>
    <w:rsid w:val="00A83D0F"/>
    <w:rsid w:val="00A83DB2"/>
    <w:rsid w:val="00A84F67"/>
    <w:rsid w:val="00A8598D"/>
    <w:rsid w:val="00A861F6"/>
    <w:rsid w:val="00A87F9C"/>
    <w:rsid w:val="00A902DE"/>
    <w:rsid w:val="00A9075F"/>
    <w:rsid w:val="00A9156B"/>
    <w:rsid w:val="00A91FB2"/>
    <w:rsid w:val="00A95E52"/>
    <w:rsid w:val="00A96386"/>
    <w:rsid w:val="00A96AAA"/>
    <w:rsid w:val="00A96DC0"/>
    <w:rsid w:val="00AA4CDC"/>
    <w:rsid w:val="00AA534C"/>
    <w:rsid w:val="00AA6D33"/>
    <w:rsid w:val="00AA6D42"/>
    <w:rsid w:val="00AA7D47"/>
    <w:rsid w:val="00AB118B"/>
    <w:rsid w:val="00AB3B2F"/>
    <w:rsid w:val="00AB4374"/>
    <w:rsid w:val="00AB5F30"/>
    <w:rsid w:val="00AB7823"/>
    <w:rsid w:val="00AC0F37"/>
    <w:rsid w:val="00AC1CB6"/>
    <w:rsid w:val="00AC2E74"/>
    <w:rsid w:val="00AC37B2"/>
    <w:rsid w:val="00AC6B12"/>
    <w:rsid w:val="00AD09E4"/>
    <w:rsid w:val="00AD1980"/>
    <w:rsid w:val="00AD1B16"/>
    <w:rsid w:val="00AD323F"/>
    <w:rsid w:val="00AD414A"/>
    <w:rsid w:val="00AD419B"/>
    <w:rsid w:val="00AD452E"/>
    <w:rsid w:val="00AD5000"/>
    <w:rsid w:val="00AD595E"/>
    <w:rsid w:val="00AD5DDA"/>
    <w:rsid w:val="00AD68EF"/>
    <w:rsid w:val="00AD7A96"/>
    <w:rsid w:val="00AE1FC9"/>
    <w:rsid w:val="00AE26B0"/>
    <w:rsid w:val="00AE36B8"/>
    <w:rsid w:val="00AE4021"/>
    <w:rsid w:val="00AE481D"/>
    <w:rsid w:val="00AE737B"/>
    <w:rsid w:val="00AF3647"/>
    <w:rsid w:val="00AF553A"/>
    <w:rsid w:val="00AF69A6"/>
    <w:rsid w:val="00AF6B00"/>
    <w:rsid w:val="00AF6F96"/>
    <w:rsid w:val="00AF75FB"/>
    <w:rsid w:val="00AF7D31"/>
    <w:rsid w:val="00B00435"/>
    <w:rsid w:val="00B00829"/>
    <w:rsid w:val="00B00B91"/>
    <w:rsid w:val="00B03923"/>
    <w:rsid w:val="00B0553E"/>
    <w:rsid w:val="00B062AD"/>
    <w:rsid w:val="00B0698E"/>
    <w:rsid w:val="00B06C8B"/>
    <w:rsid w:val="00B075B0"/>
    <w:rsid w:val="00B110B4"/>
    <w:rsid w:val="00B118D4"/>
    <w:rsid w:val="00B135F1"/>
    <w:rsid w:val="00B2055D"/>
    <w:rsid w:val="00B21A85"/>
    <w:rsid w:val="00B21C2D"/>
    <w:rsid w:val="00B225D6"/>
    <w:rsid w:val="00B23979"/>
    <w:rsid w:val="00B23DA4"/>
    <w:rsid w:val="00B243FE"/>
    <w:rsid w:val="00B24904"/>
    <w:rsid w:val="00B24CBA"/>
    <w:rsid w:val="00B258F9"/>
    <w:rsid w:val="00B2666F"/>
    <w:rsid w:val="00B26F93"/>
    <w:rsid w:val="00B27BFC"/>
    <w:rsid w:val="00B300B9"/>
    <w:rsid w:val="00B306A5"/>
    <w:rsid w:val="00B3096E"/>
    <w:rsid w:val="00B3205D"/>
    <w:rsid w:val="00B32A73"/>
    <w:rsid w:val="00B36FA1"/>
    <w:rsid w:val="00B37511"/>
    <w:rsid w:val="00B451AE"/>
    <w:rsid w:val="00B45B8F"/>
    <w:rsid w:val="00B52973"/>
    <w:rsid w:val="00B52EB1"/>
    <w:rsid w:val="00B5455D"/>
    <w:rsid w:val="00B554BC"/>
    <w:rsid w:val="00B56B51"/>
    <w:rsid w:val="00B6121E"/>
    <w:rsid w:val="00B61A5C"/>
    <w:rsid w:val="00B62B2E"/>
    <w:rsid w:val="00B637D3"/>
    <w:rsid w:val="00B65A10"/>
    <w:rsid w:val="00B66F4D"/>
    <w:rsid w:val="00B711A6"/>
    <w:rsid w:val="00B74786"/>
    <w:rsid w:val="00B757FD"/>
    <w:rsid w:val="00B770CF"/>
    <w:rsid w:val="00B80F65"/>
    <w:rsid w:val="00B82878"/>
    <w:rsid w:val="00B832AE"/>
    <w:rsid w:val="00B8334F"/>
    <w:rsid w:val="00B83B50"/>
    <w:rsid w:val="00B85456"/>
    <w:rsid w:val="00B85C83"/>
    <w:rsid w:val="00B8797E"/>
    <w:rsid w:val="00B90965"/>
    <w:rsid w:val="00B92E82"/>
    <w:rsid w:val="00B93F30"/>
    <w:rsid w:val="00B93FE1"/>
    <w:rsid w:val="00B94B25"/>
    <w:rsid w:val="00B958A6"/>
    <w:rsid w:val="00B96FBF"/>
    <w:rsid w:val="00BA1537"/>
    <w:rsid w:val="00BA2636"/>
    <w:rsid w:val="00BA459C"/>
    <w:rsid w:val="00BA6755"/>
    <w:rsid w:val="00BB349D"/>
    <w:rsid w:val="00BB43F2"/>
    <w:rsid w:val="00BB4D39"/>
    <w:rsid w:val="00BB5110"/>
    <w:rsid w:val="00BB514E"/>
    <w:rsid w:val="00BB5223"/>
    <w:rsid w:val="00BC0793"/>
    <w:rsid w:val="00BC092A"/>
    <w:rsid w:val="00BC2E11"/>
    <w:rsid w:val="00BC328A"/>
    <w:rsid w:val="00BC33F8"/>
    <w:rsid w:val="00BC3628"/>
    <w:rsid w:val="00BC4DA9"/>
    <w:rsid w:val="00BC61FC"/>
    <w:rsid w:val="00BD0268"/>
    <w:rsid w:val="00BD30B2"/>
    <w:rsid w:val="00BD37AA"/>
    <w:rsid w:val="00BD3F58"/>
    <w:rsid w:val="00BD583E"/>
    <w:rsid w:val="00BE0ADB"/>
    <w:rsid w:val="00BE0EB9"/>
    <w:rsid w:val="00BE10C7"/>
    <w:rsid w:val="00BE3CC6"/>
    <w:rsid w:val="00BE6469"/>
    <w:rsid w:val="00BE7A85"/>
    <w:rsid w:val="00BE7D4C"/>
    <w:rsid w:val="00BF1568"/>
    <w:rsid w:val="00BF321E"/>
    <w:rsid w:val="00BF4D1E"/>
    <w:rsid w:val="00BF4E44"/>
    <w:rsid w:val="00BF52C0"/>
    <w:rsid w:val="00BF602D"/>
    <w:rsid w:val="00BF7B4F"/>
    <w:rsid w:val="00C00218"/>
    <w:rsid w:val="00C01305"/>
    <w:rsid w:val="00C01849"/>
    <w:rsid w:val="00C0532A"/>
    <w:rsid w:val="00C05F9F"/>
    <w:rsid w:val="00C061EF"/>
    <w:rsid w:val="00C06CF0"/>
    <w:rsid w:val="00C07D01"/>
    <w:rsid w:val="00C11FEA"/>
    <w:rsid w:val="00C124C6"/>
    <w:rsid w:val="00C1340D"/>
    <w:rsid w:val="00C14AF9"/>
    <w:rsid w:val="00C152AD"/>
    <w:rsid w:val="00C221B1"/>
    <w:rsid w:val="00C232C0"/>
    <w:rsid w:val="00C236E0"/>
    <w:rsid w:val="00C23CA1"/>
    <w:rsid w:val="00C23F3D"/>
    <w:rsid w:val="00C2418C"/>
    <w:rsid w:val="00C258E4"/>
    <w:rsid w:val="00C25FEE"/>
    <w:rsid w:val="00C31793"/>
    <w:rsid w:val="00C32AC9"/>
    <w:rsid w:val="00C3318C"/>
    <w:rsid w:val="00C373FE"/>
    <w:rsid w:val="00C42BD0"/>
    <w:rsid w:val="00C45730"/>
    <w:rsid w:val="00C45A45"/>
    <w:rsid w:val="00C47CCD"/>
    <w:rsid w:val="00C50174"/>
    <w:rsid w:val="00C504B1"/>
    <w:rsid w:val="00C5213B"/>
    <w:rsid w:val="00C52AF1"/>
    <w:rsid w:val="00C53638"/>
    <w:rsid w:val="00C541C4"/>
    <w:rsid w:val="00C54255"/>
    <w:rsid w:val="00C55BA4"/>
    <w:rsid w:val="00C57E9A"/>
    <w:rsid w:val="00C62E0E"/>
    <w:rsid w:val="00C64ACC"/>
    <w:rsid w:val="00C6573A"/>
    <w:rsid w:val="00C66CC4"/>
    <w:rsid w:val="00C70D7F"/>
    <w:rsid w:val="00C715CB"/>
    <w:rsid w:val="00C7209A"/>
    <w:rsid w:val="00C721BC"/>
    <w:rsid w:val="00C726EF"/>
    <w:rsid w:val="00C77BDE"/>
    <w:rsid w:val="00C77C78"/>
    <w:rsid w:val="00C804DA"/>
    <w:rsid w:val="00C80FCB"/>
    <w:rsid w:val="00C814C8"/>
    <w:rsid w:val="00C819D0"/>
    <w:rsid w:val="00C81B6C"/>
    <w:rsid w:val="00C84777"/>
    <w:rsid w:val="00C86511"/>
    <w:rsid w:val="00C874D2"/>
    <w:rsid w:val="00C87A9E"/>
    <w:rsid w:val="00C9168E"/>
    <w:rsid w:val="00C91DF6"/>
    <w:rsid w:val="00C937F4"/>
    <w:rsid w:val="00C93855"/>
    <w:rsid w:val="00C94ADE"/>
    <w:rsid w:val="00C94BC4"/>
    <w:rsid w:val="00C96464"/>
    <w:rsid w:val="00CA464D"/>
    <w:rsid w:val="00CA538C"/>
    <w:rsid w:val="00CA54B4"/>
    <w:rsid w:val="00CA70EC"/>
    <w:rsid w:val="00CA75AA"/>
    <w:rsid w:val="00CA7CC2"/>
    <w:rsid w:val="00CB275A"/>
    <w:rsid w:val="00CB2FA0"/>
    <w:rsid w:val="00CB5825"/>
    <w:rsid w:val="00CB5C91"/>
    <w:rsid w:val="00CB6330"/>
    <w:rsid w:val="00CC0829"/>
    <w:rsid w:val="00CC1477"/>
    <w:rsid w:val="00CC1B4D"/>
    <w:rsid w:val="00CC2405"/>
    <w:rsid w:val="00CC28F1"/>
    <w:rsid w:val="00CC3E48"/>
    <w:rsid w:val="00CC7174"/>
    <w:rsid w:val="00CC7B2B"/>
    <w:rsid w:val="00CD024A"/>
    <w:rsid w:val="00CD0614"/>
    <w:rsid w:val="00CD0B7D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2BD4"/>
    <w:rsid w:val="00CE4902"/>
    <w:rsid w:val="00CE4940"/>
    <w:rsid w:val="00CF0089"/>
    <w:rsid w:val="00CF01EB"/>
    <w:rsid w:val="00CF1A7E"/>
    <w:rsid w:val="00CF1BC0"/>
    <w:rsid w:val="00CF28B7"/>
    <w:rsid w:val="00CF28EF"/>
    <w:rsid w:val="00CF39CC"/>
    <w:rsid w:val="00CF3B0F"/>
    <w:rsid w:val="00CF422F"/>
    <w:rsid w:val="00CF5340"/>
    <w:rsid w:val="00CF64E5"/>
    <w:rsid w:val="00CF7633"/>
    <w:rsid w:val="00CF7FB7"/>
    <w:rsid w:val="00D001ED"/>
    <w:rsid w:val="00D02E83"/>
    <w:rsid w:val="00D055F1"/>
    <w:rsid w:val="00D05F55"/>
    <w:rsid w:val="00D062B4"/>
    <w:rsid w:val="00D1289B"/>
    <w:rsid w:val="00D12CA8"/>
    <w:rsid w:val="00D13D95"/>
    <w:rsid w:val="00D158A5"/>
    <w:rsid w:val="00D1653A"/>
    <w:rsid w:val="00D17DF2"/>
    <w:rsid w:val="00D21550"/>
    <w:rsid w:val="00D222AD"/>
    <w:rsid w:val="00D222C0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34696"/>
    <w:rsid w:val="00D353BD"/>
    <w:rsid w:val="00D4012B"/>
    <w:rsid w:val="00D4065E"/>
    <w:rsid w:val="00D427F0"/>
    <w:rsid w:val="00D43C23"/>
    <w:rsid w:val="00D4739E"/>
    <w:rsid w:val="00D4756A"/>
    <w:rsid w:val="00D525A8"/>
    <w:rsid w:val="00D52ACF"/>
    <w:rsid w:val="00D53787"/>
    <w:rsid w:val="00D539AF"/>
    <w:rsid w:val="00D5468C"/>
    <w:rsid w:val="00D558C8"/>
    <w:rsid w:val="00D55DB6"/>
    <w:rsid w:val="00D56DA9"/>
    <w:rsid w:val="00D57513"/>
    <w:rsid w:val="00D624EC"/>
    <w:rsid w:val="00D625D4"/>
    <w:rsid w:val="00D632B1"/>
    <w:rsid w:val="00D64261"/>
    <w:rsid w:val="00D6520A"/>
    <w:rsid w:val="00D66692"/>
    <w:rsid w:val="00D67F02"/>
    <w:rsid w:val="00D70AE3"/>
    <w:rsid w:val="00D713E4"/>
    <w:rsid w:val="00D73B65"/>
    <w:rsid w:val="00D73B8E"/>
    <w:rsid w:val="00D73C96"/>
    <w:rsid w:val="00D73D41"/>
    <w:rsid w:val="00D74907"/>
    <w:rsid w:val="00D751EB"/>
    <w:rsid w:val="00D75A89"/>
    <w:rsid w:val="00D77608"/>
    <w:rsid w:val="00D807CB"/>
    <w:rsid w:val="00D82A79"/>
    <w:rsid w:val="00D84033"/>
    <w:rsid w:val="00D8426C"/>
    <w:rsid w:val="00D87FCC"/>
    <w:rsid w:val="00D90392"/>
    <w:rsid w:val="00D914A3"/>
    <w:rsid w:val="00D92855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9E3"/>
    <w:rsid w:val="00DC2AAE"/>
    <w:rsid w:val="00DC2CB7"/>
    <w:rsid w:val="00DC3284"/>
    <w:rsid w:val="00DC3888"/>
    <w:rsid w:val="00DC440B"/>
    <w:rsid w:val="00DC4A24"/>
    <w:rsid w:val="00DC7C04"/>
    <w:rsid w:val="00DC7F92"/>
    <w:rsid w:val="00DD10A4"/>
    <w:rsid w:val="00DD268D"/>
    <w:rsid w:val="00DD33B8"/>
    <w:rsid w:val="00DD3E4C"/>
    <w:rsid w:val="00DD40E9"/>
    <w:rsid w:val="00DD502C"/>
    <w:rsid w:val="00DD5FC4"/>
    <w:rsid w:val="00DD7120"/>
    <w:rsid w:val="00DD7C63"/>
    <w:rsid w:val="00DE0C52"/>
    <w:rsid w:val="00DE340F"/>
    <w:rsid w:val="00DE5A20"/>
    <w:rsid w:val="00DE64EB"/>
    <w:rsid w:val="00DE691C"/>
    <w:rsid w:val="00DF0811"/>
    <w:rsid w:val="00DF0FE2"/>
    <w:rsid w:val="00DF51EC"/>
    <w:rsid w:val="00DF6E6A"/>
    <w:rsid w:val="00DF7BE7"/>
    <w:rsid w:val="00E00EE7"/>
    <w:rsid w:val="00E01097"/>
    <w:rsid w:val="00E014CB"/>
    <w:rsid w:val="00E0586E"/>
    <w:rsid w:val="00E1004D"/>
    <w:rsid w:val="00E104D3"/>
    <w:rsid w:val="00E125E4"/>
    <w:rsid w:val="00E12963"/>
    <w:rsid w:val="00E13FF8"/>
    <w:rsid w:val="00E1428A"/>
    <w:rsid w:val="00E145C4"/>
    <w:rsid w:val="00E14BB3"/>
    <w:rsid w:val="00E169AA"/>
    <w:rsid w:val="00E16D8E"/>
    <w:rsid w:val="00E20C0F"/>
    <w:rsid w:val="00E23D3E"/>
    <w:rsid w:val="00E2416F"/>
    <w:rsid w:val="00E2458B"/>
    <w:rsid w:val="00E2468A"/>
    <w:rsid w:val="00E26985"/>
    <w:rsid w:val="00E32DAA"/>
    <w:rsid w:val="00E34D91"/>
    <w:rsid w:val="00E36E4C"/>
    <w:rsid w:val="00E3769D"/>
    <w:rsid w:val="00E4022E"/>
    <w:rsid w:val="00E427D2"/>
    <w:rsid w:val="00E4488A"/>
    <w:rsid w:val="00E54EAF"/>
    <w:rsid w:val="00E55815"/>
    <w:rsid w:val="00E558E4"/>
    <w:rsid w:val="00E563E8"/>
    <w:rsid w:val="00E56549"/>
    <w:rsid w:val="00E56680"/>
    <w:rsid w:val="00E576D2"/>
    <w:rsid w:val="00E576D8"/>
    <w:rsid w:val="00E6022B"/>
    <w:rsid w:val="00E60504"/>
    <w:rsid w:val="00E61061"/>
    <w:rsid w:val="00E62DEE"/>
    <w:rsid w:val="00E62F39"/>
    <w:rsid w:val="00E63751"/>
    <w:rsid w:val="00E647C0"/>
    <w:rsid w:val="00E648C4"/>
    <w:rsid w:val="00E6543F"/>
    <w:rsid w:val="00E66E99"/>
    <w:rsid w:val="00E66EA7"/>
    <w:rsid w:val="00E71C76"/>
    <w:rsid w:val="00E723A2"/>
    <w:rsid w:val="00E727F9"/>
    <w:rsid w:val="00E73C28"/>
    <w:rsid w:val="00E742B1"/>
    <w:rsid w:val="00E74DF7"/>
    <w:rsid w:val="00E75A3D"/>
    <w:rsid w:val="00E762C6"/>
    <w:rsid w:val="00E7766F"/>
    <w:rsid w:val="00E77ABB"/>
    <w:rsid w:val="00E824DD"/>
    <w:rsid w:val="00E82E4C"/>
    <w:rsid w:val="00E82EA8"/>
    <w:rsid w:val="00E83912"/>
    <w:rsid w:val="00E86AAD"/>
    <w:rsid w:val="00E876EA"/>
    <w:rsid w:val="00E87E07"/>
    <w:rsid w:val="00E903DB"/>
    <w:rsid w:val="00E90EAE"/>
    <w:rsid w:val="00E9196B"/>
    <w:rsid w:val="00E943BD"/>
    <w:rsid w:val="00EA186E"/>
    <w:rsid w:val="00EA5F8F"/>
    <w:rsid w:val="00EA6349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E32"/>
    <w:rsid w:val="00EC7ADC"/>
    <w:rsid w:val="00ED0779"/>
    <w:rsid w:val="00ED2D8B"/>
    <w:rsid w:val="00ED3981"/>
    <w:rsid w:val="00ED40B7"/>
    <w:rsid w:val="00ED42A7"/>
    <w:rsid w:val="00ED51FC"/>
    <w:rsid w:val="00ED7F7F"/>
    <w:rsid w:val="00EE0626"/>
    <w:rsid w:val="00EE120F"/>
    <w:rsid w:val="00EE3969"/>
    <w:rsid w:val="00EE456E"/>
    <w:rsid w:val="00EF0C73"/>
    <w:rsid w:val="00EF2D26"/>
    <w:rsid w:val="00EF36CB"/>
    <w:rsid w:val="00EF5129"/>
    <w:rsid w:val="00EF56B2"/>
    <w:rsid w:val="00EF5F2E"/>
    <w:rsid w:val="00F010A9"/>
    <w:rsid w:val="00F02358"/>
    <w:rsid w:val="00F0347B"/>
    <w:rsid w:val="00F119E2"/>
    <w:rsid w:val="00F11AA2"/>
    <w:rsid w:val="00F13393"/>
    <w:rsid w:val="00F144F4"/>
    <w:rsid w:val="00F156AC"/>
    <w:rsid w:val="00F219F2"/>
    <w:rsid w:val="00F228FA"/>
    <w:rsid w:val="00F22A3F"/>
    <w:rsid w:val="00F22B53"/>
    <w:rsid w:val="00F23BCE"/>
    <w:rsid w:val="00F2598F"/>
    <w:rsid w:val="00F31901"/>
    <w:rsid w:val="00F31CA9"/>
    <w:rsid w:val="00F31CF8"/>
    <w:rsid w:val="00F3278E"/>
    <w:rsid w:val="00F33C00"/>
    <w:rsid w:val="00F35D88"/>
    <w:rsid w:val="00F37431"/>
    <w:rsid w:val="00F4170A"/>
    <w:rsid w:val="00F430ED"/>
    <w:rsid w:val="00F4394A"/>
    <w:rsid w:val="00F444FD"/>
    <w:rsid w:val="00F45AAC"/>
    <w:rsid w:val="00F46624"/>
    <w:rsid w:val="00F466BD"/>
    <w:rsid w:val="00F46D96"/>
    <w:rsid w:val="00F5715D"/>
    <w:rsid w:val="00F57252"/>
    <w:rsid w:val="00F57454"/>
    <w:rsid w:val="00F57930"/>
    <w:rsid w:val="00F57941"/>
    <w:rsid w:val="00F57A80"/>
    <w:rsid w:val="00F57D61"/>
    <w:rsid w:val="00F605EE"/>
    <w:rsid w:val="00F61B11"/>
    <w:rsid w:val="00F63D61"/>
    <w:rsid w:val="00F653FE"/>
    <w:rsid w:val="00F71BAA"/>
    <w:rsid w:val="00F721EB"/>
    <w:rsid w:val="00F723C9"/>
    <w:rsid w:val="00F72AD8"/>
    <w:rsid w:val="00F72B7B"/>
    <w:rsid w:val="00F73710"/>
    <w:rsid w:val="00F74EFD"/>
    <w:rsid w:val="00F75858"/>
    <w:rsid w:val="00F75F32"/>
    <w:rsid w:val="00F769D3"/>
    <w:rsid w:val="00F8006B"/>
    <w:rsid w:val="00F80519"/>
    <w:rsid w:val="00F83B5F"/>
    <w:rsid w:val="00F84035"/>
    <w:rsid w:val="00F8504B"/>
    <w:rsid w:val="00F860B3"/>
    <w:rsid w:val="00F87A76"/>
    <w:rsid w:val="00F90137"/>
    <w:rsid w:val="00F90ADA"/>
    <w:rsid w:val="00F92D0F"/>
    <w:rsid w:val="00F94271"/>
    <w:rsid w:val="00F9635B"/>
    <w:rsid w:val="00F96829"/>
    <w:rsid w:val="00F9798C"/>
    <w:rsid w:val="00F97D82"/>
    <w:rsid w:val="00FA18CD"/>
    <w:rsid w:val="00FA1A57"/>
    <w:rsid w:val="00FA2089"/>
    <w:rsid w:val="00FA2380"/>
    <w:rsid w:val="00FA3B97"/>
    <w:rsid w:val="00FA3F21"/>
    <w:rsid w:val="00FA4839"/>
    <w:rsid w:val="00FA6901"/>
    <w:rsid w:val="00FA6BAD"/>
    <w:rsid w:val="00FB00B1"/>
    <w:rsid w:val="00FB19CA"/>
    <w:rsid w:val="00FB2077"/>
    <w:rsid w:val="00FB2FF5"/>
    <w:rsid w:val="00FB3E9E"/>
    <w:rsid w:val="00FB52C1"/>
    <w:rsid w:val="00FB5756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1E2"/>
    <w:rsid w:val="00FE39FA"/>
    <w:rsid w:val="00FE43F1"/>
    <w:rsid w:val="00FE44E3"/>
    <w:rsid w:val="00FE5B8B"/>
    <w:rsid w:val="00FE781D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834F47"/>
  <w15:chartTrackingRefBased/>
  <w15:docId w15:val="{2D7F4D9B-5226-472C-84E3-72A7C85EB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71C5"/>
    <w:pPr>
      <w:spacing w:line="340" w:lineRule="atLeast"/>
      <w:jc w:val="both"/>
    </w:pPr>
    <w:rPr>
      <w:rFonts w:eastAsia="Times New Roman" w:cs="Times New Roman"/>
      <w:color w:val="000000"/>
      <w:kern w:val="0"/>
      <w:sz w:val="24"/>
      <w:lang w:eastAsia="de-DE"/>
    </w:rPr>
  </w:style>
  <w:style w:type="paragraph" w:styleId="Heading1">
    <w:name w:val="heading 1"/>
    <w:aliases w:val="x"/>
    <w:basedOn w:val="Normal"/>
    <w:next w:val="Normal"/>
    <w:link w:val="Heading1Char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F87A76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610C2F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F87A76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F87A76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F87A76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F87A76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F87A76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F87A76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F87A76"/>
    <w:pPr>
      <w:numPr>
        <w:numId w:val="19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F87A76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F87A76"/>
    <w:rPr>
      <w:i/>
    </w:rPr>
  </w:style>
  <w:style w:type="paragraph" w:customStyle="1" w:styleId="Mdeck4textlrindent">
    <w:name w:val="M_deck_4_text_lr_indent"/>
    <w:basedOn w:val="Mdeck4text"/>
    <w:qFormat/>
    <w:rsid w:val="00C53638"/>
    <w:pPr>
      <w:spacing w:line="260" w:lineRule="atLeast"/>
      <w:ind w:left="567" w:right="567" w:firstLine="0"/>
    </w:pPr>
  </w:style>
  <w:style w:type="paragraph" w:customStyle="1" w:styleId="Mdeck4textnumberedlist">
    <w:name w:val="M_deck_4_text_numbered_list"/>
    <w:basedOn w:val="Mdeck4text"/>
    <w:qFormat/>
    <w:rsid w:val="00F87A76"/>
    <w:pPr>
      <w:numPr>
        <w:numId w:val="20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F87A76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87A76"/>
    <w:pPr>
      <w:adjustRightInd w:val="0"/>
      <w:snapToGrid w:val="0"/>
      <w:spacing w:line="300" w:lineRule="exact"/>
      <w:jc w:val="center"/>
    </w:pPr>
    <w:rPr>
      <w:rFonts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C31793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F87A76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F87A76"/>
  </w:style>
  <w:style w:type="paragraph" w:customStyle="1" w:styleId="Mdeck6figurebody">
    <w:name w:val="M_deck_6_figure_body"/>
    <w:qFormat/>
    <w:rsid w:val="00F87A76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DD33B8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F87A76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F87A76"/>
    <w:pPr>
      <w:numPr>
        <w:numId w:val="1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  <w:lang w:eastAsia="en-US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C53638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 w:cstheme="minorBidi"/>
      <w:sz w:val="18"/>
      <w:szCs w:val="22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 w:firstLine="284"/>
    </w:pPr>
    <w:rPr>
      <w:rFonts w:ascii="Times New Roman" w:hAnsi="Times New Roman"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EndNoteBibliography">
    <w:name w:val="EndNote Bibliography"/>
    <w:basedOn w:val="Normal"/>
    <w:link w:val="EndNoteBibliographyChar"/>
    <w:rsid w:val="003D15C2"/>
    <w:pPr>
      <w:spacing w:after="160" w:line="240" w:lineRule="auto"/>
      <w:jc w:val="left"/>
    </w:pPr>
    <w:rPr>
      <w:rFonts w:ascii="Calibri" w:eastAsiaTheme="minorHAnsi" w:hAnsi="Calibri" w:cstheme="minorBidi"/>
      <w:noProof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3D15C2"/>
    <w:rPr>
      <w:rFonts w:ascii="Calibri" w:eastAsiaTheme="minorHAnsi" w:hAnsi="Calibri"/>
      <w:noProof/>
      <w:kern w:val="0"/>
      <w:sz w:val="22"/>
      <w:szCs w:val="22"/>
      <w:lang w:eastAsia="en-US"/>
    </w:rPr>
  </w:style>
  <w:style w:type="table" w:styleId="PlainTable4">
    <w:name w:val="Plain Table 4"/>
    <w:basedOn w:val="TableNormal"/>
    <w:uiPriority w:val="44"/>
    <w:rsid w:val="003D15C2"/>
    <w:rPr>
      <w:rFonts w:asciiTheme="minorHAnsi" w:eastAsiaTheme="minorHAnsi" w:hAnsiTheme="minorHAnsi"/>
      <w:kern w:val="0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doi">
    <w:name w:val="doi"/>
    <w:basedOn w:val="DefaultParagraphFont"/>
    <w:rsid w:val="00244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D14E7-6022-472A-9C62-1EF12ACF8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MDPI</dc:creator>
  <cp:keywords/>
  <dc:description/>
  <cp:lastModifiedBy>mdpi</cp:lastModifiedBy>
  <cp:revision>3</cp:revision>
  <dcterms:created xsi:type="dcterms:W3CDTF">2016-06-07T01:33:00Z</dcterms:created>
  <dcterms:modified xsi:type="dcterms:W3CDTF">2016-06-07T06:51:00Z</dcterms:modified>
</cp:coreProperties>
</file>