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82" w:rsidRPr="00F55A52" w:rsidRDefault="00624CE6" w:rsidP="00023282">
      <w:pPr>
        <w:pStyle w:val="MDPI12title"/>
      </w:pPr>
      <w:r w:rsidRPr="00BE36C7">
        <w:t>Supplementary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F55A52">
        <w:t>Fire Ant Venom Alkaloids Inhibit Biofilm Formation</w:t>
      </w:r>
    </w:p>
    <w:p w:rsidR="00136BEC" w:rsidRPr="00F13D4E" w:rsidRDefault="00136BEC" w:rsidP="00136BEC">
      <w:pPr>
        <w:pStyle w:val="MDPI13authornames"/>
        <w:rPr>
          <w:lang w:val="pt-BR"/>
        </w:rPr>
      </w:pPr>
      <w:bookmarkStart w:id="0" w:name="Heading"/>
      <w:bookmarkEnd w:id="0"/>
      <w:r w:rsidRPr="00FA3F7C">
        <w:rPr>
          <w:lang w:val="pt-BR"/>
        </w:rPr>
        <w:t>Danielle Bruno de Carvalho</w:t>
      </w:r>
      <w:r w:rsidRPr="00FA3F7C">
        <w:rPr>
          <w:rFonts w:hint="eastAsia"/>
          <w:lang w:val="pt-BR"/>
        </w:rPr>
        <w:t>,</w:t>
      </w:r>
      <w:r w:rsidRPr="00F13D4E">
        <w:rPr>
          <w:lang w:val="pt-BR"/>
        </w:rPr>
        <w:t xml:space="preserve"> Eduardo Gonçalves Paterson Fox</w:t>
      </w:r>
      <w:r w:rsidRPr="00F13D4E">
        <w:rPr>
          <w:rFonts w:hint="eastAsia"/>
          <w:lang w:val="pt-BR"/>
        </w:rPr>
        <w:t xml:space="preserve">, </w:t>
      </w:r>
      <w:r w:rsidRPr="00F13D4E">
        <w:rPr>
          <w:lang w:val="pt-BR"/>
        </w:rPr>
        <w:t>Diogo Gama dos Santos</w:t>
      </w:r>
      <w:r w:rsidRPr="00F13D4E">
        <w:rPr>
          <w:rFonts w:hint="eastAsia"/>
          <w:lang w:val="pt-BR"/>
        </w:rPr>
        <w:t>,</w:t>
      </w:r>
      <w:r w:rsidRPr="00F13D4E">
        <w:rPr>
          <w:lang w:val="pt-BR"/>
        </w:rPr>
        <w:t xml:space="preserve"> </w:t>
      </w:r>
      <w:r w:rsidRPr="00F13D4E">
        <w:rPr>
          <w:lang w:val="pt-BR"/>
        </w:rPr>
        <w:br/>
        <w:t>Joab Sampaio de Sousa</w:t>
      </w:r>
      <w:r w:rsidRPr="00F13D4E">
        <w:rPr>
          <w:rFonts w:hint="eastAsia"/>
          <w:lang w:val="pt-BR"/>
        </w:rPr>
        <w:t>,</w:t>
      </w:r>
      <w:r w:rsidRPr="00F13D4E">
        <w:rPr>
          <w:lang w:val="pt-BR"/>
        </w:rPr>
        <w:t xml:space="preserve"> Denise Maria Guimarães Freire</w:t>
      </w:r>
      <w:r w:rsidRPr="00F13D4E">
        <w:rPr>
          <w:rFonts w:hint="eastAsia"/>
          <w:lang w:val="pt-BR"/>
        </w:rPr>
        <w:t>,</w:t>
      </w:r>
      <w:r w:rsidRPr="00F13D4E">
        <w:rPr>
          <w:lang w:val="pt-BR"/>
        </w:rPr>
        <w:t xml:space="preserve"> Fabio C. S. Nogueira</w:t>
      </w:r>
      <w:r w:rsidRPr="00F13D4E">
        <w:rPr>
          <w:rFonts w:hint="eastAsia"/>
          <w:lang w:val="pt-BR"/>
        </w:rPr>
        <w:t>,</w:t>
      </w:r>
      <w:r w:rsidRPr="00F13D4E">
        <w:rPr>
          <w:lang w:val="pt-BR"/>
        </w:rPr>
        <w:t xml:space="preserve"> </w:t>
      </w:r>
      <w:r w:rsidRPr="00F13D4E">
        <w:rPr>
          <w:lang w:val="pt-BR"/>
        </w:rPr>
        <w:br/>
        <w:t>Gilberto B. Domont</w:t>
      </w:r>
      <w:r w:rsidRPr="00F13D4E">
        <w:rPr>
          <w:rFonts w:hint="eastAsia"/>
          <w:lang w:val="pt-BR"/>
        </w:rPr>
        <w:t>,</w:t>
      </w:r>
      <w:r w:rsidRPr="00F13D4E">
        <w:rPr>
          <w:lang w:val="pt-BR"/>
        </w:rPr>
        <w:t xml:space="preserve"> Livia Vieira Araujo de Castilho and Ednildo de Alcântara Machado</w:t>
      </w:r>
    </w:p>
    <w:p w:rsidR="003D2EB2" w:rsidRPr="00E01D8C" w:rsidRDefault="00D709C5" w:rsidP="00D709C5">
      <w:pPr>
        <w:pStyle w:val="MDPI52figure"/>
      </w:pPr>
      <w:r>
        <w:rPr>
          <w:rFonts w:eastAsia="Times"/>
          <w:noProof/>
          <w:u w:color="000000"/>
          <w:lang w:eastAsia="zh-CN" w:bidi="ar-SA"/>
        </w:rPr>
        <w:drawing>
          <wp:inline distT="0" distB="0" distL="0" distR="0">
            <wp:extent cx="5618480" cy="2596309"/>
            <wp:effectExtent l="0" t="0" r="1270" b="0"/>
            <wp:docPr id="3" name="Picture 2" descr="E:\Figure_Dani_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Figure_Dani_S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80" cy="259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EB2" w:rsidRPr="00E01D8C" w:rsidRDefault="003D2EB2" w:rsidP="003D2EB2">
      <w:pPr>
        <w:pStyle w:val="MDPI51figurecaption"/>
        <w:rPr>
          <w:color w:val="auto"/>
        </w:rPr>
      </w:pPr>
      <w:r w:rsidRPr="00E01D8C">
        <w:rPr>
          <w:b/>
          <w:color w:val="auto"/>
        </w:rPr>
        <w:t>Figure S1.</w:t>
      </w:r>
      <w:r w:rsidRPr="00E01D8C">
        <w:rPr>
          <w:color w:val="auto"/>
        </w:rPr>
        <w:t xml:space="preserve"> </w:t>
      </w:r>
      <w:r w:rsidR="00D709C5" w:rsidRPr="00D709C5">
        <w:rPr>
          <w:color w:val="auto"/>
        </w:rPr>
        <w:t xml:space="preserve">Representative chromatogram of venom alkaloids extracted with hexane: acetone elution as described in [32], with peaks identified as described in [34], from red imported fire ants </w:t>
      </w:r>
      <w:proofErr w:type="spellStart"/>
      <w:r w:rsidR="00D709C5" w:rsidRPr="00D709C5">
        <w:rPr>
          <w:i/>
          <w:iCs/>
          <w:color w:val="auto"/>
        </w:rPr>
        <w:t>Solenopsis</w:t>
      </w:r>
      <w:proofErr w:type="spellEnd"/>
      <w:r w:rsidR="00D709C5" w:rsidRPr="00D709C5">
        <w:rPr>
          <w:i/>
          <w:iCs/>
          <w:color w:val="auto"/>
        </w:rPr>
        <w:t xml:space="preserve"> </w:t>
      </w:r>
      <w:proofErr w:type="spellStart"/>
      <w:r w:rsidR="00D709C5" w:rsidRPr="00D709C5">
        <w:rPr>
          <w:i/>
          <w:iCs/>
          <w:color w:val="auto"/>
        </w:rPr>
        <w:t>invicta</w:t>
      </w:r>
      <w:proofErr w:type="spellEnd"/>
      <w:r w:rsidR="00D709C5" w:rsidRPr="00D709C5">
        <w:rPr>
          <w:color w:val="auto"/>
        </w:rPr>
        <w:t xml:space="preserve"> collected in Rio de Janeiro, Brazil.</w:t>
      </w:r>
    </w:p>
    <w:p w:rsidR="003D2EB2" w:rsidRPr="00E01D8C" w:rsidRDefault="00AF61E1" w:rsidP="00AF61E1">
      <w:pPr>
        <w:pStyle w:val="MDPI52figure"/>
      </w:pPr>
      <w:r>
        <w:rPr>
          <w:rFonts w:eastAsia="Times"/>
          <w:noProof/>
          <w:lang w:eastAsia="zh-CN" w:bidi="ar-SA"/>
        </w:rPr>
        <w:lastRenderedPageBreak/>
        <w:drawing>
          <wp:inline distT="0" distB="0" distL="0" distR="0">
            <wp:extent cx="5618480" cy="4802932"/>
            <wp:effectExtent l="0" t="0" r="1270" b="0"/>
            <wp:docPr id="1" name="Picture 1" descr="C:\Users\lenovo\Desktop\FigureS1_toxin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FigureS1_toxins.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80" cy="4802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EB2" w:rsidRDefault="003D2EB2" w:rsidP="00467978">
      <w:pPr>
        <w:pStyle w:val="MDPI51figurecaption"/>
        <w:rPr>
          <w:color w:val="auto"/>
        </w:rPr>
      </w:pPr>
      <w:r w:rsidRPr="00E01D8C">
        <w:rPr>
          <w:b/>
          <w:color w:val="auto"/>
        </w:rPr>
        <w:t>Figure S2.</w:t>
      </w:r>
      <w:r w:rsidRPr="00E01D8C">
        <w:rPr>
          <w:color w:val="auto"/>
        </w:rPr>
        <w:t xml:space="preserve"> </w:t>
      </w:r>
      <w:r w:rsidR="00AF61E1" w:rsidRPr="00AF61E1">
        <w:rPr>
          <w:color w:val="auto"/>
        </w:rPr>
        <w:t>Linear regression from mean obtained inhibition halos from disk-diffusion using different concentrations (</w:t>
      </w:r>
      <w:proofErr w:type="spellStart"/>
      <w:r w:rsidR="00AF61E1" w:rsidRPr="00AF61E1">
        <w:rPr>
          <w:color w:val="auto"/>
        </w:rPr>
        <w:t>μg</w:t>
      </w:r>
      <w:proofErr w:type="spellEnd"/>
      <w:r w:rsidR="00AF61E1" w:rsidRPr="00AF61E1">
        <w:rPr>
          <w:color w:val="auto"/>
        </w:rPr>
        <w:t>/m</w:t>
      </w:r>
      <w:r w:rsidR="00AF61E1">
        <w:rPr>
          <w:color w:val="auto"/>
        </w:rPr>
        <w:t>L</w:t>
      </w:r>
      <w:r w:rsidR="00AF61E1" w:rsidRPr="00AF61E1">
        <w:rPr>
          <w:color w:val="auto"/>
        </w:rPr>
        <w:t xml:space="preserve">) of </w:t>
      </w:r>
      <w:proofErr w:type="spellStart"/>
      <w:r w:rsidR="00AF61E1" w:rsidRPr="00AF61E1">
        <w:rPr>
          <w:color w:val="auto"/>
        </w:rPr>
        <w:t>solenopsins</w:t>
      </w:r>
      <w:proofErr w:type="spellEnd"/>
      <w:r w:rsidR="00AF61E1" w:rsidRPr="00AF61E1">
        <w:rPr>
          <w:color w:val="auto"/>
        </w:rPr>
        <w:t xml:space="preserve"> added to a confluent </w:t>
      </w:r>
      <w:r w:rsidR="00AF61E1" w:rsidRPr="00AF61E1">
        <w:rPr>
          <w:i/>
          <w:iCs/>
          <w:color w:val="auto"/>
        </w:rPr>
        <w:t>Pseudomonas fluorescens</w:t>
      </w:r>
      <w:r w:rsidR="00AF61E1" w:rsidRPr="00AF61E1">
        <w:rPr>
          <w:color w:val="auto"/>
        </w:rPr>
        <w:t xml:space="preserve"> growth plate, incubated at 25 °C for 24 h. Same results as presented in Figure 1, herein transformed for MIC estimation (</w:t>
      </w:r>
      <w:r w:rsidR="00F13D4E">
        <w:rPr>
          <w:color w:val="auto"/>
        </w:rPr>
        <w:t xml:space="preserve">at </w:t>
      </w:r>
      <w:r w:rsidR="00AF61E1" w:rsidRPr="00F13D4E">
        <w:rPr>
          <w:color w:val="auto"/>
        </w:rPr>
        <w:t>x</w:t>
      </w:r>
      <w:r w:rsidR="00F13D4E">
        <w:rPr>
          <w:color w:val="auto"/>
        </w:rPr>
        <w:t xml:space="preserve"> = </w:t>
      </w:r>
      <w:r w:rsidR="00AF61E1" w:rsidRPr="00AF61E1">
        <w:rPr>
          <w:color w:val="auto"/>
        </w:rPr>
        <w:t>0</w:t>
      </w:r>
      <w:r w:rsidR="00F13D4E">
        <w:rPr>
          <w:color w:val="auto"/>
        </w:rPr>
        <w:t>,</w:t>
      </w:r>
      <w:r w:rsidR="00AF61E1" w:rsidRPr="00AF61E1">
        <w:rPr>
          <w:color w:val="auto"/>
        </w:rPr>
        <w:t xml:space="preserve"> where indicated) according with [53].</w:t>
      </w:r>
    </w:p>
    <w:p w:rsidR="00C61A3F" w:rsidRPr="00E01D8C" w:rsidRDefault="00C61A3F" w:rsidP="00C61A3F">
      <w:pPr>
        <w:pStyle w:val="MDPI41tablecaption"/>
        <w:rPr>
          <w:rFonts w:eastAsia="MS Mincho"/>
        </w:rPr>
      </w:pPr>
      <w:r w:rsidRPr="00467978">
        <w:rPr>
          <w:rFonts w:eastAsia="MS Mincho"/>
          <w:b/>
        </w:rPr>
        <w:t xml:space="preserve">Table 1. </w:t>
      </w:r>
      <w:r w:rsidRPr="00467978">
        <w:rPr>
          <w:rFonts w:eastAsia="MS Mincho"/>
        </w:rPr>
        <w:t xml:space="preserve">Viability of cells recovered from 1 mL of biofilm of </w:t>
      </w:r>
      <w:r w:rsidRPr="00467978">
        <w:rPr>
          <w:rFonts w:eastAsia="MS Mincho"/>
          <w:i/>
          <w:iCs/>
        </w:rPr>
        <w:t>Pseudomonas fluorescens</w:t>
      </w:r>
      <w:r w:rsidRPr="00467978">
        <w:rPr>
          <w:rFonts w:eastAsia="MS Mincho"/>
        </w:rPr>
        <w:t xml:space="preserve"> formed on surfaces of polystyrene or stainless steel conditioned with venom solenopsins extracted from the red imported fire ant </w:t>
      </w:r>
      <w:proofErr w:type="spellStart"/>
      <w:r w:rsidRPr="00467978">
        <w:rPr>
          <w:rFonts w:eastAsia="MS Mincho"/>
          <w:i/>
          <w:iCs/>
        </w:rPr>
        <w:t>Solenopsis</w:t>
      </w:r>
      <w:proofErr w:type="spellEnd"/>
      <w:r w:rsidRPr="00467978">
        <w:rPr>
          <w:rFonts w:eastAsia="MS Mincho"/>
          <w:i/>
          <w:iCs/>
        </w:rPr>
        <w:t xml:space="preserve"> </w:t>
      </w:r>
      <w:proofErr w:type="spellStart"/>
      <w:r w:rsidRPr="00467978">
        <w:rPr>
          <w:rFonts w:eastAsia="MS Mincho"/>
          <w:i/>
          <w:iCs/>
        </w:rPr>
        <w:t>invicta</w:t>
      </w:r>
      <w:proofErr w:type="spellEnd"/>
      <w:r w:rsidRPr="00E01D8C">
        <w:rPr>
          <w:rFonts w:eastAsia="MS Mincho"/>
        </w:rPr>
        <w:t>.</w:t>
      </w:r>
    </w:p>
    <w:tbl>
      <w:tblPr>
        <w:tblW w:w="8722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08"/>
        <w:gridCol w:w="2907"/>
        <w:gridCol w:w="2907"/>
      </w:tblGrid>
      <w:tr w:rsidR="00C61A3F" w:rsidRPr="00445220" w:rsidTr="004B69D6">
        <w:trPr>
          <w:jc w:val="center"/>
        </w:trPr>
        <w:tc>
          <w:tcPr>
            <w:tcW w:w="2908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lang w:eastAsia="zh-CN"/>
              </w:rPr>
            </w:pPr>
            <w:r w:rsidRPr="00445220">
              <w:rPr>
                <w:rFonts w:ascii="Palatino Linotype" w:eastAsia="Times New Roman" w:hAnsi="Palatino Linotype"/>
                <w:b/>
                <w:bCs/>
                <w:szCs w:val="24"/>
              </w:rPr>
              <w:t>Treatments</w:t>
            </w:r>
          </w:p>
        </w:tc>
        <w:tc>
          <w:tcPr>
            <w:tcW w:w="2907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1A3F" w:rsidRPr="00445220" w:rsidRDefault="00C61A3F" w:rsidP="004B69D6">
            <w:pPr>
              <w:pStyle w:val="af2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45220">
              <w:rPr>
                <w:rFonts w:ascii="Palatino Linotype" w:eastAsia="Times New Roman" w:hAnsi="Palatino Linotype"/>
                <w:b/>
                <w:sz w:val="20"/>
              </w:rPr>
              <w:t>Polystyrene</w:t>
            </w:r>
          </w:p>
        </w:tc>
        <w:tc>
          <w:tcPr>
            <w:tcW w:w="2907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1A3F" w:rsidRPr="00445220" w:rsidRDefault="00C61A3F" w:rsidP="004B69D6">
            <w:pPr>
              <w:pStyle w:val="af2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45220">
              <w:rPr>
                <w:rFonts w:ascii="Palatino Linotype" w:eastAsia="Times New Roman" w:hAnsi="Palatino Linotype"/>
                <w:b/>
                <w:sz w:val="20"/>
              </w:rPr>
              <w:t>Stainless Steel</w:t>
            </w:r>
          </w:p>
        </w:tc>
      </w:tr>
      <w:tr w:rsidR="00C61A3F" w:rsidRPr="00445220" w:rsidTr="004B69D6">
        <w:trPr>
          <w:jc w:val="center"/>
        </w:trPr>
        <w:tc>
          <w:tcPr>
            <w:tcW w:w="290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07" w:type="dxa"/>
            <w:tcBorders>
              <w:top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</w:rPr>
            </w:pPr>
            <w:r w:rsidRPr="00445220">
              <w:rPr>
                <w:rFonts w:ascii="Palatino Linotype" w:eastAsia="Times New Roman" w:hAnsi="Palatino Linotype"/>
                <w:b/>
                <w:bCs/>
                <w:szCs w:val="24"/>
              </w:rPr>
              <w:t xml:space="preserve">Viable </w:t>
            </w:r>
            <w:r>
              <w:rPr>
                <w:rFonts w:ascii="Palatino Linotype" w:eastAsia="Times New Roman" w:hAnsi="Palatino Linotype"/>
                <w:b/>
                <w:bCs/>
                <w:szCs w:val="24"/>
              </w:rPr>
              <w:t>C</w:t>
            </w:r>
            <w:r w:rsidRPr="00445220">
              <w:rPr>
                <w:rFonts w:ascii="Palatino Linotype" w:eastAsia="Times New Roman" w:hAnsi="Palatino Linotype"/>
                <w:b/>
                <w:bCs/>
                <w:szCs w:val="24"/>
              </w:rPr>
              <w:t>ells</w:t>
            </w:r>
          </w:p>
        </w:tc>
        <w:tc>
          <w:tcPr>
            <w:tcW w:w="2907" w:type="dxa"/>
            <w:tcBorders>
              <w:top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</w:rPr>
            </w:pPr>
            <w:r w:rsidRPr="00445220">
              <w:rPr>
                <w:rFonts w:ascii="Palatino Linotype" w:eastAsia="Times New Roman" w:hAnsi="Palatino Linotype"/>
                <w:b/>
                <w:bCs/>
                <w:szCs w:val="24"/>
              </w:rPr>
              <w:t xml:space="preserve">Viable </w:t>
            </w:r>
            <w:r>
              <w:rPr>
                <w:rFonts w:ascii="Palatino Linotype" w:eastAsia="Times New Roman" w:hAnsi="Palatino Linotype"/>
                <w:b/>
                <w:bCs/>
                <w:szCs w:val="24"/>
              </w:rPr>
              <w:t>C</w:t>
            </w:r>
            <w:r w:rsidRPr="00445220">
              <w:rPr>
                <w:rFonts w:ascii="Palatino Linotype" w:eastAsia="Times New Roman" w:hAnsi="Palatino Linotype"/>
                <w:b/>
                <w:bCs/>
                <w:szCs w:val="24"/>
              </w:rPr>
              <w:t>ells</w:t>
            </w:r>
          </w:p>
        </w:tc>
      </w:tr>
      <w:tr w:rsidR="00C61A3F" w:rsidRPr="00445220" w:rsidTr="004B69D6">
        <w:trPr>
          <w:jc w:val="center"/>
        </w:trPr>
        <w:tc>
          <w:tcPr>
            <w:tcW w:w="29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/>
                <w:szCs w:val="24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Control</w:t>
            </w:r>
          </w:p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0 µg/mL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130.00 ± 26.53</w:t>
            </w:r>
            <w:r>
              <w:rPr>
                <w:rFonts w:ascii="Palatino Linotype" w:eastAsia="Times New Roman" w:hAnsi="Palatino Linotype"/>
                <w:szCs w:val="24"/>
              </w:rPr>
              <w:t xml:space="preserve"> </w:t>
            </w:r>
            <w:r w:rsidRPr="00445220">
              <w:rPr>
                <w:rFonts w:ascii="Palatino Linotype" w:eastAsia="Times New Roman" w:hAnsi="Palatino Linotype"/>
                <w:i/>
                <w:szCs w:val="24"/>
              </w:rPr>
              <w:t>a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155.00 ± 35.16</w:t>
            </w:r>
          </w:p>
        </w:tc>
      </w:tr>
      <w:tr w:rsidR="00C61A3F" w:rsidRPr="00445220" w:rsidTr="004B69D6">
        <w:trPr>
          <w:jc w:val="center"/>
        </w:trPr>
        <w:tc>
          <w:tcPr>
            <w:tcW w:w="29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1000 µg/mL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36.00 ± 16.38</w:t>
            </w:r>
            <w:r>
              <w:rPr>
                <w:rFonts w:ascii="Palatino Linotype" w:eastAsia="Times New Roman" w:hAnsi="Palatino Linotype"/>
                <w:szCs w:val="24"/>
              </w:rPr>
              <w:t xml:space="preserve"> </w:t>
            </w:r>
            <w:r w:rsidRPr="00445220">
              <w:rPr>
                <w:rFonts w:ascii="Palatino Linotype" w:eastAsia="Times New Roman" w:hAnsi="Palatino Linotype"/>
                <w:i/>
                <w:szCs w:val="24"/>
              </w:rPr>
              <w:t>b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Not detected</w:t>
            </w:r>
          </w:p>
        </w:tc>
      </w:tr>
      <w:tr w:rsidR="00C61A3F" w:rsidRPr="00445220" w:rsidTr="004B69D6">
        <w:trPr>
          <w:jc w:val="center"/>
        </w:trPr>
        <w:tc>
          <w:tcPr>
            <w:tcW w:w="29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5</w:t>
            </w:r>
            <w:r w:rsidR="00F13D4E">
              <w:rPr>
                <w:rFonts w:ascii="Palatino Linotype" w:eastAsia="Times New Roman" w:hAnsi="Palatino Linotype"/>
                <w:szCs w:val="24"/>
              </w:rPr>
              <w:t>,</w:t>
            </w:r>
            <w:r w:rsidRPr="00445220">
              <w:rPr>
                <w:rFonts w:ascii="Palatino Linotype" w:eastAsia="Times New Roman" w:hAnsi="Palatino Linotype"/>
                <w:szCs w:val="24"/>
              </w:rPr>
              <w:t>000 µg /mL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>37.00 ± 7.31</w:t>
            </w:r>
            <w:r>
              <w:rPr>
                <w:rFonts w:ascii="Palatino Linotype" w:eastAsia="Times New Roman" w:hAnsi="Palatino Linotype"/>
                <w:szCs w:val="24"/>
              </w:rPr>
              <w:t xml:space="preserve"> </w:t>
            </w:r>
            <w:r w:rsidRPr="00445220">
              <w:rPr>
                <w:rFonts w:ascii="Palatino Linotype" w:eastAsia="Times New Roman" w:hAnsi="Palatino Linotype"/>
                <w:i/>
                <w:szCs w:val="24"/>
              </w:rPr>
              <w:t xml:space="preserve">b </w:t>
            </w:r>
          </w:p>
        </w:tc>
        <w:tc>
          <w:tcPr>
            <w:tcW w:w="29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1A3F" w:rsidRPr="00445220" w:rsidRDefault="00C61A3F" w:rsidP="004B69D6">
            <w:pPr>
              <w:pStyle w:val="ac"/>
              <w:widowControl/>
              <w:tabs>
                <w:tab w:val="left" w:pos="93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445220">
              <w:rPr>
                <w:rFonts w:ascii="Palatino Linotype" w:eastAsia="Times New Roman" w:hAnsi="Palatino Linotype"/>
                <w:szCs w:val="24"/>
              </w:rPr>
              <w:t xml:space="preserve">Not detected </w:t>
            </w:r>
          </w:p>
        </w:tc>
      </w:tr>
    </w:tbl>
    <w:p w:rsidR="00C61A3F" w:rsidRDefault="00C61A3F" w:rsidP="00C61A3F">
      <w:pPr>
        <w:spacing w:before="120" w:after="240" w:line="260" w:lineRule="atLeast"/>
        <w:ind w:leftChars="75" w:left="165" w:rightChars="75" w:right="16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445220">
        <w:rPr>
          <w:rFonts w:ascii="Palatino Linotype" w:hAnsi="Palatino Linotype"/>
          <w:sz w:val="18"/>
          <w:szCs w:val="18"/>
          <w:lang w:eastAsia="zh-CN"/>
        </w:rPr>
        <w:t>Means followed by SD (</w:t>
      </w:r>
      <w:r w:rsidRPr="00445220">
        <w:rPr>
          <w:rFonts w:ascii="Palatino Linotype" w:hAnsi="Palatino Linotype"/>
          <w:i/>
          <w:iCs/>
          <w:sz w:val="18"/>
          <w:szCs w:val="18"/>
          <w:lang w:eastAsia="zh-CN"/>
        </w:rPr>
        <w:t>N</w:t>
      </w:r>
      <w:r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445220">
        <w:rPr>
          <w:rFonts w:ascii="Palatino Linotype" w:hAnsi="Palatino Linotype"/>
          <w:sz w:val="18"/>
          <w:szCs w:val="18"/>
          <w:lang w:eastAsia="zh-CN"/>
        </w:rPr>
        <w:t>=</w:t>
      </w:r>
      <w:r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445220">
        <w:rPr>
          <w:rFonts w:ascii="Palatino Linotype" w:hAnsi="Palatino Linotype"/>
          <w:sz w:val="18"/>
          <w:szCs w:val="18"/>
          <w:lang w:eastAsia="zh-CN"/>
        </w:rPr>
        <w:t>3); different letters within the same column indicate statistically different values by Kruskal-Wallis followed by Dunn’s test at alpha</w:t>
      </w:r>
      <w:r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445220">
        <w:rPr>
          <w:rFonts w:ascii="Palatino Linotype" w:hAnsi="Palatino Linotype"/>
          <w:sz w:val="18"/>
          <w:szCs w:val="18"/>
          <w:lang w:eastAsia="zh-CN"/>
        </w:rPr>
        <w:t>= 0.05; values between rows (materials) did not differ by Wilcoxon’s rank test at alpha = 0.05 (W = 105, p-value = 0.7714).</w:t>
      </w:r>
    </w:p>
    <w:p w:rsidR="00832A97" w:rsidRDefault="00832A97" w:rsidP="00C61A3F">
      <w:pPr>
        <w:spacing w:before="120" w:after="240" w:line="260" w:lineRule="atLeast"/>
        <w:ind w:leftChars="75" w:left="165" w:rightChars="75" w:right="165"/>
        <w:jc w:val="both"/>
        <w:rPr>
          <w:rFonts w:ascii="Palatino Linotype" w:hAnsi="Palatino Linotype"/>
          <w:sz w:val="18"/>
          <w:szCs w:val="18"/>
          <w:lang w:eastAsia="zh-CN"/>
        </w:rPr>
      </w:pPr>
      <w:r>
        <w:rPr>
          <w:rFonts w:ascii="Palatino Linotype" w:hAnsi="Palatino Linotype"/>
          <w:sz w:val="18"/>
          <w:szCs w:val="18"/>
          <w:lang w:eastAsia="zh-CN"/>
        </w:rPr>
        <w:br w:type="page"/>
      </w:r>
    </w:p>
    <w:p w:rsidR="00832A97" w:rsidRPr="00A13EC6" w:rsidRDefault="00832A97" w:rsidP="00832A97">
      <w:pPr>
        <w:pStyle w:val="MDPI41tablecaption"/>
        <w:jc w:val="center"/>
        <w:rPr>
          <w:rFonts w:eastAsia="Times" w:cs="Times"/>
          <w:u w:color="000000"/>
        </w:rPr>
      </w:pPr>
      <w:r w:rsidRPr="00832A97">
        <w:rPr>
          <w:b/>
          <w:u w:color="000000"/>
        </w:rPr>
        <w:lastRenderedPageBreak/>
        <w:t xml:space="preserve">Table </w:t>
      </w:r>
      <w:r>
        <w:rPr>
          <w:b/>
          <w:u w:color="000000"/>
        </w:rPr>
        <w:t>S</w:t>
      </w:r>
      <w:r w:rsidRPr="00832A97">
        <w:rPr>
          <w:b/>
          <w:u w:color="000000"/>
        </w:rPr>
        <w:t xml:space="preserve">2. </w:t>
      </w:r>
      <w:r>
        <w:rPr>
          <w:u w:color="000000"/>
        </w:rPr>
        <w:t>Values of surfactants and their respective applications</w:t>
      </w:r>
      <w:r>
        <w:rPr>
          <w:caps/>
          <w:u w:color="000000"/>
        </w:rPr>
        <w:t xml:space="preserve"> (</w:t>
      </w:r>
      <w:r>
        <w:rPr>
          <w:u w:color="000000"/>
        </w:rPr>
        <w:t>Adapted from [54]).</w:t>
      </w:r>
    </w:p>
    <w:tbl>
      <w:tblPr>
        <w:tblStyle w:val="TableNormal1"/>
        <w:tblW w:w="309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677"/>
      </w:tblGrid>
      <w:tr w:rsidR="00832A97" w:rsidRPr="00832A97" w:rsidTr="00832A97">
        <w:trPr>
          <w:jc w:val="center"/>
        </w:trPr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</w:rPr>
            </w:pPr>
            <w:r w:rsidRPr="00832A97">
              <w:rPr>
                <w:rFonts w:ascii="Palatino Linotype" w:eastAsia="Times New Roman" w:hAnsi="Palatino Linotype" w:cs="Times New Roman"/>
                <w:b/>
                <w:bCs/>
                <w:szCs w:val="24"/>
                <w:u w:color="000000"/>
                <w:lang w:val="pt-PT"/>
              </w:rPr>
              <w:t>HLB scale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</w:rPr>
            </w:pPr>
            <w:r w:rsidRPr="00832A97">
              <w:rPr>
                <w:rFonts w:ascii="Palatino Linotype" w:eastAsia="Times New Roman" w:hAnsi="Palatino Linotype" w:cs="Times New Roman"/>
                <w:b/>
                <w:bCs/>
                <w:szCs w:val="24"/>
                <w:u w:color="000000"/>
                <w:lang w:val="pt-PT"/>
              </w:rPr>
              <w:t>Use</w:t>
            </w:r>
          </w:p>
        </w:tc>
      </w:tr>
      <w:tr w:rsidR="00832A97" w:rsidRPr="00832A97" w:rsidTr="00832A97">
        <w:trPr>
          <w:jc w:val="center"/>
        </w:trPr>
        <w:tc>
          <w:tcPr>
            <w:tcW w:w="14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4-6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W/O emulsifiers</w:t>
            </w:r>
          </w:p>
        </w:tc>
      </w:tr>
      <w:tr w:rsidR="00832A97" w:rsidRPr="00832A97" w:rsidTr="00832A97">
        <w:trPr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7-9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Wetting agents</w:t>
            </w:r>
          </w:p>
        </w:tc>
      </w:tr>
      <w:tr w:rsidR="00832A97" w:rsidRPr="00832A97" w:rsidTr="00832A97">
        <w:trPr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8-18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O/W emulsifiers</w:t>
            </w:r>
          </w:p>
        </w:tc>
      </w:tr>
      <w:tr w:rsidR="00832A97" w:rsidRPr="00832A97" w:rsidTr="00832A97">
        <w:trPr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13-15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Detergents</w:t>
            </w:r>
          </w:p>
        </w:tc>
      </w:tr>
      <w:tr w:rsidR="00832A97" w:rsidRPr="00832A97" w:rsidTr="00832A97">
        <w:trPr>
          <w:jc w:val="center"/>
        </w:trPr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15-18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A97" w:rsidRPr="00832A97" w:rsidRDefault="00832A97" w:rsidP="00832A97">
            <w:pPr>
              <w:pStyle w:val="Body"/>
              <w:tabs>
                <w:tab w:val="left" w:pos="708"/>
                <w:tab w:val="left" w:pos="141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832A97">
              <w:rPr>
                <w:rFonts w:ascii="Palatino Linotype" w:eastAsia="Times New Roman" w:hAnsi="Palatino Linotype" w:cs="Times New Roman"/>
                <w:u w:color="000000"/>
                <w:lang w:val="pt-PT"/>
              </w:rPr>
              <w:t>Solubilizers</w:t>
            </w:r>
          </w:p>
        </w:tc>
      </w:tr>
    </w:tbl>
    <w:p w:rsidR="00832A97" w:rsidRPr="00832A97" w:rsidRDefault="00832A97" w:rsidP="00832A9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djustRightInd w:val="0"/>
        <w:snapToGrid w:val="0"/>
        <w:spacing w:line="260" w:lineRule="atLeast"/>
        <w:ind w:firstLine="709"/>
        <w:jc w:val="center"/>
        <w:rPr>
          <w:rFonts w:ascii="Palatino Linotype" w:hAnsi="Palatino Linotype"/>
          <w:sz w:val="18"/>
          <w:szCs w:val="18"/>
          <w:u w:color="000000"/>
        </w:rPr>
      </w:pPr>
      <w:r w:rsidRPr="00832A97">
        <w:rPr>
          <w:rFonts w:ascii="Palatino Linotype" w:hAnsi="Palatino Linotype"/>
          <w:sz w:val="18"/>
          <w:szCs w:val="18"/>
          <w:u w:color="000000"/>
        </w:rPr>
        <w:t>Notes: HLB - Hydrophilic-lipophilic balance; W - water; O – oil</w:t>
      </w:r>
      <w:r>
        <w:rPr>
          <w:rFonts w:ascii="Palatino Linotype" w:hAnsi="Palatino Linotype"/>
          <w:sz w:val="18"/>
          <w:szCs w:val="18"/>
          <w:u w:color="000000"/>
        </w:rPr>
        <w:t>.</w:t>
      </w:r>
    </w:p>
    <w:p w:rsidR="00832A97" w:rsidRDefault="00832A97" w:rsidP="00832A97">
      <w:pPr>
        <w:pStyle w:val="MDPI41tablecaption"/>
        <w:rPr>
          <w:i/>
        </w:rPr>
      </w:pPr>
      <w:r w:rsidRPr="00832A97">
        <w:rPr>
          <w:b/>
          <w:bCs/>
          <w:u w:color="000000"/>
        </w:rPr>
        <w:t xml:space="preserve">Table </w:t>
      </w:r>
      <w:r>
        <w:rPr>
          <w:b/>
          <w:bCs/>
          <w:u w:color="000000"/>
        </w:rPr>
        <w:t>S</w:t>
      </w:r>
      <w:r w:rsidRPr="00832A97">
        <w:rPr>
          <w:b/>
          <w:bCs/>
          <w:u w:color="000000"/>
        </w:rPr>
        <w:t>3.</w:t>
      </w:r>
      <w:r w:rsidRPr="00832A97">
        <w:rPr>
          <w:b/>
          <w:u w:color="000000"/>
        </w:rPr>
        <w:t xml:space="preserve"> </w:t>
      </w:r>
      <w:r>
        <w:rPr>
          <w:u w:color="000000"/>
        </w:rPr>
        <w:t xml:space="preserve">Physicochemical properties of surfaces conditioned with rhamnolipids extracted from </w:t>
      </w:r>
      <w:r>
        <w:rPr>
          <w:rFonts w:ascii="Times" w:hAnsi="Times"/>
          <w:i/>
          <w:iCs/>
          <w:lang w:val="it-IT"/>
        </w:rPr>
        <w:t>Pseudomonas</w:t>
      </w:r>
      <w:r>
        <w:rPr>
          <w:u w:color="000000"/>
        </w:rPr>
        <w:t xml:space="preserve"> </w:t>
      </w:r>
      <w:r w:rsidRPr="00A13EC6">
        <w:rPr>
          <w:i/>
          <w:iCs/>
          <w:u w:color="000000"/>
        </w:rPr>
        <w:t>aeruginosa</w:t>
      </w:r>
      <w:r w:rsidRPr="00A13EC6">
        <w:rPr>
          <w:u w:color="000000"/>
        </w:rPr>
        <w:t xml:space="preserve"> </w:t>
      </w:r>
      <w:r>
        <w:rPr>
          <w:u w:color="000000"/>
        </w:rPr>
        <w:t xml:space="preserve">and venom </w:t>
      </w:r>
      <w:proofErr w:type="spellStart"/>
      <w:r>
        <w:rPr>
          <w:u w:color="000000"/>
        </w:rPr>
        <w:t>solenopsins</w:t>
      </w:r>
      <w:proofErr w:type="spellEnd"/>
      <w:r>
        <w:rPr>
          <w:u w:color="000000"/>
        </w:rPr>
        <w:t xml:space="preserve"> extracted from </w:t>
      </w:r>
      <w:bookmarkStart w:id="1" w:name="_Hlk14248997"/>
      <w:bookmarkStart w:id="2" w:name="_GoBack"/>
      <w:r>
        <w:rPr>
          <w:u w:color="000000"/>
        </w:rPr>
        <w:t>red imported fire ants</w:t>
      </w:r>
      <w:bookmarkEnd w:id="1"/>
      <w:bookmarkEnd w:id="2"/>
      <w:r>
        <w:rPr>
          <w:u w:color="000000"/>
        </w:rPr>
        <w:t xml:space="preserve"> </w:t>
      </w:r>
      <w:proofErr w:type="spellStart"/>
      <w:r w:rsidRPr="00A13EC6">
        <w:rPr>
          <w:i/>
        </w:rPr>
        <w:t>Solenopsis</w:t>
      </w:r>
      <w:proofErr w:type="spellEnd"/>
      <w:r w:rsidRPr="00A13EC6">
        <w:rPr>
          <w:i/>
        </w:rPr>
        <w:t xml:space="preserve"> </w:t>
      </w:r>
      <w:proofErr w:type="spellStart"/>
      <w:r w:rsidRPr="00A13EC6">
        <w:rPr>
          <w:i/>
        </w:rPr>
        <w:t>invicta</w:t>
      </w:r>
      <w:proofErr w:type="spellEnd"/>
      <w:r>
        <w:rPr>
          <w:i/>
        </w:rPr>
        <w:t>.</w:t>
      </w:r>
    </w:p>
    <w:tbl>
      <w:tblPr>
        <w:tblStyle w:val="a5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284"/>
        <w:gridCol w:w="1309"/>
        <w:gridCol w:w="1089"/>
        <w:gridCol w:w="1011"/>
        <w:gridCol w:w="1005"/>
        <w:gridCol w:w="973"/>
        <w:gridCol w:w="973"/>
      </w:tblGrid>
      <w:tr w:rsidR="00832A97" w:rsidRPr="00832A97" w:rsidTr="00832A9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cs="Arial Unicode MS"/>
                <w:b/>
                <w:sz w:val="20"/>
                <w:u w:color="000000"/>
              </w:rPr>
              <w:t>Surface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cs="Arial Unicode MS"/>
                <w:b/>
                <w:sz w:val="20"/>
                <w:u w:color="000000"/>
              </w:rPr>
              <w:t>Treatment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proofErr w:type="gramStart"/>
            <w:r w:rsidRPr="00832A97">
              <w:rPr>
                <w:rFonts w:ascii="Cambria" w:hAnsi="Cambria" w:cs="Cambria"/>
                <w:b/>
                <w:sz w:val="20"/>
                <w:u w:color="000000"/>
              </w:rPr>
              <w:t>Ɵ</w:t>
            </w:r>
            <w:r w:rsidRPr="00832A97">
              <w:rPr>
                <w:rFonts w:cs="Arial Unicode MS"/>
                <w:b/>
                <w:sz w:val="20"/>
                <w:u w:color="000000"/>
                <w:vertAlign w:val="subscript"/>
              </w:rPr>
              <w:t>W</w:t>
            </w:r>
            <w:r w:rsidRPr="00832A97">
              <w:rPr>
                <w:rFonts w:cs="Arial Unicode MS"/>
                <w:b/>
                <w:sz w:val="20"/>
                <w:u w:color="000000"/>
              </w:rPr>
              <w:t>(</w:t>
            </w:r>
            <w:proofErr w:type="gramEnd"/>
            <w:r w:rsidRPr="00832A97">
              <w:rPr>
                <w:rFonts w:cs="Arial Unicode MS"/>
                <w:b/>
                <w:sz w:val="20"/>
                <w:u w:color="000000"/>
              </w:rPr>
              <w:t>degrees)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ΔGiwi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 xml:space="preserve"> (</w:t>
            </w: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mJ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>/m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>2</w:t>
            </w:r>
            <w:r w:rsidRPr="00832A97">
              <w:rPr>
                <w:rFonts w:cs="Arial Unicode MS"/>
                <w:b/>
                <w:sz w:val="20"/>
                <w:u w:color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ascii="Cambria" w:hAnsi="Cambria" w:cs="Cambria"/>
                <w:b/>
                <w:sz w:val="20"/>
                <w:u w:color="000000"/>
              </w:rPr>
              <w:t>Ɣ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 xml:space="preserve"> LW </w:t>
            </w:r>
            <w:r w:rsidRPr="00832A97">
              <w:rPr>
                <w:rFonts w:cs="Arial Unicode MS"/>
                <w:b/>
                <w:sz w:val="20"/>
                <w:u w:color="000000"/>
              </w:rPr>
              <w:t>(</w:t>
            </w: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mJ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>/m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>2</w:t>
            </w:r>
            <w:r w:rsidRPr="00832A97">
              <w:rPr>
                <w:rFonts w:cs="Arial Unicode MS"/>
                <w:b/>
                <w:sz w:val="20"/>
                <w:u w:color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ascii="Cambria" w:hAnsi="Cambria" w:cs="Cambria"/>
                <w:b/>
                <w:sz w:val="20"/>
                <w:u w:color="000000"/>
              </w:rPr>
              <w:t>Ɣ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 xml:space="preserve"> AB </w:t>
            </w:r>
            <w:r w:rsidRPr="00832A97">
              <w:rPr>
                <w:rFonts w:cs="Arial Unicode MS"/>
                <w:b/>
                <w:sz w:val="20"/>
                <w:u w:color="000000"/>
              </w:rPr>
              <w:t>(</w:t>
            </w: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mJ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>/m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>2</w:t>
            </w:r>
            <w:r w:rsidRPr="00832A97">
              <w:rPr>
                <w:rFonts w:cs="Arial Unicode MS"/>
                <w:b/>
                <w:sz w:val="20"/>
                <w:u w:color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ascii="Cambria" w:hAnsi="Cambria" w:cs="Cambria"/>
                <w:b/>
                <w:sz w:val="20"/>
                <w:u w:color="000000"/>
              </w:rPr>
              <w:t>Ɣ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 xml:space="preserve"> + </w:t>
            </w:r>
            <w:r w:rsidRPr="00832A97">
              <w:rPr>
                <w:rFonts w:cs="Arial Unicode MS"/>
                <w:b/>
                <w:sz w:val="20"/>
                <w:u w:color="000000"/>
              </w:rPr>
              <w:t>(</w:t>
            </w: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mJ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>/m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>2</w:t>
            </w:r>
            <w:r w:rsidRPr="00832A97">
              <w:rPr>
                <w:rFonts w:cs="Arial Unicode MS"/>
                <w:b/>
                <w:sz w:val="20"/>
                <w:u w:color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b/>
                <w:sz w:val="20"/>
                <w:u w:color="000000"/>
              </w:rPr>
            </w:pPr>
            <w:r w:rsidRPr="00832A97">
              <w:rPr>
                <w:rFonts w:ascii="Cambria" w:hAnsi="Cambria" w:cs="Cambria"/>
                <w:b/>
                <w:sz w:val="20"/>
                <w:u w:color="000000"/>
              </w:rPr>
              <w:t>Ɣ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 xml:space="preserve"> </w:t>
            </w:r>
            <w:r>
              <w:rPr>
                <w:rFonts w:cs="Arial Unicode MS"/>
                <w:b/>
                <w:sz w:val="20"/>
                <w:u w:color="000000"/>
                <w:vertAlign w:val="superscript"/>
              </w:rPr>
              <w:t>−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 xml:space="preserve"> </w:t>
            </w:r>
            <w:r w:rsidRPr="00832A97">
              <w:rPr>
                <w:rFonts w:cs="Arial Unicode MS"/>
                <w:b/>
                <w:sz w:val="20"/>
                <w:u w:color="000000"/>
              </w:rPr>
              <w:t>(</w:t>
            </w:r>
            <w:proofErr w:type="spellStart"/>
            <w:r w:rsidRPr="00832A97">
              <w:rPr>
                <w:rFonts w:cs="Arial Unicode MS"/>
                <w:b/>
                <w:sz w:val="20"/>
                <w:u w:color="000000"/>
              </w:rPr>
              <w:t>mJ</w:t>
            </w:r>
            <w:proofErr w:type="spellEnd"/>
            <w:r w:rsidRPr="00832A97">
              <w:rPr>
                <w:rFonts w:cs="Arial Unicode MS"/>
                <w:b/>
                <w:sz w:val="20"/>
                <w:u w:color="000000"/>
              </w:rPr>
              <w:t>/m</w:t>
            </w:r>
            <w:r w:rsidRPr="00832A97">
              <w:rPr>
                <w:rFonts w:cs="Arial Unicode MS"/>
                <w:b/>
                <w:sz w:val="20"/>
                <w:u w:color="000000"/>
                <w:vertAlign w:val="superscript"/>
              </w:rPr>
              <w:t>2</w:t>
            </w:r>
            <w:r w:rsidRPr="00832A97">
              <w:rPr>
                <w:rFonts w:cs="Arial Unicode MS"/>
                <w:b/>
                <w:sz w:val="20"/>
                <w:u w:color="000000"/>
              </w:rPr>
              <w:t>)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Polystyrene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Control (H</w:t>
            </w:r>
            <w:r w:rsidRPr="00832A97">
              <w:rPr>
                <w:sz w:val="20"/>
                <w:u w:color="000000"/>
                <w:vertAlign w:val="subscript"/>
              </w:rPr>
              <w:t>2</w:t>
            </w:r>
            <w:r w:rsidRPr="00832A97">
              <w:rPr>
                <w:sz w:val="20"/>
                <w:u w:color="000000"/>
              </w:rPr>
              <w:t>O)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66.7 ± 0.3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832A97">
              <w:rPr>
                <w:sz w:val="20"/>
                <w:u w:color="000000"/>
              </w:rPr>
              <w:t>51.0 ± 1.7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46.9 ± 1.7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6.9 ± 0.5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3.5 ± 0.3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3.5 ± 0.3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RL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10.7 ± 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832A97">
              <w:rPr>
                <w:sz w:val="20"/>
                <w:u w:color="000000"/>
              </w:rPr>
              <w:t>30.0 ± 0.5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79.2 ± 0.2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18.4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9.2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9.2 ± 0.1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Control (EtOH)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64.4 ± 0.9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832A97">
              <w:rPr>
                <w:sz w:val="20"/>
                <w:u w:color="000000"/>
              </w:rPr>
              <w:t>57.4 ± 0.8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50.1 ± 0.7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5.5 ± 0.0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2.7 ± 0.0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2.7 ± 0.0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Sol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63.3 ± 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832A97">
              <w:rPr>
                <w:sz w:val="20"/>
                <w:u w:color="000000"/>
              </w:rPr>
              <w:t>24.8 ± 0.7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51.6 ± 0.6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21.1 ± 0.6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10.6 ± 0.3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832A97">
              <w:rPr>
                <w:sz w:val="20"/>
                <w:u w:color="000000"/>
              </w:rPr>
              <w:t>10.6 ± 0.3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Stainless Steel 304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Control (H</w:t>
            </w:r>
            <w:r w:rsidRPr="00F641BA">
              <w:rPr>
                <w:sz w:val="20"/>
                <w:u w:color="000000"/>
                <w:vertAlign w:val="subscript"/>
              </w:rPr>
              <w:t>2</w:t>
            </w:r>
            <w:r w:rsidRPr="00F641BA">
              <w:rPr>
                <w:sz w:val="20"/>
                <w:u w:color="000000"/>
              </w:rPr>
              <w:t>O)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74.3 ± 0.8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F641BA">
              <w:rPr>
                <w:sz w:val="20"/>
                <w:u w:color="000000"/>
              </w:rPr>
              <w:t>76.0 ± 5.1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58.0 ± 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2.3 ± 0.4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1.1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1.1 ± 0.2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RL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7.9 ± 0.6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F641BA">
              <w:rPr>
                <w:sz w:val="20"/>
                <w:u w:color="000000"/>
              </w:rPr>
              <w:t>32.5 ± 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80.7 ± 0.6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18.2 ± 0.2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9.1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9.1 ± 0.1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Control (EtOH)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60.5 ± 0.3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F641BA">
              <w:rPr>
                <w:sz w:val="20"/>
                <w:u w:color="000000"/>
              </w:rPr>
              <w:t>58.0 ± 0.5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51.5 ± 0.4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5.2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2.6 ± 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2.6 ± 0.1</w:t>
            </w:r>
          </w:p>
        </w:tc>
      </w:tr>
      <w:tr w:rsidR="00832A97" w:rsidRPr="00832A97" w:rsidTr="00832A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2A97" w:rsidRPr="00832A97" w:rsidRDefault="00832A97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F641BA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F641BA">
              <w:rPr>
                <w:sz w:val="20"/>
                <w:u w:color="000000"/>
              </w:rPr>
              <w:t>Sol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C21E40">
              <w:rPr>
                <w:sz w:val="20"/>
                <w:u w:color="000000"/>
              </w:rPr>
              <w:t>62.7 ± 1.7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−</w:t>
            </w:r>
            <w:r w:rsidRPr="00C21E40">
              <w:rPr>
                <w:sz w:val="20"/>
                <w:u w:color="000000"/>
              </w:rPr>
              <w:t>58.4 ± 0.3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C21E40">
              <w:rPr>
                <w:sz w:val="20"/>
                <w:u w:color="000000"/>
              </w:rPr>
              <w:t>59.8 ± 0.2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C21E40">
              <w:rPr>
                <w:sz w:val="20"/>
                <w:u w:color="000000"/>
              </w:rPr>
              <w:t>5.6 ± 0.7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C21E40">
              <w:rPr>
                <w:sz w:val="20"/>
                <w:u w:color="000000"/>
              </w:rPr>
              <w:t>2.8 ± 0.3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2A97" w:rsidRPr="00832A97" w:rsidRDefault="00C21E40" w:rsidP="00832A97">
            <w:pPr>
              <w:pStyle w:val="MDPI41tablecaption"/>
              <w:autoSpaceDE w:val="0"/>
              <w:autoSpaceDN w:val="0"/>
              <w:spacing w:before="0" w:after="0" w:line="240" w:lineRule="auto"/>
              <w:ind w:left="0" w:right="0"/>
              <w:jc w:val="center"/>
              <w:rPr>
                <w:sz w:val="20"/>
                <w:u w:color="000000"/>
              </w:rPr>
            </w:pPr>
            <w:r w:rsidRPr="00C21E40">
              <w:rPr>
                <w:sz w:val="20"/>
                <w:u w:color="000000"/>
              </w:rPr>
              <w:t>2.8 ± 0.3</w:t>
            </w:r>
          </w:p>
        </w:tc>
      </w:tr>
    </w:tbl>
    <w:p w:rsidR="00C61A3F" w:rsidRPr="00C21E40" w:rsidRDefault="00832A97" w:rsidP="00C21E40">
      <w:pPr>
        <w:jc w:val="both"/>
        <w:rPr>
          <w:rFonts w:ascii="Palatino Linotype" w:eastAsia="Times New Roman" w:hAnsi="Palatino Linotype"/>
          <w:color w:val="000000"/>
          <w:sz w:val="18"/>
          <w:szCs w:val="18"/>
          <w:u w:color="000000"/>
        </w:rPr>
      </w:pP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>Means followed by SD (</w:t>
      </w:r>
      <w:r w:rsidRPr="00C21E40">
        <w:rPr>
          <w:rFonts w:ascii="Palatino Linotype" w:eastAsia="Times New Roman" w:hAnsi="Palatino Linotype"/>
          <w:i/>
          <w:iCs/>
          <w:color w:val="000000"/>
          <w:sz w:val="18"/>
          <w:szCs w:val="18"/>
          <w:u w:color="000000"/>
        </w:rPr>
        <w:t>N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 = 4); Water contact angle - </w:t>
      </w:r>
      <w:r w:rsidRPr="00C21E40">
        <w:rPr>
          <w:rFonts w:ascii="Cambria" w:eastAsia="Times New Roman" w:hAnsi="Cambria" w:cs="Cambria"/>
          <w:color w:val="000000"/>
          <w:sz w:val="18"/>
          <w:szCs w:val="18"/>
          <w:u w:color="000000"/>
        </w:rPr>
        <w:t>Ɵ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bscript"/>
        </w:rPr>
        <w:t xml:space="preserve">W; 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>Surface hydrophobicity - ΔG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perscript"/>
        </w:rPr>
        <w:t>LW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bscript"/>
        </w:rPr>
        <w:t xml:space="preserve">; </w:t>
      </w:r>
      <w:proofErr w:type="spellStart"/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>Lifshitz</w:t>
      </w:r>
      <w:proofErr w:type="spellEnd"/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-van der Waals component - </w:t>
      </w:r>
      <w:r w:rsidRPr="00C21E40">
        <w:rPr>
          <w:rFonts w:ascii="Cambria" w:eastAsia="Times New Roman" w:hAnsi="Cambria" w:cs="Cambria"/>
          <w:color w:val="000000"/>
          <w:sz w:val="18"/>
          <w:szCs w:val="18"/>
          <w:u w:color="000000"/>
        </w:rPr>
        <w:t>Ɣ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perscript"/>
        </w:rPr>
        <w:t>LW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bscript"/>
        </w:rPr>
        <w:t xml:space="preserve">; 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Lewis acid-basic properties - </w:t>
      </w:r>
      <w:r w:rsidRPr="00C21E40">
        <w:rPr>
          <w:rFonts w:ascii="Cambria" w:eastAsia="Times New Roman" w:hAnsi="Cambria" w:cs="Cambria"/>
          <w:color w:val="000000"/>
          <w:sz w:val="18"/>
          <w:szCs w:val="18"/>
          <w:u w:color="000000"/>
        </w:rPr>
        <w:t>Ɣ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perscript"/>
        </w:rPr>
        <w:t>AB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bscript"/>
        </w:rPr>
        <w:t xml:space="preserve">; 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electron donor component - </w:t>
      </w:r>
      <w:r w:rsidRPr="00C21E40">
        <w:rPr>
          <w:rFonts w:ascii="Cambria" w:eastAsia="Times New Roman" w:hAnsi="Cambria" w:cs="Cambria"/>
          <w:color w:val="000000"/>
          <w:sz w:val="18"/>
          <w:szCs w:val="18"/>
          <w:u w:color="000000"/>
        </w:rPr>
        <w:t>Ɣ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perscript"/>
        </w:rPr>
        <w:t>-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bscript"/>
        </w:rPr>
        <w:t xml:space="preserve"> 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and electron acceptor component – </w:t>
      </w:r>
      <w:r w:rsidRPr="00C21E40">
        <w:rPr>
          <w:rFonts w:ascii="Cambria" w:eastAsia="Times New Roman" w:hAnsi="Cambria" w:cs="Cambria"/>
          <w:color w:val="000000"/>
          <w:sz w:val="18"/>
          <w:szCs w:val="18"/>
          <w:u w:color="000000"/>
        </w:rPr>
        <w:t>Ɣ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  <w:vertAlign w:val="superscript"/>
        </w:rPr>
        <w:t>+</w:t>
      </w:r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>; RL - Rhamnolipids; Sol –</w:t>
      </w:r>
      <w:proofErr w:type="spellStart"/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>Solenopsin</w:t>
      </w:r>
      <w:proofErr w:type="spellEnd"/>
      <w:r w:rsidRPr="00C21E40">
        <w:rPr>
          <w:rFonts w:ascii="Palatino Linotype" w:eastAsia="Times New Roman" w:hAnsi="Palatino Linotype"/>
          <w:color w:val="000000"/>
          <w:sz w:val="18"/>
          <w:szCs w:val="18"/>
          <w:u w:color="000000"/>
        </w:rPr>
        <w:t xml:space="preserve"> alkaloids.</w:t>
      </w:r>
    </w:p>
    <w:sectPr w:rsidR="00C61A3F" w:rsidRPr="00C21E40" w:rsidSect="00A23C79">
      <w:headerReference w:type="default" r:id="rId10"/>
      <w:footerReference w:type="even" r:id="rId11"/>
      <w:footerReference w:type="default" r:id="rId12"/>
      <w:pgSz w:w="11910" w:h="16840"/>
      <w:pgMar w:top="1418" w:right="1531" w:bottom="1077" w:left="1531" w:header="102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25C" w:rsidRDefault="006F625C">
      <w:r>
        <w:separator/>
      </w:r>
    </w:p>
  </w:endnote>
  <w:endnote w:type="continuationSeparator" w:id="0">
    <w:p w:rsidR="006F625C" w:rsidRDefault="006F625C">
      <w:r>
        <w:continuationSeparator/>
      </w:r>
    </w:p>
  </w:endnote>
  <w:endnote w:type="continuationNotice" w:id="1">
    <w:p w:rsidR="006F625C" w:rsidRDefault="006F6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C79" w:rsidRPr="00A23C79" w:rsidRDefault="00A23C79" w:rsidP="00A23C79">
    <w:pPr>
      <w:pStyle w:val="a8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C79" w:rsidRPr="00372438" w:rsidRDefault="00A23C79" w:rsidP="00372438">
    <w:pPr>
      <w:pStyle w:val="a8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25C" w:rsidRDefault="006F625C">
      <w:r>
        <w:separator/>
      </w:r>
    </w:p>
  </w:footnote>
  <w:footnote w:type="continuationSeparator" w:id="0">
    <w:p w:rsidR="006F625C" w:rsidRDefault="006F625C">
      <w:r>
        <w:continuationSeparator/>
      </w:r>
    </w:p>
  </w:footnote>
  <w:footnote w:type="continuationNotice" w:id="1">
    <w:p w:rsidR="006F625C" w:rsidRDefault="006F6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282" w:rsidRPr="008810B3" w:rsidRDefault="00023282" w:rsidP="00023282">
    <w:pPr>
      <w:adjustRightInd w:val="0"/>
      <w:snapToGrid w:val="0"/>
      <w:spacing w:after="240"/>
      <w:rPr>
        <w:rFonts w:ascii="Palatino Linotype" w:hAnsi="Palatino Linotype"/>
        <w:sz w:val="16"/>
      </w:rPr>
    </w:pPr>
    <w:r w:rsidRPr="00CF6D28">
      <w:rPr>
        <w:rFonts w:ascii="Palatino Linotype" w:hAnsi="Palatino Linotype"/>
        <w:i/>
        <w:sz w:val="16"/>
        <w:szCs w:val="16"/>
        <w:lang w:val="fr-CH"/>
      </w:rPr>
      <w:t>Toxins</w:t>
    </w:r>
    <w:r w:rsidRPr="00CF6D28">
      <w:rPr>
        <w:rFonts w:ascii="Palatino Linotype" w:hAnsi="Palatino Linotype"/>
        <w:iCs/>
        <w:sz w:val="16"/>
        <w:szCs w:val="16"/>
        <w:lang w:val="fr-CH"/>
      </w:rPr>
      <w:t xml:space="preserve"> </w:t>
    </w:r>
    <w:r w:rsidRPr="00CF6D28">
      <w:rPr>
        <w:rFonts w:ascii="Palatino Linotype" w:hAnsi="Palatino Linotype"/>
        <w:b/>
        <w:bCs/>
        <w:iCs/>
        <w:sz w:val="16"/>
        <w:szCs w:val="16"/>
        <w:lang w:val="fr-CH"/>
      </w:rPr>
      <w:t>201</w:t>
    </w:r>
    <w:r w:rsidR="00DD7D2D">
      <w:rPr>
        <w:rFonts w:ascii="Palatino Linotype" w:eastAsia="宋体" w:hAnsi="Palatino Linotype"/>
        <w:b/>
        <w:bCs/>
        <w:iCs/>
        <w:sz w:val="16"/>
        <w:szCs w:val="16"/>
        <w:lang w:val="fr-CH" w:eastAsia="zh-CN"/>
      </w:rPr>
      <w:t>9</w:t>
    </w:r>
    <w:r w:rsidRPr="00CF6D28">
      <w:rPr>
        <w:rFonts w:ascii="Palatino Linotype" w:hAnsi="Palatino Linotype"/>
        <w:iCs/>
        <w:sz w:val="16"/>
        <w:szCs w:val="16"/>
        <w:lang w:val="fr-CH"/>
      </w:rPr>
      <w:t xml:space="preserve">, </w:t>
    </w:r>
    <w:r w:rsidR="004F5302">
      <w:rPr>
        <w:rFonts w:ascii="Palatino Linotype" w:eastAsia="宋体" w:hAnsi="Palatino Linotype"/>
        <w:i/>
        <w:iCs/>
        <w:sz w:val="16"/>
        <w:szCs w:val="16"/>
        <w:lang w:val="fr-CH" w:eastAsia="zh-CN"/>
      </w:rPr>
      <w:t>1</w:t>
    </w:r>
    <w:r w:rsidR="00DD7D2D">
      <w:rPr>
        <w:rFonts w:ascii="Palatino Linotype" w:eastAsia="宋体" w:hAnsi="Palatino Linotype"/>
        <w:i/>
        <w:iCs/>
        <w:sz w:val="16"/>
        <w:szCs w:val="16"/>
        <w:lang w:val="fr-CH" w:eastAsia="zh-CN"/>
      </w:rPr>
      <w:t>1</w:t>
    </w:r>
    <w:r w:rsidRPr="00CF6D28">
      <w:rPr>
        <w:rFonts w:ascii="Palatino Linotype" w:hAnsi="Palatino Linotype"/>
        <w:iCs/>
        <w:sz w:val="16"/>
        <w:szCs w:val="16"/>
        <w:lang w:val="fr-CH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="009814E6">
      <w:rPr>
        <w:rFonts w:ascii="Palatino Linotype" w:hAnsi="Palatino Linotype" w:hint="eastAsia"/>
        <w:sz w:val="16"/>
        <w:lang w:eastAsia="zh-CN"/>
      </w:rPr>
      <w:t>;</w:t>
    </w:r>
    <w:r w:rsidR="009814E6">
      <w:rPr>
        <w:rFonts w:ascii="Palatino Linotype" w:hAnsi="Palatino Linotype"/>
        <w:sz w:val="16"/>
        <w:lang w:eastAsia="zh-CN"/>
      </w:rPr>
      <w:t xml:space="preserve"> </w:t>
    </w:r>
    <w:proofErr w:type="spellStart"/>
    <w:r w:rsidR="009814E6" w:rsidRPr="009814E6">
      <w:rPr>
        <w:rFonts w:ascii="Palatino Linotype" w:hAnsi="Palatino Linotype"/>
        <w:sz w:val="16"/>
        <w:lang w:eastAsia="zh-CN"/>
      </w:rPr>
      <w:t>doi</w:t>
    </w:r>
    <w:proofErr w:type="spellEnd"/>
    <w:r w:rsidR="009814E6" w:rsidRPr="009814E6">
      <w:rPr>
        <w:rFonts w:ascii="Palatino Linotype" w:hAnsi="Palatino Linotype"/>
        <w:sz w:val="16"/>
        <w:lang w:eastAsia="zh-CN"/>
      </w:rPr>
      <w:t xml:space="preserve">: FOR PEER REVIEW </w:t>
    </w:r>
    <w:r>
      <w:rPr>
        <w:rFonts w:ascii="Palatino Linotype" w:hAnsi="Palatino Linotype"/>
        <w:sz w:val="16"/>
      </w:rPr>
      <w:ptab w:relativeTo="margin" w:alignment="right" w:leader="none"/>
    </w:r>
    <w:r w:rsidR="00FB583E">
      <w:rPr>
        <w:rFonts w:ascii="Palatino Linotype" w:hAnsi="Palatino Linotype"/>
        <w:sz w:val="16"/>
      </w:rPr>
      <w:t>S</w:t>
    </w:r>
    <w:r w:rsidR="00C31F81">
      <w:rPr>
        <w:rFonts w:ascii="Palatino Linotype" w:hAnsi="Palatino Linotype"/>
        <w:sz w:val="16"/>
      </w:rPr>
      <w:fldChar w:fldCharType="begin"/>
    </w:r>
    <w:r w:rsidR="00FB583E">
      <w:rPr>
        <w:rFonts w:ascii="Palatino Linotype" w:hAnsi="Palatino Linotype"/>
        <w:sz w:val="16"/>
      </w:rPr>
      <w:instrText xml:space="preserve"> PAGE   \* MERGEFORMAT </w:instrText>
    </w:r>
    <w:r w:rsidR="00C31F81">
      <w:rPr>
        <w:rFonts w:ascii="Palatino Linotype" w:hAnsi="Palatino Linotype"/>
        <w:sz w:val="16"/>
      </w:rPr>
      <w:fldChar w:fldCharType="separate"/>
    </w:r>
    <w:r w:rsidR="00FA3F7C">
      <w:rPr>
        <w:rFonts w:ascii="Palatino Linotype" w:hAnsi="Palatino Linotype"/>
        <w:noProof/>
        <w:sz w:val="16"/>
      </w:rPr>
      <w:t>1</w:t>
    </w:r>
    <w:r w:rsidR="00C31F81">
      <w:rPr>
        <w:rFonts w:ascii="Palatino Linotype" w:hAnsi="Palatino Linotype"/>
        <w:sz w:val="16"/>
      </w:rPr>
      <w:fldChar w:fldCharType="end"/>
    </w:r>
    <w:r w:rsidR="00FB583E">
      <w:rPr>
        <w:rFonts w:ascii="Palatino Linotype" w:hAnsi="Palatino Linotype"/>
        <w:sz w:val="16"/>
      </w:rPr>
      <w:t xml:space="preserve"> of S</w:t>
    </w:r>
    <w:r w:rsidR="006F625C">
      <w:fldChar w:fldCharType="begin"/>
    </w:r>
    <w:r w:rsidR="006F625C">
      <w:instrText xml:space="preserve"> NUMPAGES   \* MERGEFORMAT </w:instrText>
    </w:r>
    <w:r w:rsidR="006F625C">
      <w:fldChar w:fldCharType="separate"/>
    </w:r>
    <w:r w:rsidR="00FA3F7C" w:rsidRPr="00FA3F7C">
      <w:rPr>
        <w:rFonts w:ascii="Palatino Linotype" w:hAnsi="Palatino Linotype"/>
        <w:noProof/>
        <w:sz w:val="16"/>
      </w:rPr>
      <w:t>3</w:t>
    </w:r>
    <w:r w:rsidR="006F625C">
      <w:rPr>
        <w:rFonts w:ascii="Palatino Linotype" w:hAnsi="Palatino Linotype"/>
        <w:noProof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2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EB2"/>
    <w:rsid w:val="000223B1"/>
    <w:rsid w:val="00023282"/>
    <w:rsid w:val="00031C5A"/>
    <w:rsid w:val="00132115"/>
    <w:rsid w:val="00136BEC"/>
    <w:rsid w:val="001C41C4"/>
    <w:rsid w:val="002416A7"/>
    <w:rsid w:val="002A04CE"/>
    <w:rsid w:val="002B4669"/>
    <w:rsid w:val="002C501E"/>
    <w:rsid w:val="002F7352"/>
    <w:rsid w:val="00326EB1"/>
    <w:rsid w:val="003638C9"/>
    <w:rsid w:val="00372438"/>
    <w:rsid w:val="003D2EB2"/>
    <w:rsid w:val="00430778"/>
    <w:rsid w:val="00445220"/>
    <w:rsid w:val="00465221"/>
    <w:rsid w:val="00467978"/>
    <w:rsid w:val="00494D64"/>
    <w:rsid w:val="004F5302"/>
    <w:rsid w:val="004F7396"/>
    <w:rsid w:val="00500E5E"/>
    <w:rsid w:val="00520713"/>
    <w:rsid w:val="00522242"/>
    <w:rsid w:val="005622B5"/>
    <w:rsid w:val="00575545"/>
    <w:rsid w:val="00587EA5"/>
    <w:rsid w:val="00594A3B"/>
    <w:rsid w:val="005D29D3"/>
    <w:rsid w:val="0060417E"/>
    <w:rsid w:val="00624CE6"/>
    <w:rsid w:val="00625A0C"/>
    <w:rsid w:val="00645B50"/>
    <w:rsid w:val="006E4500"/>
    <w:rsid w:val="006F625C"/>
    <w:rsid w:val="006F7F7E"/>
    <w:rsid w:val="00741414"/>
    <w:rsid w:val="007E5F44"/>
    <w:rsid w:val="00832A97"/>
    <w:rsid w:val="0088777F"/>
    <w:rsid w:val="008A7BDD"/>
    <w:rsid w:val="009800BF"/>
    <w:rsid w:val="009814E6"/>
    <w:rsid w:val="009D0AE3"/>
    <w:rsid w:val="00A23C79"/>
    <w:rsid w:val="00A26C0C"/>
    <w:rsid w:val="00AF61E1"/>
    <w:rsid w:val="00B00C1D"/>
    <w:rsid w:val="00BE2D02"/>
    <w:rsid w:val="00BE36C7"/>
    <w:rsid w:val="00C034B0"/>
    <w:rsid w:val="00C04A0B"/>
    <w:rsid w:val="00C21E40"/>
    <w:rsid w:val="00C31F81"/>
    <w:rsid w:val="00C61A3F"/>
    <w:rsid w:val="00C76478"/>
    <w:rsid w:val="00CB62B1"/>
    <w:rsid w:val="00CD1419"/>
    <w:rsid w:val="00CF62EB"/>
    <w:rsid w:val="00D05277"/>
    <w:rsid w:val="00D709C5"/>
    <w:rsid w:val="00DA779D"/>
    <w:rsid w:val="00DD7D2D"/>
    <w:rsid w:val="00E03F0A"/>
    <w:rsid w:val="00EC5B5E"/>
    <w:rsid w:val="00EC7E10"/>
    <w:rsid w:val="00F13D4E"/>
    <w:rsid w:val="00F55A52"/>
    <w:rsid w:val="00F57095"/>
    <w:rsid w:val="00F60972"/>
    <w:rsid w:val="00F641BA"/>
    <w:rsid w:val="00F771D3"/>
    <w:rsid w:val="00F979C8"/>
    <w:rsid w:val="00FA3F7C"/>
    <w:rsid w:val="00FB583E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FF3E0"/>
  <w15:docId w15:val="{2638C6AC-F6F0-4D98-AEC4-48780677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A04CE"/>
  </w:style>
  <w:style w:type="paragraph" w:styleId="1">
    <w:name w:val="heading 1"/>
    <w:basedOn w:val="a"/>
    <w:uiPriority w:val="1"/>
    <w:qFormat/>
    <w:rsid w:val="002A04CE"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2">
    <w:name w:val="heading 2"/>
    <w:basedOn w:val="a"/>
    <w:uiPriority w:val="1"/>
    <w:qFormat/>
    <w:rsid w:val="002A04CE"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A04CE"/>
    <w:pPr>
      <w:ind w:left="556"/>
    </w:pPr>
    <w:rPr>
      <w:rFonts w:ascii="Book Antiqua" w:eastAsia="Book Antiqua" w:hAnsi="Book Antiqua"/>
      <w:sz w:val="18"/>
      <w:szCs w:val="18"/>
    </w:rPr>
  </w:style>
  <w:style w:type="paragraph" w:styleId="a4">
    <w:name w:val="List Paragraph"/>
    <w:basedOn w:val="a"/>
    <w:uiPriority w:val="1"/>
    <w:qFormat/>
    <w:rsid w:val="002A04CE"/>
  </w:style>
  <w:style w:type="paragraph" w:customStyle="1" w:styleId="TableParagraph">
    <w:name w:val="Table Paragraph"/>
    <w:basedOn w:val="a"/>
    <w:uiPriority w:val="1"/>
    <w:qFormat/>
    <w:rsid w:val="002A04CE"/>
  </w:style>
  <w:style w:type="table" w:customStyle="1" w:styleId="Mdeck5tablebodythreelines">
    <w:name w:val="M_deck_5_table_body_three_lines"/>
    <w:basedOn w:val="a1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a5">
    <w:name w:val="Table Grid"/>
    <w:basedOn w:val="a1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a6">
    <w:name w:val="header"/>
    <w:basedOn w:val="a"/>
    <w:link w:val="a7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a7">
    <w:name w:val="页眉 字符"/>
    <w:basedOn w:val="a0"/>
    <w:link w:val="a6"/>
    <w:uiPriority w:val="99"/>
    <w:rsid w:val="00A23C79"/>
  </w:style>
  <w:style w:type="paragraph" w:styleId="a8">
    <w:name w:val="footer"/>
    <w:basedOn w:val="a"/>
    <w:link w:val="a9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a9">
    <w:name w:val="页脚 字符"/>
    <w:basedOn w:val="a0"/>
    <w:link w:val="a8"/>
    <w:uiPriority w:val="99"/>
    <w:rsid w:val="00A23C79"/>
  </w:style>
  <w:style w:type="paragraph" w:customStyle="1" w:styleId="MDPI13authornames">
    <w:name w:val="MDPI_1.3_authornames"/>
    <w:basedOn w:val="a"/>
    <w:next w:val="a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41tablecaption">
    <w:name w:val="MDPI_4.1_table_caption"/>
    <w:basedOn w:val="a"/>
    <w:qFormat/>
    <w:rsid w:val="003D2EB2"/>
    <w:pPr>
      <w:widowControl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figurecaption">
    <w:name w:val="MDPI_5.1_figure_caption"/>
    <w:basedOn w:val="a"/>
    <w:qFormat/>
    <w:rsid w:val="003D2EB2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21heading1">
    <w:name w:val="MDPI_2.1_heading1"/>
    <w:basedOn w:val="a"/>
    <w:qFormat/>
    <w:rsid w:val="003D2EB2"/>
    <w:pPr>
      <w:widowControl/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023282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aa">
    <w:name w:val="Strong"/>
    <w:basedOn w:val="a0"/>
    <w:uiPriority w:val="22"/>
    <w:qFormat/>
    <w:rsid w:val="00023282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520713"/>
    <w:rPr>
      <w:sz w:val="16"/>
      <w:szCs w:val="16"/>
    </w:rPr>
  </w:style>
  <w:style w:type="paragraph" w:styleId="ac">
    <w:name w:val="annotation text"/>
    <w:basedOn w:val="a"/>
    <w:link w:val="ad"/>
    <w:unhideWhenUsed/>
    <w:rsid w:val="00520713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rsid w:val="0052071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20713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520713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20713"/>
    <w:rPr>
      <w:rFonts w:ascii="Segoe UI" w:hAnsi="Segoe UI" w:cs="Segoe UI"/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20713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445220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sz w:val="24"/>
      <w:szCs w:val="24"/>
      <w:bdr w:val="nil"/>
    </w:rPr>
  </w:style>
  <w:style w:type="table" w:customStyle="1" w:styleId="TableNormal1">
    <w:name w:val="Table Normal1"/>
    <w:rsid w:val="00832A97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sz w:val="20"/>
      <w:szCs w:val="20"/>
      <w:bdr w:val="nil"/>
      <w:lang w:val="pt-BR"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832A97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bdr w:val="nil"/>
      <w:lang w:eastAsia="pt-BR"/>
    </w:rPr>
  </w:style>
  <w:style w:type="paragraph" w:customStyle="1" w:styleId="Caption1">
    <w:name w:val="Caption1"/>
    <w:rsid w:val="00832A97"/>
    <w:pPr>
      <w:widowControl/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</w:pPr>
    <w:rPr>
      <w:rFonts w:ascii="Helvetica Neue" w:hAnsi="Helvetica Neue" w:cs="Arial Unicode MS"/>
      <w:b/>
      <w:bCs/>
      <w:caps/>
      <w:color w:val="000000"/>
      <w:sz w:val="20"/>
      <w:szCs w:val="20"/>
      <w:bdr w:val="nil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0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B808-3F14-4A41-BE9E-CE4CC4C4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</Template>
  <TotalTime>24</TotalTime>
  <Pages>3</Pages>
  <Words>541</Words>
  <Characters>2580</Characters>
  <Application>Microsoft Office Word</Application>
  <DocSecurity>0</DocSecurity>
  <Lines>172</Lines>
  <Paragraphs>124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14</cp:revision>
  <dcterms:created xsi:type="dcterms:W3CDTF">2019-07-15T10:03:00Z</dcterms:created>
  <dcterms:modified xsi:type="dcterms:W3CDTF">2019-07-17T01:44:00Z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