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BA6C8" w14:textId="77777777" w:rsidR="004E7E36" w:rsidRPr="0048431D" w:rsidRDefault="00624CE6" w:rsidP="004E7E36">
      <w:pPr>
        <w:pStyle w:val="MDPI12title"/>
      </w:pPr>
      <w:r w:rsidRPr="00BE36C7">
        <w:t>Supplementary</w:t>
      </w:r>
      <w:r w:rsidRPr="00BE36C7">
        <w:rPr>
          <w:spacing w:val="-42"/>
        </w:rPr>
        <w:t xml:space="preserve"> </w:t>
      </w:r>
      <w:r w:rsidRPr="00430778">
        <w:rPr>
          <w:szCs w:val="36"/>
        </w:rPr>
        <w:t>Materials</w:t>
      </w:r>
      <w:r w:rsidR="00430778" w:rsidRPr="00430778">
        <w:rPr>
          <w:szCs w:val="36"/>
        </w:rPr>
        <w:t xml:space="preserve">: </w:t>
      </w:r>
      <w:r w:rsidR="004E7E36" w:rsidRPr="004E7E36">
        <w:rPr>
          <w:i/>
        </w:rPr>
        <w:t xml:space="preserve">Listeria </w:t>
      </w:r>
      <w:proofErr w:type="spellStart"/>
      <w:r w:rsidR="004E7E36" w:rsidRPr="004E7E36">
        <w:rPr>
          <w:i/>
        </w:rPr>
        <w:t>mo</w:t>
      </w:r>
      <w:r w:rsidR="004E7E36" w:rsidRPr="0048431D">
        <w:rPr>
          <w:i/>
        </w:rPr>
        <w:t>nocytogenes</w:t>
      </w:r>
      <w:proofErr w:type="spellEnd"/>
      <w:r w:rsidR="004E7E36" w:rsidRPr="0048431D">
        <w:rPr>
          <w:i/>
        </w:rPr>
        <w:t xml:space="preserve"> </w:t>
      </w:r>
      <w:r w:rsidR="004E7E36">
        <w:t xml:space="preserve">Interferes with Host Cell </w:t>
      </w:r>
      <w:r w:rsidR="004E7E36" w:rsidRPr="004545B0">
        <w:t xml:space="preserve">Mitosis </w:t>
      </w:r>
      <w:r w:rsidR="004E7E36" w:rsidRPr="004545B0">
        <w:rPr>
          <w:rFonts w:eastAsiaTheme="minorEastAsia"/>
          <w:lang w:eastAsia="zh-CN"/>
        </w:rPr>
        <w:t>t</w:t>
      </w:r>
      <w:r w:rsidR="004E7E36" w:rsidRPr="004545B0">
        <w:t>hrough</w:t>
      </w:r>
      <w:r w:rsidR="004E7E36" w:rsidRPr="0048431D">
        <w:t xml:space="preserve"> </w:t>
      </w:r>
      <w:r w:rsidR="004E7E36">
        <w:t>Its Virulence F</w:t>
      </w:r>
      <w:r w:rsidR="004E7E36" w:rsidRPr="0048431D">
        <w:t>actors</w:t>
      </w:r>
      <w:r w:rsidR="004E7E36" w:rsidRPr="0048431D">
        <w:rPr>
          <w:i/>
        </w:rPr>
        <w:t xml:space="preserve"> </w:t>
      </w:r>
      <w:proofErr w:type="spellStart"/>
      <w:r w:rsidR="004E7E36" w:rsidRPr="0048431D">
        <w:t>InlC</w:t>
      </w:r>
      <w:proofErr w:type="spellEnd"/>
      <w:r w:rsidR="004E7E36" w:rsidRPr="0048431D">
        <w:t xml:space="preserve"> and </w:t>
      </w:r>
      <w:proofErr w:type="spellStart"/>
      <w:r w:rsidR="004E7E36" w:rsidRPr="0048431D">
        <w:t>ActA</w:t>
      </w:r>
      <w:proofErr w:type="spellEnd"/>
    </w:p>
    <w:p w14:paraId="1681DBAF" w14:textId="6764571F" w:rsidR="004E7E36" w:rsidRPr="00510A24" w:rsidRDefault="004E7E36" w:rsidP="004E7E36">
      <w:pPr>
        <w:pStyle w:val="MDPI13authornames"/>
        <w:rPr>
          <w:bCs/>
        </w:rPr>
      </w:pPr>
      <w:bookmarkStart w:id="0" w:name="Heading"/>
      <w:bookmarkEnd w:id="0"/>
      <w:r w:rsidRPr="00B14D43">
        <w:t xml:space="preserve">Ana Catarina Costa, Jorge </w:t>
      </w:r>
      <w:proofErr w:type="spellStart"/>
      <w:r w:rsidRPr="00B14D43">
        <w:t>Pinheiro</w:t>
      </w:r>
      <w:proofErr w:type="spellEnd"/>
      <w:r w:rsidRPr="00B14D43">
        <w:rPr>
          <w:rFonts w:eastAsiaTheme="minorEastAsia"/>
          <w:lang w:eastAsia="zh-CN"/>
        </w:rPr>
        <w:t xml:space="preserve">, </w:t>
      </w:r>
      <w:r w:rsidRPr="00B14D43">
        <w:t xml:space="preserve">Sandra A. </w:t>
      </w:r>
      <w:r w:rsidRPr="00B14D43">
        <w:rPr>
          <w:bCs/>
        </w:rPr>
        <w:t xml:space="preserve">Reis, </w:t>
      </w:r>
      <w:r w:rsidRPr="00B14D43">
        <w:t xml:space="preserve">Didier </w:t>
      </w:r>
      <w:proofErr w:type="spellStart"/>
      <w:r w:rsidRPr="00B14D43">
        <w:rPr>
          <w:bCs/>
        </w:rPr>
        <w:t>Cabanes</w:t>
      </w:r>
      <w:proofErr w:type="spellEnd"/>
      <w:r w:rsidRPr="00B14D43">
        <w:rPr>
          <w:bCs/>
        </w:rPr>
        <w:t xml:space="preserve"> and </w:t>
      </w:r>
      <w:r w:rsidRPr="00B14D43">
        <w:t xml:space="preserve">Sandra </w:t>
      </w:r>
      <w:r w:rsidRPr="00B14D43">
        <w:rPr>
          <w:bCs/>
        </w:rPr>
        <w:t>Sousa</w:t>
      </w:r>
    </w:p>
    <w:p w14:paraId="49EA3B0A" w14:textId="688C72CA" w:rsidR="00B33FEF" w:rsidRDefault="00B33FEF" w:rsidP="004E7E36">
      <w:pPr>
        <w:pStyle w:val="MDPI41tablecaption"/>
        <w:jc w:val="center"/>
        <w:rPr>
          <w:rFonts w:eastAsiaTheme="minorEastAsia"/>
        </w:rPr>
      </w:pPr>
      <w:r w:rsidRPr="00B33FEF">
        <w:rPr>
          <w:rFonts w:eastAsiaTheme="minorEastAsia"/>
          <w:b/>
          <w:bCs/>
        </w:rPr>
        <w:t xml:space="preserve">Table </w:t>
      </w:r>
      <w:r w:rsidR="00233C21">
        <w:rPr>
          <w:rFonts w:eastAsiaTheme="minorEastAsia"/>
          <w:b/>
          <w:bCs/>
        </w:rPr>
        <w:t>S</w:t>
      </w:r>
      <w:r w:rsidRPr="00B33FEF">
        <w:rPr>
          <w:rFonts w:eastAsiaTheme="minorEastAsia"/>
          <w:b/>
          <w:bCs/>
        </w:rPr>
        <w:t xml:space="preserve">1. </w:t>
      </w:r>
      <w:r>
        <w:rPr>
          <w:rFonts w:eastAsiaTheme="minorEastAsia"/>
        </w:rPr>
        <w:t>Cell cycle phases distribution (%) obtained upon DNA histograms quantification for three independent experiments.</w:t>
      </w:r>
    </w:p>
    <w:tbl>
      <w:tblPr>
        <w:tblW w:w="8506" w:type="dxa"/>
        <w:jc w:val="center"/>
        <w:tblBorders>
          <w:top w:val="single" w:sz="8" w:space="0" w:color="auto"/>
          <w:bottom w:val="single" w:sz="8" w:space="0" w:color="auto"/>
          <w:insideH w:val="single" w:sz="8" w:space="0" w:color="000000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53"/>
        <w:gridCol w:w="1134"/>
        <w:gridCol w:w="963"/>
        <w:gridCol w:w="964"/>
        <w:gridCol w:w="964"/>
        <w:gridCol w:w="964"/>
        <w:gridCol w:w="964"/>
      </w:tblGrid>
      <w:tr w:rsidR="00B33FEF" w:rsidRPr="00B33FEF" w14:paraId="31F52E4A" w14:textId="77777777" w:rsidTr="004E7E36">
        <w:trPr>
          <w:trHeight w:val="270"/>
          <w:jc w:val="center"/>
        </w:trPr>
        <w:tc>
          <w:tcPr>
            <w:tcW w:w="2553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EFCA7D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b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Experiment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37F825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b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b/>
                <w:bCs/>
                <w:color w:val="000000" w:themeColor="text1"/>
                <w:kern w:val="24"/>
                <w:sz w:val="20"/>
                <w:szCs w:val="20"/>
              </w:rPr>
              <w:t>Phases</w:t>
            </w:r>
          </w:p>
        </w:tc>
        <w:tc>
          <w:tcPr>
            <w:tcW w:w="963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7A25E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b/>
                <w:color w:val="000000" w:themeColor="text1"/>
                <w:kern w:val="24"/>
                <w:sz w:val="20"/>
                <w:szCs w:val="20"/>
              </w:rPr>
            </w:pPr>
            <w:proofErr w:type="spellStart"/>
            <w:r w:rsidRPr="00B33FEF">
              <w:rPr>
                <w:rFonts w:ascii="Palatino Linotype" w:hAnsi="Palatino Linotype" w:cs="Arial"/>
                <w:b/>
                <w:bCs/>
                <w:color w:val="000000" w:themeColor="text1"/>
                <w:kern w:val="24"/>
                <w:sz w:val="20"/>
                <w:szCs w:val="20"/>
              </w:rPr>
              <w:t>Asynch</w:t>
            </w:r>
            <w:proofErr w:type="spellEnd"/>
          </w:p>
        </w:tc>
        <w:tc>
          <w:tcPr>
            <w:tcW w:w="964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CE4F7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b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b/>
                <w:bCs/>
                <w:color w:val="000000" w:themeColor="text1"/>
                <w:kern w:val="24"/>
                <w:sz w:val="20"/>
                <w:szCs w:val="20"/>
              </w:rPr>
              <w:t>NI 0h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8921A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b/>
                <w:color w:val="000000" w:themeColor="text1"/>
                <w:kern w:val="24"/>
                <w:sz w:val="20"/>
                <w:szCs w:val="20"/>
              </w:rPr>
            </w:pPr>
            <w:proofErr w:type="spellStart"/>
            <w:r w:rsidRPr="00B33FEF">
              <w:rPr>
                <w:rFonts w:ascii="Palatino Linotype" w:hAnsi="Palatino Linotype" w:cs="Arial"/>
                <w:b/>
                <w:bCs/>
                <w:color w:val="000000" w:themeColor="text1"/>
                <w:kern w:val="24"/>
                <w:sz w:val="20"/>
                <w:szCs w:val="20"/>
              </w:rPr>
              <w:t>Inf</w:t>
            </w:r>
            <w:proofErr w:type="spellEnd"/>
            <w:r w:rsidRPr="00B33FEF">
              <w:rPr>
                <w:rFonts w:ascii="Palatino Linotype" w:hAnsi="Palatino Linotype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0h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9B607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b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b/>
                <w:bCs/>
                <w:color w:val="000000" w:themeColor="text1"/>
                <w:kern w:val="24"/>
                <w:sz w:val="20"/>
                <w:szCs w:val="20"/>
              </w:rPr>
              <w:t>NI 2h</w:t>
            </w:r>
          </w:p>
        </w:tc>
        <w:tc>
          <w:tcPr>
            <w:tcW w:w="964" w:type="dxa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9086E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b/>
                <w:color w:val="000000" w:themeColor="text1"/>
                <w:kern w:val="24"/>
                <w:sz w:val="20"/>
                <w:szCs w:val="20"/>
              </w:rPr>
            </w:pPr>
            <w:proofErr w:type="spellStart"/>
            <w:r w:rsidRPr="00B33FEF">
              <w:rPr>
                <w:rFonts w:ascii="Palatino Linotype" w:hAnsi="Palatino Linotype" w:cs="Arial"/>
                <w:b/>
                <w:bCs/>
                <w:color w:val="000000" w:themeColor="text1"/>
                <w:kern w:val="24"/>
                <w:sz w:val="20"/>
                <w:szCs w:val="20"/>
              </w:rPr>
              <w:t>Inf</w:t>
            </w:r>
            <w:proofErr w:type="spellEnd"/>
            <w:r w:rsidRPr="00B33FEF">
              <w:rPr>
                <w:rFonts w:ascii="Palatino Linotype" w:hAnsi="Palatino Linotype" w:cs="Arial"/>
                <w:b/>
                <w:bCs/>
                <w:color w:val="000000" w:themeColor="text1"/>
                <w:kern w:val="24"/>
                <w:sz w:val="20"/>
                <w:szCs w:val="20"/>
              </w:rPr>
              <w:t xml:space="preserve"> 2h</w:t>
            </w:r>
          </w:p>
        </w:tc>
      </w:tr>
      <w:tr w:rsidR="00B33FEF" w:rsidRPr="00B33FEF" w14:paraId="6192CA33" w14:textId="77777777" w:rsidTr="004E7E36">
        <w:trPr>
          <w:trHeight w:val="270"/>
          <w:jc w:val="center"/>
        </w:trPr>
        <w:tc>
          <w:tcPr>
            <w:tcW w:w="2553" w:type="dxa"/>
            <w:vMerge w:val="restart"/>
            <w:tcBorders>
              <w:top w:val="single" w:sz="4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FDADEB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#1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8" w:space="0" w:color="FFFFFF" w:themeColor="background1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05CC78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G1/G0</w:t>
            </w:r>
          </w:p>
        </w:tc>
        <w:tc>
          <w:tcPr>
            <w:tcW w:w="963" w:type="dxa"/>
            <w:tcBorders>
              <w:top w:val="single" w:sz="4" w:space="0" w:color="000000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81BEA2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54,4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B18AF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13,9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6E9E28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14,9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B6414B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42,5</w:t>
            </w:r>
          </w:p>
        </w:tc>
        <w:tc>
          <w:tcPr>
            <w:tcW w:w="964" w:type="dxa"/>
            <w:tcBorders>
              <w:top w:val="single" w:sz="4" w:space="0" w:color="000000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F3AF24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36,0</w:t>
            </w:r>
          </w:p>
        </w:tc>
      </w:tr>
      <w:tr w:rsidR="00B33FEF" w:rsidRPr="00B33FEF" w14:paraId="3D1805EF" w14:textId="77777777" w:rsidTr="004E7E36">
        <w:trPr>
          <w:trHeight w:val="270"/>
          <w:jc w:val="center"/>
        </w:trPr>
        <w:tc>
          <w:tcPr>
            <w:tcW w:w="2553" w:type="dxa"/>
            <w:vMerge/>
            <w:vAlign w:val="center"/>
            <w:hideMark/>
          </w:tcPr>
          <w:p w14:paraId="5763E35D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1642A6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S</w:t>
            </w:r>
          </w:p>
        </w:tc>
        <w:tc>
          <w:tcPr>
            <w:tcW w:w="963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07A84F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19,4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0958B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26,5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5F433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26,4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6285C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24,7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7377A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25,6</w:t>
            </w:r>
          </w:p>
        </w:tc>
      </w:tr>
      <w:tr w:rsidR="00B33FEF" w:rsidRPr="00B33FEF" w14:paraId="4C926DE2" w14:textId="77777777" w:rsidTr="004E7E36">
        <w:trPr>
          <w:trHeight w:val="270"/>
          <w:jc w:val="center"/>
        </w:trPr>
        <w:tc>
          <w:tcPr>
            <w:tcW w:w="2553" w:type="dxa"/>
            <w:vMerge/>
            <w:vAlign w:val="center"/>
            <w:hideMark/>
          </w:tcPr>
          <w:p w14:paraId="5DA867A8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9D7CF6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G2/M</w:t>
            </w:r>
          </w:p>
        </w:tc>
        <w:tc>
          <w:tcPr>
            <w:tcW w:w="963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CFB68B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26,2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9ACFC8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59,6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220AF7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58,7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B815F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32,8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ED29C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38,3</w:t>
            </w:r>
          </w:p>
        </w:tc>
      </w:tr>
      <w:tr w:rsidR="00B33FEF" w:rsidRPr="00B33FEF" w14:paraId="2FD0BF23" w14:textId="77777777" w:rsidTr="004E7E36">
        <w:trPr>
          <w:trHeight w:val="270"/>
          <w:jc w:val="center"/>
        </w:trPr>
        <w:tc>
          <w:tcPr>
            <w:tcW w:w="25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8E6553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#2</w:t>
            </w:r>
          </w:p>
        </w:tc>
        <w:tc>
          <w:tcPr>
            <w:tcW w:w="113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D1DC0B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G1/G0</w:t>
            </w:r>
          </w:p>
        </w:tc>
        <w:tc>
          <w:tcPr>
            <w:tcW w:w="963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3895C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54,0</w:t>
            </w:r>
          </w:p>
        </w:tc>
        <w:tc>
          <w:tcPr>
            <w:tcW w:w="96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94F89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5,8</w:t>
            </w:r>
          </w:p>
        </w:tc>
        <w:tc>
          <w:tcPr>
            <w:tcW w:w="96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D0EB1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7,5</w:t>
            </w:r>
          </w:p>
        </w:tc>
        <w:tc>
          <w:tcPr>
            <w:tcW w:w="96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49778F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44,2</w:t>
            </w:r>
          </w:p>
        </w:tc>
        <w:tc>
          <w:tcPr>
            <w:tcW w:w="96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CB24B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34,3</w:t>
            </w:r>
          </w:p>
        </w:tc>
      </w:tr>
      <w:tr w:rsidR="00B33FEF" w:rsidRPr="00B33FEF" w14:paraId="3CDBAF6C" w14:textId="77777777" w:rsidTr="004E7E36">
        <w:trPr>
          <w:trHeight w:val="270"/>
          <w:jc w:val="center"/>
        </w:trPr>
        <w:tc>
          <w:tcPr>
            <w:tcW w:w="2553" w:type="dxa"/>
            <w:vMerge/>
            <w:vAlign w:val="center"/>
            <w:hideMark/>
          </w:tcPr>
          <w:p w14:paraId="76417E06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8CA3FD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S</w:t>
            </w:r>
          </w:p>
        </w:tc>
        <w:tc>
          <w:tcPr>
            <w:tcW w:w="963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C0BD5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31,6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ECBF0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20,1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27CB2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23,4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68F95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19,8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AF1595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22,8</w:t>
            </w:r>
          </w:p>
        </w:tc>
      </w:tr>
      <w:tr w:rsidR="00B33FEF" w:rsidRPr="00B33FEF" w14:paraId="04A1AF67" w14:textId="77777777" w:rsidTr="004E7E36">
        <w:trPr>
          <w:trHeight w:val="270"/>
          <w:jc w:val="center"/>
        </w:trPr>
        <w:tc>
          <w:tcPr>
            <w:tcW w:w="2553" w:type="dxa"/>
            <w:vMerge/>
            <w:vAlign w:val="center"/>
            <w:hideMark/>
          </w:tcPr>
          <w:p w14:paraId="52E5A836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73019F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G2/M</w:t>
            </w:r>
          </w:p>
        </w:tc>
        <w:tc>
          <w:tcPr>
            <w:tcW w:w="963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122115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14,4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8BE0D1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74,1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3CA8FD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69,1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BBD83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36,0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122EFE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42,9</w:t>
            </w:r>
          </w:p>
        </w:tc>
      </w:tr>
      <w:tr w:rsidR="00B33FEF" w:rsidRPr="00B33FEF" w14:paraId="18F4BA58" w14:textId="77777777" w:rsidTr="004E7E36">
        <w:trPr>
          <w:trHeight w:val="270"/>
          <w:jc w:val="center"/>
        </w:trPr>
        <w:tc>
          <w:tcPr>
            <w:tcW w:w="2553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D2AFE6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#3</w:t>
            </w:r>
          </w:p>
        </w:tc>
        <w:tc>
          <w:tcPr>
            <w:tcW w:w="113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B2EE36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G1/G0</w:t>
            </w:r>
          </w:p>
        </w:tc>
        <w:tc>
          <w:tcPr>
            <w:tcW w:w="963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9576D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43,4</w:t>
            </w:r>
          </w:p>
        </w:tc>
        <w:tc>
          <w:tcPr>
            <w:tcW w:w="96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4BA0DB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3,1</w:t>
            </w:r>
          </w:p>
        </w:tc>
        <w:tc>
          <w:tcPr>
            <w:tcW w:w="96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66A423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3,8</w:t>
            </w:r>
          </w:p>
        </w:tc>
        <w:tc>
          <w:tcPr>
            <w:tcW w:w="96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B39D7F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32,8</w:t>
            </w:r>
          </w:p>
        </w:tc>
        <w:tc>
          <w:tcPr>
            <w:tcW w:w="964" w:type="dxa"/>
            <w:tcBorders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DCF41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41,4</w:t>
            </w:r>
          </w:p>
        </w:tc>
      </w:tr>
      <w:tr w:rsidR="00B33FEF" w:rsidRPr="00B33FEF" w14:paraId="33EB7EA8" w14:textId="77777777" w:rsidTr="004E7E36">
        <w:trPr>
          <w:trHeight w:val="270"/>
          <w:jc w:val="center"/>
        </w:trPr>
        <w:tc>
          <w:tcPr>
            <w:tcW w:w="2553" w:type="dxa"/>
            <w:vMerge/>
            <w:vAlign w:val="center"/>
            <w:hideMark/>
          </w:tcPr>
          <w:p w14:paraId="7F9D919D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E83775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S</w:t>
            </w:r>
          </w:p>
        </w:tc>
        <w:tc>
          <w:tcPr>
            <w:tcW w:w="963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4746C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37,4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322CF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12,2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2B354A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9,7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84CC5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10,9</w:t>
            </w:r>
          </w:p>
        </w:tc>
        <w:tc>
          <w:tcPr>
            <w:tcW w:w="964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960931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16,2</w:t>
            </w:r>
          </w:p>
        </w:tc>
      </w:tr>
      <w:tr w:rsidR="00B33FEF" w:rsidRPr="00B33FEF" w14:paraId="0B12CDF0" w14:textId="77777777" w:rsidTr="004E7E36">
        <w:trPr>
          <w:trHeight w:val="270"/>
          <w:jc w:val="center"/>
        </w:trPr>
        <w:tc>
          <w:tcPr>
            <w:tcW w:w="2553" w:type="dxa"/>
            <w:vMerge/>
            <w:vAlign w:val="center"/>
            <w:hideMark/>
          </w:tcPr>
          <w:p w14:paraId="6C66D569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1609F1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G2/M</w:t>
            </w:r>
          </w:p>
        </w:tc>
        <w:tc>
          <w:tcPr>
            <w:tcW w:w="963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83280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19,2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62B13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84,7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F31D2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86,4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72ECA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56,3</w:t>
            </w:r>
          </w:p>
        </w:tc>
        <w:tc>
          <w:tcPr>
            <w:tcW w:w="964" w:type="dxa"/>
            <w:tcBorders>
              <w:top w:val="single" w:sz="8" w:space="0" w:color="FFFFFF" w:themeColor="background1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ACBA2" w14:textId="77777777" w:rsidR="00B33FEF" w:rsidRPr="00B33FEF" w:rsidRDefault="00B33FEF" w:rsidP="00B33FEF">
            <w:pPr>
              <w:pStyle w:val="NormalWeb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jc w:val="center"/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</w:pPr>
            <w:r w:rsidRPr="00B33FEF">
              <w:rPr>
                <w:rFonts w:ascii="Palatino Linotype" w:hAnsi="Palatino Linotype" w:cs="Arial"/>
                <w:color w:val="000000" w:themeColor="text1"/>
                <w:kern w:val="24"/>
                <w:sz w:val="20"/>
                <w:szCs w:val="20"/>
              </w:rPr>
              <w:t>42,4</w:t>
            </w:r>
          </w:p>
        </w:tc>
      </w:tr>
    </w:tbl>
    <w:p w14:paraId="48CDA6F7" w14:textId="77777777" w:rsidR="00B33FEF" w:rsidRDefault="00B33FEF">
      <w:pPr>
        <w:rPr>
          <w:rFonts w:ascii="Arial" w:hAnsi="Arial" w:cs="Arial"/>
          <w:color w:val="000000" w:themeColor="text1"/>
          <w:kern w:val="24"/>
          <w:sz w:val="20"/>
          <w:szCs w:val="20"/>
          <w:lang w:eastAsia="zh-CN"/>
        </w:rPr>
      </w:pPr>
      <w:r>
        <w:rPr>
          <w:rFonts w:ascii="Arial" w:hAnsi="Arial" w:cs="Arial"/>
          <w:color w:val="000000" w:themeColor="text1"/>
          <w:kern w:val="24"/>
          <w:sz w:val="20"/>
          <w:szCs w:val="20"/>
        </w:rPr>
        <w:br w:type="page"/>
      </w:r>
    </w:p>
    <w:p w14:paraId="5B668B38" w14:textId="77777777" w:rsidR="00B33FEF" w:rsidRDefault="00B33FEF" w:rsidP="00B33FEF">
      <w:pPr>
        <w:pStyle w:val="NormalWeb"/>
        <w:spacing w:before="0" w:beforeAutospacing="0" w:after="0" w:afterAutospacing="0"/>
      </w:pPr>
    </w:p>
    <w:p w14:paraId="16560A3C" w14:textId="5A387B33" w:rsidR="003D2EB2" w:rsidRDefault="00B33FEF" w:rsidP="00F40E5B">
      <w:pPr>
        <w:pStyle w:val="MDPI52figure"/>
      </w:pPr>
      <w:r>
        <w:rPr>
          <w:noProof/>
        </w:rPr>
        <w:drawing>
          <wp:inline distT="0" distB="0" distL="0" distR="0" wp14:anchorId="7D8BD9B5" wp14:editId="3BE1FA48">
            <wp:extent cx="768350" cy="10668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770F8C" w14:textId="083EF88A" w:rsidR="00233C21" w:rsidRDefault="00233C21" w:rsidP="00233C21">
      <w:pPr>
        <w:pStyle w:val="MDPI51figurecaption"/>
      </w:pPr>
      <w:r w:rsidRPr="00233C21">
        <w:rPr>
          <w:rFonts w:eastAsiaTheme="minorEastAsia"/>
          <w:b/>
          <w:bCs/>
        </w:rPr>
        <w:t xml:space="preserve">Figure </w:t>
      </w:r>
      <w:r>
        <w:rPr>
          <w:rFonts w:eastAsiaTheme="minorEastAsia"/>
          <w:b/>
          <w:bCs/>
        </w:rPr>
        <w:t>S</w:t>
      </w:r>
      <w:r w:rsidRPr="00233C21">
        <w:rPr>
          <w:rFonts w:eastAsiaTheme="minorEastAsia"/>
          <w:b/>
          <w:bCs/>
        </w:rPr>
        <w:t xml:space="preserve">1. </w:t>
      </w:r>
      <w:r>
        <w:rPr>
          <w:rFonts w:eastAsiaTheme="minorEastAsia"/>
        </w:rPr>
        <w:t>Ratio of mitotic cells in asynchronous Caco-2 cells. Data are mean ± SEM of three independent experiments.</w:t>
      </w:r>
    </w:p>
    <w:p w14:paraId="43DB4B43" w14:textId="6DBF1319" w:rsidR="00B33FEF" w:rsidRPr="00E01D8C" w:rsidRDefault="00233C21" w:rsidP="00F40E5B">
      <w:pPr>
        <w:pStyle w:val="MDPI52figure"/>
      </w:pPr>
      <w:r>
        <w:rPr>
          <w:noProof/>
        </w:rPr>
        <w:drawing>
          <wp:inline distT="0" distB="0" distL="0" distR="0" wp14:anchorId="0E1D70B8" wp14:editId="1139B41A">
            <wp:extent cx="3706495" cy="185928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495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6211CA" w14:textId="34D6FC8E" w:rsidR="00233C21" w:rsidRDefault="00233C21" w:rsidP="00233C21">
      <w:pPr>
        <w:pStyle w:val="MDPI51figurecaption"/>
      </w:pPr>
      <w:r w:rsidRPr="00233C21">
        <w:rPr>
          <w:rFonts w:eastAsiaTheme="minorEastAsia"/>
          <w:b/>
          <w:bCs/>
        </w:rPr>
        <w:t xml:space="preserve">Figure </w:t>
      </w:r>
      <w:r>
        <w:rPr>
          <w:rFonts w:eastAsiaTheme="minorEastAsia"/>
          <w:b/>
          <w:bCs/>
        </w:rPr>
        <w:t>S</w:t>
      </w:r>
      <w:r w:rsidRPr="00233C21">
        <w:rPr>
          <w:rFonts w:eastAsiaTheme="minorEastAsia"/>
          <w:b/>
          <w:bCs/>
        </w:rPr>
        <w:t xml:space="preserve">2. </w:t>
      </w:r>
      <w:r>
        <w:rPr>
          <w:rFonts w:eastAsiaTheme="minorEastAsia"/>
        </w:rPr>
        <w:t>Cell cycle phase distribution in one of the performed experiments. Caco-2 cells were left asynchronous (</w:t>
      </w:r>
      <w:proofErr w:type="spellStart"/>
      <w:r>
        <w:rPr>
          <w:rFonts w:eastAsiaTheme="minorEastAsia"/>
        </w:rPr>
        <w:t>Asynch</w:t>
      </w:r>
      <w:proofErr w:type="spellEnd"/>
      <w:r>
        <w:rPr>
          <w:rFonts w:eastAsiaTheme="minorEastAsia"/>
        </w:rPr>
        <w:t>), synchronized with RO-3306 (G2 synch), and released for 2</w:t>
      </w:r>
      <w:r w:rsidR="004E7E36">
        <w:rPr>
          <w:rFonts w:eastAsiaTheme="minorEastAsia"/>
        </w:rPr>
        <w:t xml:space="preserve"> </w:t>
      </w:r>
      <w:r>
        <w:rPr>
          <w:rFonts w:eastAsiaTheme="minorEastAsia"/>
        </w:rPr>
        <w:t>h after G2 synchronization (G2 synch + 2</w:t>
      </w:r>
      <w:r w:rsidR="004E7E36">
        <w:rPr>
          <w:rFonts w:eastAsiaTheme="minorEastAsia"/>
        </w:rPr>
        <w:t xml:space="preserve"> </w:t>
      </w:r>
      <w:r>
        <w:rPr>
          <w:rFonts w:eastAsiaTheme="minorEastAsia"/>
        </w:rPr>
        <w:t>h Release).</w:t>
      </w:r>
    </w:p>
    <w:p w14:paraId="69986E00" w14:textId="50CEF736" w:rsidR="003D2EB2" w:rsidRDefault="00233C21" w:rsidP="00F40E5B">
      <w:pPr>
        <w:pStyle w:val="MDPI52figure"/>
        <w:rPr>
          <w:color w:val="auto"/>
        </w:rPr>
      </w:pPr>
      <w:r>
        <w:rPr>
          <w:noProof/>
        </w:rPr>
        <w:drawing>
          <wp:inline distT="0" distB="0" distL="0" distR="0" wp14:anchorId="02F5D7FC" wp14:editId="7FEDFCC0">
            <wp:extent cx="2072640" cy="1664335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640" cy="1664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D0EAEB" w14:textId="1734AEB1" w:rsidR="00233C21" w:rsidRDefault="00233C21" w:rsidP="00233C21">
      <w:pPr>
        <w:pStyle w:val="MDPI51figurecaption"/>
      </w:pPr>
      <w:r w:rsidRPr="00233C21">
        <w:rPr>
          <w:rFonts w:eastAsiaTheme="minorEastAsia"/>
          <w:b/>
          <w:bCs/>
        </w:rPr>
        <w:t xml:space="preserve">Figure </w:t>
      </w:r>
      <w:r>
        <w:rPr>
          <w:rFonts w:eastAsiaTheme="minorEastAsia"/>
          <w:b/>
          <w:bCs/>
        </w:rPr>
        <w:t>S</w:t>
      </w:r>
      <w:r w:rsidRPr="00233C21">
        <w:rPr>
          <w:rFonts w:eastAsiaTheme="minorEastAsia"/>
          <w:b/>
          <w:bCs/>
        </w:rPr>
        <w:t xml:space="preserve">3. </w:t>
      </w:r>
      <w:r>
        <w:rPr>
          <w:rFonts w:eastAsiaTheme="minorEastAsia"/>
        </w:rPr>
        <w:t>Rates of infection in Caco-2 cells 5</w:t>
      </w:r>
      <w:r w:rsidR="004E7E36">
        <w:rPr>
          <w:rFonts w:eastAsiaTheme="minorEastAsia"/>
        </w:rPr>
        <w:t xml:space="preserve"> </w:t>
      </w:r>
      <w:r>
        <w:rPr>
          <w:rFonts w:eastAsiaTheme="minorEastAsia"/>
        </w:rPr>
        <w:t>h post-infection. Cells were stopped before release or 1, 2 and 3</w:t>
      </w:r>
      <w:r w:rsidR="004E7E36">
        <w:rPr>
          <w:rFonts w:eastAsiaTheme="minorEastAsia"/>
        </w:rPr>
        <w:t xml:space="preserve"> </w:t>
      </w:r>
      <w:r>
        <w:rPr>
          <w:rFonts w:eastAsiaTheme="minorEastAsia"/>
        </w:rPr>
        <w:t xml:space="preserve">h after G2 </w:t>
      </w:r>
      <w:proofErr w:type="gramStart"/>
      <w:r>
        <w:rPr>
          <w:rFonts w:eastAsiaTheme="minorEastAsia"/>
        </w:rPr>
        <w:t>synchronization  with</w:t>
      </w:r>
      <w:proofErr w:type="gramEnd"/>
      <w:r>
        <w:rPr>
          <w:rFonts w:eastAsiaTheme="minorEastAsia"/>
        </w:rPr>
        <w:t xml:space="preserve"> RO-3306 (20</w:t>
      </w:r>
      <w:r w:rsidR="004E7E36">
        <w:rPr>
          <w:rFonts w:eastAsiaTheme="minorEastAsia"/>
        </w:rPr>
        <w:t xml:space="preserve"> </w:t>
      </w:r>
      <w:r>
        <w:rPr>
          <w:rFonts w:eastAsiaTheme="minorEastAsia"/>
        </w:rPr>
        <w:t>h, 10</w:t>
      </w:r>
      <w:r w:rsidR="004E7E36">
        <w:rPr>
          <w:rFonts w:eastAsiaTheme="minorEastAsia"/>
        </w:rPr>
        <w:t xml:space="preserve"> </w:t>
      </w:r>
      <w:r>
        <w:rPr>
          <w:rFonts w:eastAsiaTheme="minorEastAsia"/>
        </w:rPr>
        <w:t>µ).</w:t>
      </w:r>
    </w:p>
    <w:p w14:paraId="2EEEC329" w14:textId="09954A5D" w:rsidR="00233C21" w:rsidRDefault="00233C21" w:rsidP="00F40E5B">
      <w:pPr>
        <w:pStyle w:val="MDPI52figure"/>
      </w:pPr>
      <w:r>
        <w:rPr>
          <w:noProof/>
        </w:rPr>
        <w:drawing>
          <wp:inline distT="0" distB="0" distL="0" distR="0" wp14:anchorId="0458FCD1" wp14:editId="34B84A95">
            <wp:extent cx="1347470" cy="142049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470" cy="1420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EAB2C8" w14:textId="4C31FC91" w:rsidR="00233C21" w:rsidRDefault="00233C21" w:rsidP="00233C21">
      <w:pPr>
        <w:pStyle w:val="MDPI51figurecaption"/>
      </w:pPr>
      <w:r w:rsidRPr="00233C21">
        <w:rPr>
          <w:rFonts w:eastAsiaTheme="minorEastAsia"/>
          <w:b/>
          <w:bCs/>
        </w:rPr>
        <w:t xml:space="preserve">Figure </w:t>
      </w:r>
      <w:r>
        <w:rPr>
          <w:rFonts w:eastAsiaTheme="minorEastAsia"/>
          <w:b/>
          <w:bCs/>
        </w:rPr>
        <w:t>S</w:t>
      </w:r>
      <w:r w:rsidRPr="00233C21">
        <w:rPr>
          <w:rFonts w:eastAsiaTheme="minorEastAsia"/>
          <w:b/>
          <w:bCs/>
        </w:rPr>
        <w:t xml:space="preserve">4. </w:t>
      </w:r>
      <w:r>
        <w:rPr>
          <w:rFonts w:eastAsiaTheme="minorEastAsia"/>
          <w:lang w:val="pt-PT"/>
        </w:rPr>
        <w:t xml:space="preserve">Percentage of mitotic cells with misaligned chromosomes in the BeWo cell line in non-infected (NI) and </w:t>
      </w:r>
      <w:r>
        <w:rPr>
          <w:rFonts w:eastAsiaTheme="minorEastAsia"/>
          <w:i/>
          <w:iCs/>
          <w:lang w:val="pt-PT"/>
        </w:rPr>
        <w:t>Lm</w:t>
      </w:r>
      <w:r>
        <w:rPr>
          <w:rFonts w:eastAsiaTheme="minorEastAsia"/>
          <w:lang w:val="pt-PT"/>
        </w:rPr>
        <w:t>-infected conditions (Inf).</w:t>
      </w:r>
    </w:p>
    <w:p w14:paraId="3F527527" w14:textId="3D6EFDA7" w:rsidR="00233C21" w:rsidRDefault="00233C21" w:rsidP="00F40E5B">
      <w:pPr>
        <w:pStyle w:val="MDPI52figure"/>
      </w:pPr>
      <w:r>
        <w:rPr>
          <w:noProof/>
        </w:rPr>
        <w:lastRenderedPageBreak/>
        <w:drawing>
          <wp:inline distT="0" distB="0" distL="0" distR="0" wp14:anchorId="4AAFF546" wp14:editId="67C1FAA7">
            <wp:extent cx="1755775" cy="16827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1682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0F5CBC" w14:textId="69DC11CD" w:rsidR="00233C21" w:rsidRDefault="00233C21" w:rsidP="00233C21">
      <w:pPr>
        <w:pStyle w:val="MDPI51figurecaption"/>
      </w:pPr>
      <w:r w:rsidRPr="00233C21">
        <w:rPr>
          <w:rFonts w:eastAsiaTheme="minorEastAsia"/>
          <w:b/>
          <w:bCs/>
        </w:rPr>
        <w:t xml:space="preserve">Figure </w:t>
      </w:r>
      <w:r>
        <w:rPr>
          <w:rFonts w:eastAsiaTheme="minorEastAsia"/>
          <w:b/>
          <w:bCs/>
        </w:rPr>
        <w:t>S</w:t>
      </w:r>
      <w:r w:rsidRPr="00233C21">
        <w:rPr>
          <w:rFonts w:eastAsiaTheme="minorEastAsia"/>
          <w:b/>
          <w:bCs/>
        </w:rPr>
        <w:t xml:space="preserve">5. </w:t>
      </w:r>
      <w:r>
        <w:rPr>
          <w:rFonts w:eastAsiaTheme="minorEastAsia"/>
          <w:lang w:val="pt-PT"/>
        </w:rPr>
        <w:t xml:space="preserve">Percentage of BeWo mitotic cells with misaligned chromosomes in non-infected (NI) and </w:t>
      </w:r>
      <w:r>
        <w:rPr>
          <w:rFonts w:eastAsiaTheme="minorEastAsia"/>
          <w:i/>
          <w:iCs/>
          <w:lang w:val="pt-PT"/>
        </w:rPr>
        <w:t>Lm</w:t>
      </w:r>
      <w:r>
        <w:rPr>
          <w:rFonts w:eastAsiaTheme="minorEastAsia"/>
          <w:lang w:val="pt-PT"/>
        </w:rPr>
        <w:t xml:space="preserve">-infected conditions (Inf): with WT </w:t>
      </w:r>
      <w:r>
        <w:rPr>
          <w:rFonts w:eastAsiaTheme="minorEastAsia"/>
          <w:i/>
          <w:iCs/>
          <w:lang w:val="pt-PT"/>
        </w:rPr>
        <w:t>Lm</w:t>
      </w:r>
      <w:r>
        <w:rPr>
          <w:rFonts w:eastAsiaTheme="minorEastAsia"/>
          <w:lang w:val="pt-PT"/>
        </w:rPr>
        <w:t>, ∆</w:t>
      </w:r>
      <w:r>
        <w:rPr>
          <w:rFonts w:eastAsiaTheme="minorEastAsia"/>
          <w:i/>
          <w:iCs/>
          <w:lang w:val="pt-PT"/>
        </w:rPr>
        <w:t>actA</w:t>
      </w:r>
      <w:r>
        <w:rPr>
          <w:rFonts w:eastAsiaTheme="minorEastAsia"/>
          <w:lang w:val="pt-PT"/>
        </w:rPr>
        <w:t>, ∆</w:t>
      </w:r>
      <w:r>
        <w:rPr>
          <w:rFonts w:eastAsiaTheme="minorEastAsia"/>
          <w:i/>
          <w:iCs/>
          <w:lang w:val="pt-PT"/>
        </w:rPr>
        <w:t>inlC</w:t>
      </w:r>
      <w:r>
        <w:rPr>
          <w:rFonts w:eastAsiaTheme="minorEastAsia"/>
          <w:lang w:val="pt-PT"/>
        </w:rPr>
        <w:t xml:space="preserve"> or ∆</w:t>
      </w:r>
      <w:r>
        <w:rPr>
          <w:rFonts w:eastAsiaTheme="minorEastAsia"/>
          <w:i/>
          <w:iCs/>
          <w:lang w:val="pt-PT"/>
        </w:rPr>
        <w:t>actAinlC</w:t>
      </w:r>
      <w:r>
        <w:rPr>
          <w:rFonts w:eastAsiaTheme="minorEastAsia"/>
          <w:lang w:val="pt-PT"/>
        </w:rPr>
        <w:t xml:space="preserve"> deletion mutants.</w:t>
      </w:r>
    </w:p>
    <w:p w14:paraId="6605B1D4" w14:textId="6AE13490" w:rsidR="00233C21" w:rsidRDefault="00233C21" w:rsidP="00F40E5B">
      <w:pPr>
        <w:pStyle w:val="MDPI52figure"/>
      </w:pPr>
      <w:r>
        <w:rPr>
          <w:noProof/>
        </w:rPr>
        <w:drawing>
          <wp:inline distT="0" distB="0" distL="0" distR="0" wp14:anchorId="7C7D1BD3" wp14:editId="3786F801">
            <wp:extent cx="2926080" cy="3042285"/>
            <wp:effectExtent l="0" t="0" r="0" b="0"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3042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AA6329" w14:textId="3B6ED73D" w:rsidR="00233C21" w:rsidRPr="00EA5ACA" w:rsidRDefault="00233C21" w:rsidP="00EA5ACA">
      <w:pPr>
        <w:pStyle w:val="MDPI51figurecaption"/>
      </w:pPr>
      <w:r w:rsidRPr="00233C21">
        <w:rPr>
          <w:rFonts w:eastAsiaTheme="minorEastAsia"/>
          <w:b/>
          <w:bCs/>
        </w:rPr>
        <w:t xml:space="preserve">Figure </w:t>
      </w:r>
      <w:r>
        <w:rPr>
          <w:rFonts w:eastAsiaTheme="minorEastAsia"/>
          <w:b/>
          <w:bCs/>
        </w:rPr>
        <w:t>S</w:t>
      </w:r>
      <w:r w:rsidRPr="00233C21">
        <w:rPr>
          <w:rFonts w:eastAsiaTheme="minorEastAsia"/>
          <w:b/>
          <w:bCs/>
        </w:rPr>
        <w:t xml:space="preserve">6. </w:t>
      </w:r>
      <w:r>
        <w:rPr>
          <w:rFonts w:eastAsiaTheme="minorEastAsia"/>
          <w:i/>
          <w:iCs/>
          <w:lang w:val="pt-PT"/>
        </w:rPr>
        <w:t>Lm</w:t>
      </w:r>
      <w:r>
        <w:rPr>
          <w:rFonts w:eastAsiaTheme="minorEastAsia"/>
          <w:lang w:val="pt-PT"/>
        </w:rPr>
        <w:t xml:space="preserve"> infection does not dramatically interfere with mitotic spindle orientation and distance between the two centrosomes.</w:t>
      </w:r>
      <w:r>
        <w:rPr>
          <w:rFonts w:eastAsiaTheme="minorEastAsia"/>
        </w:rPr>
        <w:t xml:space="preserve"> Upper panel shows a microscopic Z-plane of a Caco-2 cell </w:t>
      </w:r>
      <w:r>
        <w:rPr>
          <w:rFonts w:eastAsiaTheme="minorEastAsia"/>
          <w:lang w:val="pt-PT"/>
        </w:rPr>
        <w:t xml:space="preserve">mitotic cell infectedby </w:t>
      </w:r>
      <w:r>
        <w:rPr>
          <w:rFonts w:eastAsiaTheme="minorEastAsia"/>
          <w:i/>
          <w:iCs/>
          <w:lang w:val="pt-PT"/>
        </w:rPr>
        <w:t>Lm</w:t>
      </w:r>
      <w:r w:rsidR="004E7E36">
        <w:rPr>
          <w:rFonts w:eastAsiaTheme="minorEastAsia"/>
          <w:lang w:val="pt-PT"/>
        </w:rPr>
        <w:t xml:space="preserve"> and stained for gamma–</w:t>
      </w:r>
      <w:r>
        <w:rPr>
          <w:rFonts w:eastAsiaTheme="minorEastAsia"/>
          <w:lang w:val="pt-PT"/>
        </w:rPr>
        <w:t xml:space="preserve">tubulin (red) and DNA (blue). The scheme represents a </w:t>
      </w:r>
      <w:r>
        <w:rPr>
          <w:rFonts w:eastAsiaTheme="minorEastAsia"/>
          <w:i/>
          <w:iCs/>
          <w:lang w:val="pt-PT"/>
        </w:rPr>
        <w:t>Lm</w:t>
      </w:r>
      <w:r>
        <w:rPr>
          <w:rFonts w:eastAsiaTheme="minorEastAsia"/>
          <w:lang w:val="pt-PT"/>
        </w:rPr>
        <w:t>-infected mitotic cell</w:t>
      </w:r>
      <w:r>
        <w:rPr>
          <w:rFonts w:eastAsiaTheme="minorEastAsia"/>
        </w:rPr>
        <w:t>: distance (d), angle (</w:t>
      </w:r>
      <w:r>
        <w:rPr>
          <w:rFonts w:ascii="Cambria Math" w:eastAsiaTheme="minorEastAsia" w:hAnsi="Cambria Math" w:cs="Cambria Math"/>
        </w:rPr>
        <w:t>⍶</w:t>
      </w:r>
      <w:r>
        <w:rPr>
          <w:rFonts w:eastAsiaTheme="minorEastAsia"/>
        </w:rPr>
        <w:t>) and Z-axis plane (z).</w:t>
      </w:r>
      <w:r>
        <w:rPr>
          <w:rFonts w:eastAsiaTheme="minorEastAsia"/>
          <w:b/>
          <w:bCs/>
          <w:lang w:val="pt-PT"/>
        </w:rPr>
        <w:t xml:space="preserve"> </w:t>
      </w:r>
      <w:r>
        <w:rPr>
          <w:rFonts w:eastAsiaTheme="minorEastAsia"/>
        </w:rPr>
        <w:t>The mitotic spindle parame</w:t>
      </w:r>
      <w:r w:rsidR="004E7E36">
        <w:rPr>
          <w:rFonts w:eastAsiaTheme="minorEastAsia"/>
        </w:rPr>
        <w:t>ters quantified in lower panel—</w:t>
      </w:r>
      <w:r>
        <w:rPr>
          <w:rFonts w:eastAsiaTheme="minorEastAsia"/>
        </w:rPr>
        <w:t xml:space="preserve">spindle angle (black) and </w:t>
      </w:r>
      <w:proofErr w:type="spellStart"/>
      <w:r>
        <w:rPr>
          <w:rFonts w:eastAsiaTheme="minorEastAsia"/>
        </w:rPr>
        <w:t>interpolar</w:t>
      </w:r>
      <w:proofErr w:type="spellEnd"/>
      <w:r>
        <w:rPr>
          <w:rFonts w:eastAsiaTheme="minorEastAsia"/>
        </w:rPr>
        <w:t xml:space="preserve"> dist</w:t>
      </w:r>
      <w:r w:rsidR="004E7E36">
        <w:rPr>
          <w:rFonts w:eastAsiaTheme="minorEastAsia"/>
        </w:rPr>
        <w:t>ance (grey)—</w:t>
      </w:r>
      <w:r>
        <w:rPr>
          <w:rFonts w:eastAsiaTheme="minorEastAsia"/>
        </w:rPr>
        <w:t>were calculated according to the method depicted in th</w:t>
      </w:r>
      <w:bookmarkStart w:id="1" w:name="_GoBack"/>
      <w:bookmarkEnd w:id="1"/>
      <w:r>
        <w:rPr>
          <w:rFonts w:eastAsiaTheme="minorEastAsia"/>
        </w:rPr>
        <w:t>e scheme. Data are means ± SEM of 4 independent experiments</w:t>
      </w:r>
      <w:r w:rsidR="004E7E36">
        <w:rPr>
          <w:rFonts w:eastAsiaTheme="minorEastAsia"/>
        </w:rPr>
        <w:t xml:space="preserve">. </w:t>
      </w:r>
      <w:r>
        <w:rPr>
          <w:rFonts w:eastAsiaTheme="minorEastAsia"/>
        </w:rPr>
        <w:t xml:space="preserve">* corresponds to </w:t>
      </w:r>
      <w:r w:rsidRPr="004E7E36">
        <w:rPr>
          <w:rFonts w:eastAsiaTheme="minorEastAsia"/>
          <w:i/>
        </w:rPr>
        <w:t>p</w:t>
      </w:r>
      <w:r w:rsidR="004E7E36">
        <w:rPr>
          <w:rFonts w:eastAsiaTheme="minorEastAsia"/>
        </w:rPr>
        <w:t xml:space="preserve"> </w:t>
      </w:r>
      <w:r>
        <w:rPr>
          <w:rFonts w:eastAsiaTheme="minorEastAsia"/>
        </w:rPr>
        <w:t>&lt;</w:t>
      </w:r>
      <w:r w:rsidR="004E7E36">
        <w:rPr>
          <w:rFonts w:eastAsiaTheme="minorEastAsia"/>
        </w:rPr>
        <w:t xml:space="preserve"> </w:t>
      </w:r>
      <w:r>
        <w:rPr>
          <w:rFonts w:eastAsiaTheme="minorEastAsia"/>
        </w:rPr>
        <w:t>0.05.</w:t>
      </w:r>
    </w:p>
    <w:sectPr w:rsidR="00233C21" w:rsidRPr="00EA5ACA" w:rsidSect="00A23C79">
      <w:headerReference w:type="default" r:id="rId14"/>
      <w:footerReference w:type="even" r:id="rId15"/>
      <w:footerReference w:type="default" r:id="rId16"/>
      <w:pgSz w:w="11910" w:h="16840"/>
      <w:pgMar w:top="1418" w:right="1531" w:bottom="1077" w:left="1531" w:header="1020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CB163" w14:textId="77777777" w:rsidR="007864E0" w:rsidRDefault="007864E0">
      <w:r>
        <w:separator/>
      </w:r>
    </w:p>
  </w:endnote>
  <w:endnote w:type="continuationSeparator" w:id="0">
    <w:p w14:paraId="54924B2E" w14:textId="77777777" w:rsidR="007864E0" w:rsidRDefault="007864E0">
      <w:r>
        <w:continuationSeparator/>
      </w:r>
    </w:p>
  </w:endnote>
  <w:endnote w:type="continuationNotice" w:id="1">
    <w:p w14:paraId="3D8432F9" w14:textId="77777777" w:rsidR="007864E0" w:rsidRDefault="00786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E3AC4" w14:textId="77777777" w:rsidR="00A23C79" w:rsidRPr="00A23C79" w:rsidRDefault="00A23C79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CEA92" w14:textId="77777777" w:rsidR="00A23C79" w:rsidRPr="00372438" w:rsidRDefault="00A23C79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4D28A" w14:textId="77777777" w:rsidR="007864E0" w:rsidRDefault="007864E0">
      <w:r>
        <w:separator/>
      </w:r>
    </w:p>
  </w:footnote>
  <w:footnote w:type="continuationSeparator" w:id="0">
    <w:p w14:paraId="41B51D8F" w14:textId="77777777" w:rsidR="007864E0" w:rsidRDefault="007864E0">
      <w:r>
        <w:continuationSeparator/>
      </w:r>
    </w:p>
  </w:footnote>
  <w:footnote w:type="continuationNotice" w:id="1">
    <w:p w14:paraId="7B36448A" w14:textId="77777777" w:rsidR="007864E0" w:rsidRDefault="007864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B75D9" w14:textId="46315978" w:rsidR="00023282" w:rsidRPr="008810B3" w:rsidRDefault="00023282" w:rsidP="00023282">
    <w:pPr>
      <w:adjustRightInd w:val="0"/>
      <w:snapToGrid w:val="0"/>
      <w:spacing w:after="240"/>
      <w:rPr>
        <w:rFonts w:ascii="Palatino Linotype" w:hAnsi="Palatino Linotype"/>
        <w:sz w:val="16"/>
      </w:rPr>
    </w:pPr>
    <w:proofErr w:type="spellStart"/>
    <w:r w:rsidRPr="00CF6D28">
      <w:rPr>
        <w:rFonts w:ascii="Palatino Linotype" w:hAnsi="Palatino Linotype"/>
        <w:i/>
        <w:sz w:val="16"/>
        <w:szCs w:val="16"/>
        <w:lang w:val="fr-CH"/>
      </w:rPr>
      <w:t>Toxins</w:t>
    </w:r>
    <w:proofErr w:type="spellEnd"/>
    <w:r w:rsidRPr="00CF6D28">
      <w:rPr>
        <w:rFonts w:ascii="Palatino Linotype" w:hAnsi="Palatino Linotype"/>
        <w:iCs/>
        <w:sz w:val="16"/>
        <w:szCs w:val="16"/>
        <w:lang w:val="fr-CH"/>
      </w:rPr>
      <w:t xml:space="preserve"> </w:t>
    </w:r>
    <w:r w:rsidRPr="00CF6D28">
      <w:rPr>
        <w:rFonts w:ascii="Palatino Linotype" w:hAnsi="Palatino Linotype"/>
        <w:b/>
        <w:bCs/>
        <w:iCs/>
        <w:sz w:val="16"/>
        <w:szCs w:val="16"/>
        <w:lang w:val="fr-CH"/>
      </w:rPr>
      <w:t>20</w:t>
    </w:r>
    <w:r w:rsidR="001F5E0F">
      <w:rPr>
        <w:rFonts w:ascii="Palatino Linotype" w:hAnsi="Palatino Linotype"/>
        <w:b/>
        <w:bCs/>
        <w:iCs/>
        <w:sz w:val="16"/>
        <w:szCs w:val="16"/>
        <w:lang w:val="fr-CH"/>
      </w:rPr>
      <w:t>20</w:t>
    </w:r>
    <w:r w:rsidRPr="00CF6D28">
      <w:rPr>
        <w:rFonts w:ascii="Palatino Linotype" w:hAnsi="Palatino Linotype"/>
        <w:iCs/>
        <w:sz w:val="16"/>
        <w:szCs w:val="16"/>
        <w:lang w:val="fr-CH"/>
      </w:rPr>
      <w:t xml:space="preserve">, </w:t>
    </w:r>
    <w:r w:rsidR="004F5302">
      <w:rPr>
        <w:rFonts w:ascii="Palatino Linotype" w:eastAsia="宋体" w:hAnsi="Palatino Linotype"/>
        <w:i/>
        <w:iCs/>
        <w:sz w:val="16"/>
        <w:szCs w:val="16"/>
        <w:lang w:val="fr-CH" w:eastAsia="zh-CN"/>
      </w:rPr>
      <w:t>1</w:t>
    </w:r>
    <w:r w:rsidR="001F5E0F">
      <w:rPr>
        <w:rFonts w:ascii="Palatino Linotype" w:eastAsia="宋体" w:hAnsi="Palatino Linotype"/>
        <w:i/>
        <w:iCs/>
        <w:sz w:val="16"/>
        <w:szCs w:val="16"/>
        <w:lang w:val="fr-CH" w:eastAsia="zh-CN"/>
      </w:rPr>
      <w:t>2</w:t>
    </w:r>
    <w:r w:rsidRPr="00CF6D28">
      <w:rPr>
        <w:rFonts w:ascii="Palatino Linotype" w:hAnsi="Palatino Linotype"/>
        <w:iCs/>
        <w:sz w:val="16"/>
        <w:szCs w:val="16"/>
        <w:lang w:val="fr-CH"/>
      </w:rPr>
      <w:t>,</w:t>
    </w:r>
    <w:r>
      <w:rPr>
        <w:rFonts w:ascii="Palatino Linotype" w:eastAsia="宋体" w:hAnsi="Palatino Linotype"/>
        <w:sz w:val="16"/>
        <w:szCs w:val="16"/>
        <w:lang w:eastAsia="zh-CN"/>
      </w:rPr>
      <w:t xml:space="preserve"> </w:t>
    </w:r>
    <w:r>
      <w:rPr>
        <w:rFonts w:ascii="Palatino Linotype" w:hAnsi="Palatino Linotype"/>
        <w:sz w:val="16"/>
      </w:rPr>
      <w:t>x</w:t>
    </w:r>
    <w:r w:rsidR="009814E6">
      <w:rPr>
        <w:rFonts w:ascii="Palatino Linotype" w:hAnsi="Palatino Linotype" w:hint="eastAsia"/>
        <w:sz w:val="16"/>
        <w:lang w:eastAsia="zh-CN"/>
      </w:rPr>
      <w:t>;</w:t>
    </w:r>
    <w:r w:rsidR="009814E6">
      <w:rPr>
        <w:rFonts w:ascii="Palatino Linotype" w:hAnsi="Palatino Linotype"/>
        <w:sz w:val="16"/>
        <w:lang w:eastAsia="zh-CN"/>
      </w:rPr>
      <w:t xml:space="preserve"> </w:t>
    </w:r>
    <w:proofErr w:type="spellStart"/>
    <w:r w:rsidR="009814E6" w:rsidRPr="009814E6">
      <w:rPr>
        <w:rFonts w:ascii="Palatino Linotype" w:hAnsi="Palatino Linotype"/>
        <w:sz w:val="16"/>
        <w:lang w:eastAsia="zh-CN"/>
      </w:rPr>
      <w:t>doi</w:t>
    </w:r>
    <w:proofErr w:type="spellEnd"/>
    <w:r w:rsidR="009814E6" w:rsidRPr="009814E6">
      <w:rPr>
        <w:rFonts w:ascii="Palatino Linotype" w:hAnsi="Palatino Linotype"/>
        <w:sz w:val="16"/>
        <w:lang w:eastAsia="zh-CN"/>
      </w:rPr>
      <w:t xml:space="preserve">: FOR PEER REVIEW </w:t>
    </w:r>
    <w:r>
      <w:rPr>
        <w:rFonts w:ascii="Palatino Linotype" w:hAnsi="Palatino Linotype"/>
        <w:sz w:val="16"/>
      </w:rPr>
      <w:ptab w:relativeTo="margin" w:alignment="right" w:leader="none"/>
    </w:r>
    <w:r w:rsidR="00FB583E">
      <w:rPr>
        <w:rFonts w:ascii="Palatino Linotype" w:hAnsi="Palatino Linotype"/>
        <w:sz w:val="16"/>
      </w:rPr>
      <w:t>S</w:t>
    </w:r>
    <w:r w:rsidR="00FB583E">
      <w:rPr>
        <w:rFonts w:ascii="Palatino Linotype" w:hAnsi="Palatino Linotype"/>
        <w:sz w:val="16"/>
      </w:rPr>
      <w:fldChar w:fldCharType="begin"/>
    </w:r>
    <w:r w:rsidR="00FB583E">
      <w:rPr>
        <w:rFonts w:ascii="Palatino Linotype" w:hAnsi="Palatino Linotype"/>
        <w:sz w:val="16"/>
      </w:rPr>
      <w:instrText xml:space="preserve"> PAGE   \* MERGEFORMAT </w:instrText>
    </w:r>
    <w:r w:rsidR="00FB583E">
      <w:rPr>
        <w:rFonts w:ascii="Palatino Linotype" w:hAnsi="Palatino Linotype"/>
        <w:sz w:val="16"/>
      </w:rPr>
      <w:fldChar w:fldCharType="separate"/>
    </w:r>
    <w:r w:rsidR="005502BD">
      <w:rPr>
        <w:rFonts w:ascii="Palatino Linotype" w:hAnsi="Palatino Linotype"/>
        <w:noProof/>
        <w:sz w:val="16"/>
      </w:rPr>
      <w:t>1</w:t>
    </w:r>
    <w:r w:rsidR="00FB583E">
      <w:rPr>
        <w:rFonts w:ascii="Palatino Linotype" w:hAnsi="Palatino Linotype"/>
        <w:sz w:val="16"/>
      </w:rPr>
      <w:fldChar w:fldCharType="end"/>
    </w:r>
    <w:r w:rsidR="00FB583E">
      <w:rPr>
        <w:rFonts w:ascii="Palatino Linotype" w:hAnsi="Palatino Linotype"/>
        <w:sz w:val="16"/>
      </w:rPr>
      <w:t xml:space="preserve"> of S</w:t>
    </w:r>
    <w:r w:rsidR="00FB583E">
      <w:rPr>
        <w:rFonts w:ascii="Palatino Linotype" w:hAnsi="Palatino Linotype"/>
        <w:sz w:val="16"/>
      </w:rPr>
      <w:fldChar w:fldCharType="begin"/>
    </w:r>
    <w:r w:rsidR="00FB583E">
      <w:rPr>
        <w:rFonts w:ascii="Palatino Linotype" w:hAnsi="Palatino Linotype"/>
        <w:sz w:val="16"/>
      </w:rPr>
      <w:instrText xml:space="preserve"> NUMPAGES   \* MERGEFORMAT </w:instrText>
    </w:r>
    <w:r w:rsidR="00FB583E">
      <w:rPr>
        <w:rFonts w:ascii="Palatino Linotype" w:hAnsi="Palatino Linotype"/>
        <w:sz w:val="16"/>
      </w:rPr>
      <w:fldChar w:fldCharType="separate"/>
    </w:r>
    <w:r w:rsidR="005502BD">
      <w:rPr>
        <w:rFonts w:ascii="Palatino Linotype" w:hAnsi="Palatino Linotype"/>
        <w:noProof/>
        <w:sz w:val="16"/>
      </w:rPr>
      <w:t>3</w:t>
    </w:r>
    <w:r w:rsidR="00FB583E"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1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2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B2"/>
    <w:rsid w:val="000223B1"/>
    <w:rsid w:val="00023282"/>
    <w:rsid w:val="00031C5A"/>
    <w:rsid w:val="00094D57"/>
    <w:rsid w:val="00132115"/>
    <w:rsid w:val="001C41C4"/>
    <w:rsid w:val="001F5E0F"/>
    <w:rsid w:val="00233C21"/>
    <w:rsid w:val="002416A7"/>
    <w:rsid w:val="002C501E"/>
    <w:rsid w:val="002F7352"/>
    <w:rsid w:val="00326EB1"/>
    <w:rsid w:val="003638C9"/>
    <w:rsid w:val="00372438"/>
    <w:rsid w:val="003D2EB2"/>
    <w:rsid w:val="00430778"/>
    <w:rsid w:val="00465221"/>
    <w:rsid w:val="00494D64"/>
    <w:rsid w:val="004B1E24"/>
    <w:rsid w:val="004E7E36"/>
    <w:rsid w:val="004F5302"/>
    <w:rsid w:val="004F7396"/>
    <w:rsid w:val="00500E5E"/>
    <w:rsid w:val="00520713"/>
    <w:rsid w:val="00522242"/>
    <w:rsid w:val="005502BD"/>
    <w:rsid w:val="005622B5"/>
    <w:rsid w:val="00575545"/>
    <w:rsid w:val="00594A3B"/>
    <w:rsid w:val="005D29D3"/>
    <w:rsid w:val="0060417E"/>
    <w:rsid w:val="00624CE6"/>
    <w:rsid w:val="00625A0C"/>
    <w:rsid w:val="00645B50"/>
    <w:rsid w:val="006E4500"/>
    <w:rsid w:val="006F7F7E"/>
    <w:rsid w:val="00741414"/>
    <w:rsid w:val="007864E0"/>
    <w:rsid w:val="007E5F44"/>
    <w:rsid w:val="0088777F"/>
    <w:rsid w:val="008A7BDD"/>
    <w:rsid w:val="009800BF"/>
    <w:rsid w:val="009814E6"/>
    <w:rsid w:val="009D0AE3"/>
    <w:rsid w:val="00A23C79"/>
    <w:rsid w:val="00A26C0C"/>
    <w:rsid w:val="00B00C1D"/>
    <w:rsid w:val="00B33FEF"/>
    <w:rsid w:val="00BE2D02"/>
    <w:rsid w:val="00BE36C7"/>
    <w:rsid w:val="00C04A0B"/>
    <w:rsid w:val="00C76478"/>
    <w:rsid w:val="00CB62B1"/>
    <w:rsid w:val="00CD1419"/>
    <w:rsid w:val="00CF62EB"/>
    <w:rsid w:val="00D05277"/>
    <w:rsid w:val="00DD7D2D"/>
    <w:rsid w:val="00E645DA"/>
    <w:rsid w:val="00EA5ACA"/>
    <w:rsid w:val="00EC5B5E"/>
    <w:rsid w:val="00EC7E10"/>
    <w:rsid w:val="00F40E5B"/>
    <w:rsid w:val="00F57095"/>
    <w:rsid w:val="00F60972"/>
    <w:rsid w:val="00F771D3"/>
    <w:rsid w:val="00F979C8"/>
    <w:rsid w:val="00FB583E"/>
    <w:rsid w:val="00FD3890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97F17E"/>
  <w15:docId w15:val="{9EF2743B-E758-4BCB-9915-85A6940F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5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BE2D02"/>
    <w:pPr>
      <w:widowControl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Normal"/>
    <w:next w:val="Normal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41tablecaption">
    <w:name w:val="MDPI_4.1_table_caption"/>
    <w:basedOn w:val="Normal"/>
    <w:qFormat/>
    <w:rsid w:val="003D2EB2"/>
    <w:pPr>
      <w:widowControl/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figurecaption">
    <w:name w:val="MDPI_5.1_figure_caption"/>
    <w:basedOn w:val="Normal"/>
    <w:qFormat/>
    <w:rsid w:val="003D2EB2"/>
    <w:pPr>
      <w:widowControl/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21heading1">
    <w:name w:val="MDPI_2.1_heading1"/>
    <w:basedOn w:val="Normal"/>
    <w:qFormat/>
    <w:rsid w:val="003D2EB2"/>
    <w:pPr>
      <w:widowControl/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023282"/>
    <w:pPr>
      <w:widowControl/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character" w:styleId="Strong">
    <w:name w:val="Strong"/>
    <w:basedOn w:val="DefaultParagraphFont"/>
    <w:uiPriority w:val="22"/>
    <w:qFormat/>
    <w:rsid w:val="0002328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520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07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07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0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07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33FE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template_sup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043E0-80F7-4D99-AC3C-E7179C55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template_supfile.dotx</Template>
  <TotalTime>41</TotalTime>
  <Pages>3</Pages>
  <Words>343</Words>
  <Characters>1775</Characters>
  <Application>Microsoft Office Word</Application>
  <DocSecurity>0</DocSecurity>
  <Lines>102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</vt:lpstr>
      <vt:lpstr>Title</vt:lpstr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20</cp:revision>
  <dcterms:created xsi:type="dcterms:W3CDTF">2016-06-27T12:05:00Z</dcterms:created>
  <dcterms:modified xsi:type="dcterms:W3CDTF">2020-06-19T06:48:00Z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