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A4067" w14:textId="373585E1" w:rsidR="00782EBB" w:rsidRPr="00781483" w:rsidRDefault="00781483" w:rsidP="00EF6FB4">
      <w:pPr>
        <w:pStyle w:val="Caption"/>
        <w:spacing w:after="120"/>
        <w:rPr>
          <w:rFonts w:ascii="Palatino Linotype" w:hAnsi="Palatino Linotype"/>
          <w:i w:val="0"/>
          <w:iCs w:val="0"/>
        </w:rPr>
      </w:pPr>
      <w:r w:rsidRPr="00781483">
        <w:rPr>
          <w:rFonts w:ascii="Palatino Linotype" w:hAnsi="Palatino Linotype"/>
          <w:i w:val="0"/>
          <w:iCs w:val="0"/>
        </w:rPr>
        <w:t xml:space="preserve">Supplementary Table </w:t>
      </w:r>
      <w:r w:rsidR="00600028" w:rsidRPr="00973876">
        <w:rPr>
          <w:rFonts w:ascii="Palatino Linotype" w:hAnsi="Palatino Linotype"/>
          <w:i w:val="0"/>
          <w:iCs w:val="0"/>
          <w:color w:val="auto"/>
        </w:rPr>
        <w:t>S</w:t>
      </w:r>
      <w:r w:rsidR="00E218AE" w:rsidRPr="00973876">
        <w:rPr>
          <w:rFonts w:ascii="Palatino Linotype" w:hAnsi="Palatino Linotype"/>
          <w:i w:val="0"/>
          <w:iCs w:val="0"/>
          <w:color w:val="auto"/>
        </w:rPr>
        <w:t>2</w:t>
      </w:r>
      <w:r w:rsidR="00B71E35" w:rsidRPr="00973876">
        <w:rPr>
          <w:rFonts w:ascii="Palatino Linotype" w:hAnsi="Palatino Linotype"/>
          <w:i w:val="0"/>
          <w:iCs w:val="0"/>
          <w:color w:val="auto"/>
        </w:rPr>
        <w:t>.</w:t>
      </w:r>
      <w:r w:rsidRPr="00973876">
        <w:rPr>
          <w:rFonts w:ascii="Palatino Linotype" w:hAnsi="Palatino Linotype"/>
          <w:i w:val="0"/>
          <w:iCs w:val="0"/>
          <w:color w:val="auto"/>
        </w:rPr>
        <w:t xml:space="preserve"> </w:t>
      </w:r>
      <w:r>
        <w:rPr>
          <w:rFonts w:ascii="Palatino Linotype" w:hAnsi="Palatino Linotype"/>
          <w:i w:val="0"/>
          <w:iCs w:val="0"/>
        </w:rPr>
        <w:t xml:space="preserve">LC-MS/MS method </w:t>
      </w:r>
      <w:r w:rsidR="0028256B">
        <w:rPr>
          <w:rFonts w:ascii="Palatino Linotype" w:hAnsi="Palatino Linotype"/>
          <w:i w:val="0"/>
          <w:iCs w:val="0"/>
        </w:rPr>
        <w:t>parameters and</w:t>
      </w:r>
      <w:r w:rsidR="00ED7240">
        <w:rPr>
          <w:rFonts w:ascii="Palatino Linotype" w:hAnsi="Palatino Linotype"/>
          <w:i w:val="0"/>
          <w:iCs w:val="0"/>
        </w:rPr>
        <w:t xml:space="preserve"> method</w:t>
      </w:r>
      <w:r w:rsidR="0028256B">
        <w:rPr>
          <w:rFonts w:ascii="Palatino Linotype" w:hAnsi="Palatino Linotype"/>
          <w:i w:val="0"/>
          <w:iCs w:val="0"/>
        </w:rPr>
        <w:t xml:space="preserve"> performance </w:t>
      </w:r>
      <w:r w:rsidR="00ED7240">
        <w:rPr>
          <w:rFonts w:ascii="Palatino Linotype" w:hAnsi="Palatino Linotype"/>
          <w:i w:val="0"/>
          <w:iCs w:val="0"/>
        </w:rPr>
        <w:t>results</w:t>
      </w:r>
      <w:r w:rsidR="00973876">
        <w:rPr>
          <w:rFonts w:ascii="Palatino Linotype" w:hAnsi="Palatino Linotype"/>
          <w:i w:val="0"/>
          <w:iCs w:val="0"/>
        </w:rP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552"/>
        <w:gridCol w:w="1030"/>
        <w:gridCol w:w="1380"/>
        <w:gridCol w:w="1701"/>
        <w:gridCol w:w="1701"/>
        <w:gridCol w:w="1276"/>
        <w:gridCol w:w="1401"/>
        <w:gridCol w:w="1434"/>
        <w:gridCol w:w="1275"/>
      </w:tblGrid>
      <w:tr w:rsidR="001B381F" w:rsidRPr="004D3C73" w14:paraId="52CE6309" w14:textId="77777777" w:rsidTr="001B381F">
        <w:trPr>
          <w:trHeight w:val="548"/>
          <w:tblHeader/>
          <w:jc w:val="center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44AF66E6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Mycotoxin</w:t>
            </w:r>
          </w:p>
        </w:tc>
        <w:tc>
          <w:tcPr>
            <w:tcW w:w="1030" w:type="dxa"/>
            <w:vMerge w:val="restart"/>
            <w:vAlign w:val="center"/>
          </w:tcPr>
          <w:p w14:paraId="180B5D6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Retention time, minutes</w:t>
            </w:r>
          </w:p>
        </w:tc>
        <w:tc>
          <w:tcPr>
            <w:tcW w:w="4782" w:type="dxa"/>
            <w:gridSpan w:val="3"/>
            <w:tcBorders>
              <w:bottom w:val="single" w:sz="4" w:space="0" w:color="auto"/>
            </w:tcBorders>
            <w:vAlign w:val="center"/>
          </w:tcPr>
          <w:p w14:paraId="0709DADC" w14:textId="036DAFF5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MRM Transitions</w:t>
            </w:r>
            <w:r w:rsid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 </w:t>
            </w:r>
            <w:r w:rsidR="00781483" w:rsidRP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vertAlign w:val="superscript"/>
                <w:lang w:val="en-US" w:eastAsia="de-DE" w:bidi="en-US"/>
                <w14:ligatures w14:val="none"/>
              </w:rPr>
              <w:t>a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01DD921" w14:textId="07FC0A45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Recovery</w:t>
            </w:r>
            <w:r w:rsid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 </w:t>
            </w:r>
            <w:r w:rsid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vertAlign w:val="superscript"/>
                <w:lang w:val="en-US" w:eastAsia="de-DE" w:bidi="en-US"/>
                <w14:ligatures w14:val="none"/>
              </w:rPr>
              <w:t>b</w:t>
            </w: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 </w:t>
            </w: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%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341F8B19" w14:textId="2BC3A7DC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Calibration curves</w:t>
            </w:r>
            <w:r w:rsid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 </w:t>
            </w:r>
            <w:r w:rsidR="00781483" w:rsidRP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vertAlign w:val="superscript"/>
                <w:lang w:val="en-US" w:eastAsia="de-DE" w:bidi="en-US"/>
                <w14:ligatures w14:val="none"/>
              </w:rPr>
              <w:t>c</w:t>
            </w:r>
          </w:p>
        </w:tc>
        <w:tc>
          <w:tcPr>
            <w:tcW w:w="1275" w:type="dxa"/>
            <w:vMerge w:val="restart"/>
            <w:vAlign w:val="center"/>
          </w:tcPr>
          <w:p w14:paraId="39281C31" w14:textId="4D0777F0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Limit of quantitation (LOQ)</w:t>
            </w:r>
            <w:r w:rsidR="0078148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 </w:t>
            </w:r>
            <w:r w:rsidR="0028256B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vertAlign w:val="superscript"/>
                <w:lang w:val="en-US" w:eastAsia="de-DE" w:bidi="en-US"/>
                <w14:ligatures w14:val="none"/>
              </w:rPr>
              <w:t>d</w:t>
            </w: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, µg/kg</w:t>
            </w:r>
          </w:p>
        </w:tc>
      </w:tr>
      <w:tr w:rsidR="001B381F" w:rsidRPr="004D3C73" w14:paraId="5A61AA73" w14:textId="77777777" w:rsidTr="001B381F">
        <w:trPr>
          <w:tblHeader/>
          <w:jc w:val="center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A24F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</w:p>
        </w:tc>
        <w:tc>
          <w:tcPr>
            <w:tcW w:w="1030" w:type="dxa"/>
            <w:vMerge/>
            <w:tcBorders>
              <w:bottom w:val="single" w:sz="4" w:space="0" w:color="auto"/>
            </w:tcBorders>
            <w:vAlign w:val="center"/>
          </w:tcPr>
          <w:p w14:paraId="4A27EEC4" w14:textId="77777777" w:rsidR="001B381F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78FFBE66" w14:textId="77777777" w:rsidR="001B381F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Precursor ion, m/z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6385029" w14:textId="77777777" w:rsidR="001B381F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Product ion, m/z (Quantifier 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67E72C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Product ion, m/z (Qualifier ion)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C584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74728436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Concentration range of </w:t>
            </w: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calibration curve</w:t>
            </w:r>
            <w:r w:rsidRPr="004D3C73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, µg/kg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6846FA36" w14:textId="4E39322D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Calibration curve </w:t>
            </w:r>
            <w:r w:rsidR="0028256B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correlation </w:t>
            </w:r>
            <w:r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coefficient, R</w:t>
            </w:r>
            <w:r w:rsidRPr="004339FE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vertAlign w:val="superscript"/>
                <w:lang w:val="en-US" w:eastAsia="de-DE" w:bidi="en-US"/>
                <w14:ligatures w14:val="none"/>
              </w:rPr>
              <w:t>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05F9C75B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</w:p>
        </w:tc>
      </w:tr>
      <w:tr w:rsidR="001B381F" w:rsidRPr="004D3C73" w14:paraId="439F1CFA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FD4E70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Aflatoxin B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1</w:t>
            </w:r>
          </w:p>
        </w:tc>
        <w:tc>
          <w:tcPr>
            <w:tcW w:w="1030" w:type="dxa"/>
            <w:vAlign w:val="center"/>
          </w:tcPr>
          <w:p w14:paraId="55B0BF6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5.98</w:t>
            </w:r>
          </w:p>
        </w:tc>
        <w:tc>
          <w:tcPr>
            <w:tcW w:w="1380" w:type="dxa"/>
            <w:vAlign w:val="center"/>
          </w:tcPr>
          <w:p w14:paraId="78ACB367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313.1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146B6B7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285.1</w:t>
            </w:r>
          </w:p>
        </w:tc>
        <w:tc>
          <w:tcPr>
            <w:tcW w:w="1701" w:type="dxa"/>
            <w:vAlign w:val="center"/>
          </w:tcPr>
          <w:p w14:paraId="780636DA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 xml:space="preserve">241.1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7330C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87</w:t>
            </w:r>
          </w:p>
        </w:tc>
        <w:tc>
          <w:tcPr>
            <w:tcW w:w="1401" w:type="dxa"/>
            <w:vAlign w:val="center"/>
          </w:tcPr>
          <w:p w14:paraId="5B21EA6C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1.25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3F2B25A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0.996</w:t>
            </w:r>
          </w:p>
        </w:tc>
        <w:tc>
          <w:tcPr>
            <w:tcW w:w="1275" w:type="dxa"/>
            <w:vAlign w:val="center"/>
          </w:tcPr>
          <w:p w14:paraId="75511BA9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</w:t>
            </w:r>
          </w:p>
        </w:tc>
      </w:tr>
      <w:tr w:rsidR="001B381F" w:rsidRPr="004D3C73" w14:paraId="1B25438A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A2782F4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Aflatoxin B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2</w:t>
            </w:r>
          </w:p>
        </w:tc>
        <w:tc>
          <w:tcPr>
            <w:tcW w:w="1030" w:type="dxa"/>
            <w:vAlign w:val="center"/>
          </w:tcPr>
          <w:p w14:paraId="68D7A63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5.67</w:t>
            </w:r>
          </w:p>
        </w:tc>
        <w:tc>
          <w:tcPr>
            <w:tcW w:w="1380" w:type="dxa"/>
            <w:vAlign w:val="center"/>
          </w:tcPr>
          <w:p w14:paraId="340FF16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315.2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62AC03E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287.2</w:t>
            </w:r>
          </w:p>
        </w:tc>
        <w:tc>
          <w:tcPr>
            <w:tcW w:w="1701" w:type="dxa"/>
            <w:vAlign w:val="center"/>
          </w:tcPr>
          <w:p w14:paraId="7C1FBEAA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259.1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26D9A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90</w:t>
            </w:r>
          </w:p>
        </w:tc>
        <w:tc>
          <w:tcPr>
            <w:tcW w:w="1401" w:type="dxa"/>
            <w:vAlign w:val="center"/>
          </w:tcPr>
          <w:p w14:paraId="519391DF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1.25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25500B8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0.992</w:t>
            </w:r>
          </w:p>
        </w:tc>
        <w:tc>
          <w:tcPr>
            <w:tcW w:w="1275" w:type="dxa"/>
            <w:vAlign w:val="center"/>
          </w:tcPr>
          <w:p w14:paraId="0AD7FD8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</w:t>
            </w:r>
          </w:p>
        </w:tc>
      </w:tr>
      <w:tr w:rsidR="001B381F" w:rsidRPr="004D3C73" w14:paraId="0BF607FF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F9CBA67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Aflatoxin G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1</w:t>
            </w:r>
          </w:p>
        </w:tc>
        <w:tc>
          <w:tcPr>
            <w:tcW w:w="1030" w:type="dxa"/>
            <w:vAlign w:val="center"/>
          </w:tcPr>
          <w:p w14:paraId="3AA8073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5.67</w:t>
            </w:r>
          </w:p>
        </w:tc>
        <w:tc>
          <w:tcPr>
            <w:tcW w:w="1380" w:type="dxa"/>
            <w:vAlign w:val="center"/>
          </w:tcPr>
          <w:p w14:paraId="5B2A98E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329.1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0C37FB4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243.1</w:t>
            </w:r>
          </w:p>
        </w:tc>
        <w:tc>
          <w:tcPr>
            <w:tcW w:w="1701" w:type="dxa"/>
            <w:vAlign w:val="center"/>
          </w:tcPr>
          <w:p w14:paraId="5AAECEB1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283.1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C5395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93</w:t>
            </w:r>
          </w:p>
        </w:tc>
        <w:tc>
          <w:tcPr>
            <w:tcW w:w="1401" w:type="dxa"/>
            <w:vAlign w:val="center"/>
          </w:tcPr>
          <w:p w14:paraId="485F81E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1.25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1308324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0.990</w:t>
            </w:r>
          </w:p>
        </w:tc>
        <w:tc>
          <w:tcPr>
            <w:tcW w:w="1275" w:type="dxa"/>
            <w:vAlign w:val="center"/>
          </w:tcPr>
          <w:p w14:paraId="3C7C69D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</w:t>
            </w:r>
          </w:p>
        </w:tc>
      </w:tr>
      <w:tr w:rsidR="001B381F" w:rsidRPr="004D3C73" w14:paraId="29BA3E28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89D8AC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Aflatoxin G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2</w:t>
            </w:r>
          </w:p>
        </w:tc>
        <w:tc>
          <w:tcPr>
            <w:tcW w:w="1030" w:type="dxa"/>
            <w:vAlign w:val="center"/>
          </w:tcPr>
          <w:p w14:paraId="4EE165D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5.37</w:t>
            </w:r>
          </w:p>
        </w:tc>
        <w:tc>
          <w:tcPr>
            <w:tcW w:w="1380" w:type="dxa"/>
            <w:vAlign w:val="center"/>
          </w:tcPr>
          <w:p w14:paraId="380C741F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331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50CF97A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245.1</w:t>
            </w:r>
          </w:p>
        </w:tc>
        <w:tc>
          <w:tcPr>
            <w:tcW w:w="1701" w:type="dxa"/>
            <w:vAlign w:val="center"/>
          </w:tcPr>
          <w:p w14:paraId="46F921E7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257.1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68504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90</w:t>
            </w:r>
          </w:p>
        </w:tc>
        <w:tc>
          <w:tcPr>
            <w:tcW w:w="1401" w:type="dxa"/>
            <w:vAlign w:val="center"/>
          </w:tcPr>
          <w:p w14:paraId="4F79CC16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1.25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0E973579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0.983</w:t>
            </w:r>
          </w:p>
        </w:tc>
        <w:tc>
          <w:tcPr>
            <w:tcW w:w="1275" w:type="dxa"/>
            <w:vAlign w:val="center"/>
          </w:tcPr>
          <w:p w14:paraId="59EB0F6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</w:t>
            </w:r>
          </w:p>
        </w:tc>
      </w:tr>
      <w:tr w:rsidR="001B381F" w:rsidRPr="004D3C73" w14:paraId="798B0292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8EF3B4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Deoxynivalenol</w:t>
            </w:r>
          </w:p>
        </w:tc>
        <w:tc>
          <w:tcPr>
            <w:tcW w:w="1030" w:type="dxa"/>
            <w:vAlign w:val="center"/>
          </w:tcPr>
          <w:p w14:paraId="3CC2F0B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0.87</w:t>
            </w:r>
          </w:p>
        </w:tc>
        <w:tc>
          <w:tcPr>
            <w:tcW w:w="1380" w:type="dxa"/>
            <w:vAlign w:val="center"/>
          </w:tcPr>
          <w:p w14:paraId="1D9933A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297.2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195EAC9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249.1</w:t>
            </w:r>
          </w:p>
        </w:tc>
        <w:tc>
          <w:tcPr>
            <w:tcW w:w="1701" w:type="dxa"/>
            <w:vAlign w:val="center"/>
          </w:tcPr>
          <w:p w14:paraId="600EDA91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231.1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E3C6BE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91</w:t>
            </w:r>
          </w:p>
        </w:tc>
        <w:tc>
          <w:tcPr>
            <w:tcW w:w="1401" w:type="dxa"/>
            <w:vAlign w:val="center"/>
          </w:tcPr>
          <w:p w14:paraId="214C273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00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018A1C31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0.998</w:t>
            </w:r>
          </w:p>
        </w:tc>
        <w:tc>
          <w:tcPr>
            <w:tcW w:w="1275" w:type="dxa"/>
            <w:vAlign w:val="center"/>
          </w:tcPr>
          <w:p w14:paraId="2A682CCA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100</w:t>
            </w:r>
          </w:p>
        </w:tc>
      </w:tr>
      <w:tr w:rsidR="001B381F" w:rsidRPr="004D3C73" w14:paraId="2E39A0DE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4EE816D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15-Acetyl-deoxynivalenol</w:t>
            </w:r>
          </w:p>
        </w:tc>
        <w:tc>
          <w:tcPr>
            <w:tcW w:w="1030" w:type="dxa"/>
            <w:vAlign w:val="center"/>
          </w:tcPr>
          <w:p w14:paraId="2CE827DD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4.15</w:t>
            </w:r>
          </w:p>
        </w:tc>
        <w:tc>
          <w:tcPr>
            <w:tcW w:w="1380" w:type="dxa"/>
            <w:vAlign w:val="center"/>
          </w:tcPr>
          <w:p w14:paraId="614E0706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339.2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097064C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261.1</w:t>
            </w:r>
          </w:p>
        </w:tc>
        <w:tc>
          <w:tcPr>
            <w:tcW w:w="1701" w:type="dxa"/>
            <w:vAlign w:val="center"/>
          </w:tcPr>
          <w:p w14:paraId="37D7A40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279.1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B6F3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82</w:t>
            </w:r>
          </w:p>
        </w:tc>
        <w:tc>
          <w:tcPr>
            <w:tcW w:w="1401" w:type="dxa"/>
            <w:vAlign w:val="center"/>
          </w:tcPr>
          <w:p w14:paraId="3FA5607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0–400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4671F7B7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0.994</w:t>
            </w:r>
          </w:p>
        </w:tc>
        <w:tc>
          <w:tcPr>
            <w:tcW w:w="1275" w:type="dxa"/>
            <w:vAlign w:val="center"/>
          </w:tcPr>
          <w:p w14:paraId="1D38FC74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100</w:t>
            </w:r>
          </w:p>
        </w:tc>
      </w:tr>
      <w:tr w:rsidR="001B381F" w:rsidRPr="00BB6872" w14:paraId="318DC181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3DD3D5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Diplodiatoxin</w:t>
            </w:r>
          </w:p>
        </w:tc>
        <w:tc>
          <w:tcPr>
            <w:tcW w:w="1030" w:type="dxa"/>
            <w:vAlign w:val="center"/>
          </w:tcPr>
          <w:p w14:paraId="0987F507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7.74</w:t>
            </w:r>
          </w:p>
        </w:tc>
        <w:tc>
          <w:tcPr>
            <w:tcW w:w="1380" w:type="dxa"/>
            <w:vAlign w:val="center"/>
          </w:tcPr>
          <w:p w14:paraId="3FCFB1B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 xml:space="preserve">309.40 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1DE248E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263.2</w:t>
            </w:r>
          </w:p>
        </w:tc>
        <w:tc>
          <w:tcPr>
            <w:tcW w:w="1701" w:type="dxa"/>
            <w:vAlign w:val="center"/>
          </w:tcPr>
          <w:p w14:paraId="0D12691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201.1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56FF56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76</w:t>
            </w:r>
          </w:p>
        </w:tc>
        <w:tc>
          <w:tcPr>
            <w:tcW w:w="1401" w:type="dxa"/>
            <w:vAlign w:val="center"/>
          </w:tcPr>
          <w:p w14:paraId="228E478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40-8000</w:t>
            </w:r>
          </w:p>
        </w:tc>
        <w:tc>
          <w:tcPr>
            <w:tcW w:w="1434" w:type="dxa"/>
            <w:vAlign w:val="center"/>
          </w:tcPr>
          <w:p w14:paraId="475A01B8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0.995</w:t>
            </w:r>
          </w:p>
        </w:tc>
        <w:tc>
          <w:tcPr>
            <w:tcW w:w="1275" w:type="dxa"/>
            <w:vAlign w:val="center"/>
          </w:tcPr>
          <w:p w14:paraId="6300D239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50</w:t>
            </w:r>
          </w:p>
        </w:tc>
      </w:tr>
      <w:tr w:rsidR="001B381F" w:rsidRPr="004D3C73" w14:paraId="24BFD919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64541D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Fumonisin B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1</w:t>
            </w:r>
          </w:p>
        </w:tc>
        <w:tc>
          <w:tcPr>
            <w:tcW w:w="1030" w:type="dxa"/>
            <w:vAlign w:val="center"/>
          </w:tcPr>
          <w:p w14:paraId="49FA9B2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6.32</w:t>
            </w:r>
          </w:p>
        </w:tc>
        <w:tc>
          <w:tcPr>
            <w:tcW w:w="1380" w:type="dxa"/>
            <w:vAlign w:val="center"/>
          </w:tcPr>
          <w:p w14:paraId="2E1E47A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722.4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5AAEFB59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</w:t>
            </w: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34.3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5ED7BF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352.3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8BB0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90</w:t>
            </w:r>
          </w:p>
        </w:tc>
        <w:tc>
          <w:tcPr>
            <w:tcW w:w="1401" w:type="dxa"/>
            <w:vAlign w:val="center"/>
          </w:tcPr>
          <w:p w14:paraId="03EA987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–400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59E6C55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0.995</w:t>
            </w:r>
          </w:p>
        </w:tc>
        <w:tc>
          <w:tcPr>
            <w:tcW w:w="1275" w:type="dxa"/>
            <w:vAlign w:val="center"/>
          </w:tcPr>
          <w:p w14:paraId="052CDA5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  <w:tr w:rsidR="001B381F" w:rsidRPr="004D3C73" w14:paraId="3B1A1197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EF86A19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Fumonisin B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2</w:t>
            </w:r>
          </w:p>
        </w:tc>
        <w:tc>
          <w:tcPr>
            <w:tcW w:w="1030" w:type="dxa"/>
            <w:vAlign w:val="center"/>
          </w:tcPr>
          <w:p w14:paraId="4B0B2F0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7.09</w:t>
            </w:r>
          </w:p>
        </w:tc>
        <w:tc>
          <w:tcPr>
            <w:tcW w:w="1380" w:type="dxa"/>
            <w:vAlign w:val="center"/>
          </w:tcPr>
          <w:p w14:paraId="0716FED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706.4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183AA6B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336.</w:t>
            </w: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1701" w:type="dxa"/>
            <w:vAlign w:val="center"/>
          </w:tcPr>
          <w:p w14:paraId="1D1B827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318.3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680477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84</w:t>
            </w:r>
          </w:p>
        </w:tc>
        <w:tc>
          <w:tcPr>
            <w:tcW w:w="1401" w:type="dxa"/>
            <w:vAlign w:val="center"/>
          </w:tcPr>
          <w:p w14:paraId="088013CA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40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16</w:t>
            </w:r>
          </w:p>
        </w:tc>
        <w:tc>
          <w:tcPr>
            <w:tcW w:w="1434" w:type="dxa"/>
            <w:vAlign w:val="center"/>
          </w:tcPr>
          <w:p w14:paraId="3483D598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0.996</w:t>
            </w:r>
          </w:p>
        </w:tc>
        <w:tc>
          <w:tcPr>
            <w:tcW w:w="1275" w:type="dxa"/>
            <w:vAlign w:val="center"/>
          </w:tcPr>
          <w:p w14:paraId="40A5FE5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  <w:tr w:rsidR="001B381F" w:rsidRPr="004D3C73" w14:paraId="24CC043F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2218F1E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Fumonisin B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vertAlign w:val="subscript"/>
                <w:lang w:val="en-US" w:eastAsia="de-DE" w:bidi="en-US"/>
                <w14:ligatures w14:val="none"/>
              </w:rPr>
              <w:t>3</w:t>
            </w:r>
          </w:p>
        </w:tc>
        <w:tc>
          <w:tcPr>
            <w:tcW w:w="1030" w:type="dxa"/>
            <w:vAlign w:val="center"/>
          </w:tcPr>
          <w:p w14:paraId="0C7C53C2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6.78</w:t>
            </w:r>
          </w:p>
        </w:tc>
        <w:tc>
          <w:tcPr>
            <w:tcW w:w="1380" w:type="dxa"/>
            <w:vAlign w:val="center"/>
          </w:tcPr>
          <w:p w14:paraId="18A5F5A6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706.4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31CD8F50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336.</w:t>
            </w: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5</w:t>
            </w:r>
          </w:p>
        </w:tc>
        <w:tc>
          <w:tcPr>
            <w:tcW w:w="1701" w:type="dxa"/>
            <w:vAlign w:val="center"/>
          </w:tcPr>
          <w:p w14:paraId="35FFB7C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318.</w:t>
            </w: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39D3E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79</w:t>
            </w:r>
          </w:p>
        </w:tc>
        <w:tc>
          <w:tcPr>
            <w:tcW w:w="1401" w:type="dxa"/>
            <w:vAlign w:val="center"/>
          </w:tcPr>
          <w:p w14:paraId="7B8284B3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40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48</w:t>
            </w:r>
          </w:p>
        </w:tc>
        <w:tc>
          <w:tcPr>
            <w:tcW w:w="1434" w:type="dxa"/>
            <w:vAlign w:val="center"/>
          </w:tcPr>
          <w:p w14:paraId="5929D40B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0.997</w:t>
            </w:r>
          </w:p>
        </w:tc>
        <w:tc>
          <w:tcPr>
            <w:tcW w:w="1275" w:type="dxa"/>
            <w:vAlign w:val="center"/>
          </w:tcPr>
          <w:p w14:paraId="34B87E24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  <w:tr w:rsidR="001B381F" w:rsidRPr="004D3C73" w14:paraId="24B63F2C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1CB9E35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Ochratoxin A</w:t>
            </w:r>
          </w:p>
        </w:tc>
        <w:tc>
          <w:tcPr>
            <w:tcW w:w="1030" w:type="dxa"/>
            <w:vAlign w:val="center"/>
          </w:tcPr>
          <w:p w14:paraId="3B812F5F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7.79</w:t>
            </w:r>
          </w:p>
        </w:tc>
        <w:tc>
          <w:tcPr>
            <w:tcW w:w="1380" w:type="dxa"/>
            <w:vAlign w:val="center"/>
          </w:tcPr>
          <w:p w14:paraId="66031A5D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404.1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20174D3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239.1</w:t>
            </w:r>
          </w:p>
        </w:tc>
        <w:tc>
          <w:tcPr>
            <w:tcW w:w="1701" w:type="dxa"/>
            <w:vAlign w:val="center"/>
          </w:tcPr>
          <w:p w14:paraId="38FABC68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358.1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AB1CF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69</w:t>
            </w:r>
          </w:p>
        </w:tc>
        <w:tc>
          <w:tcPr>
            <w:tcW w:w="1401" w:type="dxa"/>
            <w:vAlign w:val="center"/>
          </w:tcPr>
          <w:p w14:paraId="4924056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1.25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–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8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05EF100A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0.997</w:t>
            </w:r>
          </w:p>
        </w:tc>
        <w:tc>
          <w:tcPr>
            <w:tcW w:w="1275" w:type="dxa"/>
            <w:vAlign w:val="center"/>
          </w:tcPr>
          <w:p w14:paraId="3F471325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</w:t>
            </w:r>
          </w:p>
        </w:tc>
      </w:tr>
      <w:tr w:rsidR="001B381F" w:rsidRPr="004D3C73" w14:paraId="1362F3F5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EA22E75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T2-Toxin</w:t>
            </w:r>
          </w:p>
        </w:tc>
        <w:tc>
          <w:tcPr>
            <w:tcW w:w="1030" w:type="dxa"/>
            <w:vAlign w:val="center"/>
          </w:tcPr>
          <w:p w14:paraId="2EDD368A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7.43</w:t>
            </w:r>
          </w:p>
        </w:tc>
        <w:tc>
          <w:tcPr>
            <w:tcW w:w="1380" w:type="dxa"/>
            <w:vAlign w:val="center"/>
          </w:tcPr>
          <w:p w14:paraId="778225AB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484 (M+NH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bscript"/>
                <w:lang w:val="en-GB"/>
              </w:rPr>
              <w:t>4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56EC13A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305</w:t>
            </w:r>
          </w:p>
        </w:tc>
        <w:tc>
          <w:tcPr>
            <w:tcW w:w="1701" w:type="dxa"/>
            <w:vAlign w:val="center"/>
          </w:tcPr>
          <w:p w14:paraId="39BA8AF7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20065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107</w:t>
            </w:r>
          </w:p>
        </w:tc>
        <w:tc>
          <w:tcPr>
            <w:tcW w:w="1401" w:type="dxa"/>
            <w:vAlign w:val="center"/>
          </w:tcPr>
          <w:p w14:paraId="6485F449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00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01F98D4F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0.991</w:t>
            </w:r>
          </w:p>
        </w:tc>
        <w:tc>
          <w:tcPr>
            <w:tcW w:w="1275" w:type="dxa"/>
            <w:vAlign w:val="center"/>
          </w:tcPr>
          <w:p w14:paraId="5DAEBBAE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  <w:tr w:rsidR="001B381F" w:rsidRPr="004D3C73" w14:paraId="76A6525A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635BE24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HT-2 toxin</w:t>
            </w:r>
          </w:p>
        </w:tc>
        <w:tc>
          <w:tcPr>
            <w:tcW w:w="1030" w:type="dxa"/>
            <w:vAlign w:val="center"/>
          </w:tcPr>
          <w:p w14:paraId="66CC577F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6.51</w:t>
            </w:r>
          </w:p>
        </w:tc>
        <w:tc>
          <w:tcPr>
            <w:tcW w:w="1380" w:type="dxa"/>
            <w:vAlign w:val="center"/>
          </w:tcPr>
          <w:p w14:paraId="48459CF8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442 (M+NH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bscript"/>
                <w:lang w:val="en-GB"/>
              </w:rPr>
              <w:t>4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31A3BD45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263</w:t>
            </w:r>
          </w:p>
        </w:tc>
        <w:tc>
          <w:tcPr>
            <w:tcW w:w="1701" w:type="dxa"/>
            <w:vAlign w:val="center"/>
          </w:tcPr>
          <w:p w14:paraId="71A0DE79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215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83C31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119</w:t>
            </w:r>
          </w:p>
        </w:tc>
        <w:tc>
          <w:tcPr>
            <w:tcW w:w="1401" w:type="dxa"/>
            <w:vAlign w:val="center"/>
          </w:tcPr>
          <w:p w14:paraId="30DF277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00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</w:t>
            </w:r>
          </w:p>
        </w:tc>
        <w:tc>
          <w:tcPr>
            <w:tcW w:w="1434" w:type="dxa"/>
            <w:vAlign w:val="center"/>
          </w:tcPr>
          <w:p w14:paraId="7BF8B95E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0.990</w:t>
            </w:r>
          </w:p>
        </w:tc>
        <w:tc>
          <w:tcPr>
            <w:tcW w:w="1275" w:type="dxa"/>
            <w:vAlign w:val="center"/>
          </w:tcPr>
          <w:p w14:paraId="0FEC4882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  <w:tr w:rsidR="001B381F" w:rsidRPr="004D3C73" w14:paraId="3220C86C" w14:textId="77777777" w:rsidTr="002E0A88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5B25090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Zearalenone</w:t>
            </w:r>
          </w:p>
        </w:tc>
        <w:tc>
          <w:tcPr>
            <w:tcW w:w="1030" w:type="dxa"/>
            <w:vAlign w:val="center"/>
          </w:tcPr>
          <w:p w14:paraId="04C9868C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7.73</w:t>
            </w:r>
          </w:p>
        </w:tc>
        <w:tc>
          <w:tcPr>
            <w:tcW w:w="1380" w:type="dxa"/>
            <w:vAlign w:val="center"/>
          </w:tcPr>
          <w:p w14:paraId="423B615B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319.2 (M+H)</w:t>
            </w: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vertAlign w:val="superscript"/>
                <w:lang w:val="en-GB"/>
              </w:rPr>
              <w:t>+</w:t>
            </w:r>
          </w:p>
        </w:tc>
        <w:tc>
          <w:tcPr>
            <w:tcW w:w="1701" w:type="dxa"/>
            <w:vAlign w:val="center"/>
          </w:tcPr>
          <w:p w14:paraId="7B12B83F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187.1</w:t>
            </w:r>
          </w:p>
        </w:tc>
        <w:tc>
          <w:tcPr>
            <w:tcW w:w="1701" w:type="dxa"/>
            <w:vAlign w:val="center"/>
          </w:tcPr>
          <w:p w14:paraId="18334113" w14:textId="77777777" w:rsidR="001B381F" w:rsidRPr="00BB6872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theme="minorHAnsi"/>
                <w:sz w:val="18"/>
                <w:szCs w:val="18"/>
                <w:lang w:val="en-GB"/>
              </w:rPr>
              <w:t>185.1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5436DF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68</w:t>
            </w:r>
          </w:p>
        </w:tc>
        <w:tc>
          <w:tcPr>
            <w:tcW w:w="1401" w:type="dxa"/>
            <w:vAlign w:val="center"/>
          </w:tcPr>
          <w:p w14:paraId="16C9A8A2" w14:textId="77777777" w:rsidR="001B381F" w:rsidRPr="004D3C73" w:rsidRDefault="001B381F" w:rsidP="00132D2E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1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0–</w:t>
            </w:r>
            <w:r w:rsidRPr="00BB6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40</w:t>
            </w: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00</w:t>
            </w:r>
          </w:p>
        </w:tc>
        <w:tc>
          <w:tcPr>
            <w:tcW w:w="1434" w:type="dxa"/>
            <w:vAlign w:val="center"/>
          </w:tcPr>
          <w:p w14:paraId="51571B5B" w14:textId="77777777" w:rsidR="001B381F" w:rsidRPr="00BB6872" w:rsidRDefault="001B381F" w:rsidP="00132D2E">
            <w:pPr>
              <w:keepNext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0.991</w:t>
            </w:r>
          </w:p>
        </w:tc>
        <w:tc>
          <w:tcPr>
            <w:tcW w:w="1275" w:type="dxa"/>
            <w:vAlign w:val="center"/>
          </w:tcPr>
          <w:p w14:paraId="15C1427F" w14:textId="77777777" w:rsidR="001B381F" w:rsidRPr="004D3C73" w:rsidRDefault="001B381F" w:rsidP="001B381F">
            <w:pPr>
              <w:keepNext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</w:pPr>
            <w:r w:rsidRPr="004D3C73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18"/>
                <w:lang w:val="en-US" w:eastAsia="de-DE" w:bidi="en-US"/>
                <w14:ligatures w14:val="none"/>
              </w:rPr>
              <w:t>20</w:t>
            </w:r>
          </w:p>
        </w:tc>
      </w:tr>
    </w:tbl>
    <w:p w14:paraId="0F6DFA95" w14:textId="66E1EF0B" w:rsidR="001B381F" w:rsidRPr="00A61991" w:rsidRDefault="00781483" w:rsidP="00997234">
      <w:pPr>
        <w:pStyle w:val="Caption"/>
        <w:jc w:val="both"/>
        <w:rPr>
          <w:rFonts w:ascii="Palatino Linotype" w:hAnsi="Palatino Linotype"/>
          <w:i w:val="0"/>
          <w:iCs w:val="0"/>
          <w:color w:val="000000" w:themeColor="text1"/>
        </w:rPr>
      </w:pPr>
      <w:r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vertAlign w:val="superscript"/>
        </w:rPr>
        <w:t>a</w:t>
      </w:r>
      <w:r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MRM </w:t>
      </w:r>
      <w:r w:rsidR="00A61991">
        <w:rPr>
          <w:rFonts w:ascii="Palatino Linotype" w:hAnsi="Palatino Linotype"/>
          <w:i w:val="0"/>
          <w:iCs w:val="0"/>
          <w:color w:val="000000" w:themeColor="text1"/>
        </w:rPr>
        <w:t>t</w:t>
      </w:r>
      <w:r w:rsidRPr="00A61991">
        <w:rPr>
          <w:rFonts w:ascii="Palatino Linotype" w:hAnsi="Palatino Linotype"/>
          <w:i w:val="0"/>
          <w:iCs w:val="0"/>
          <w:color w:val="000000" w:themeColor="text1"/>
        </w:rPr>
        <w:t>ransitions on tandem quadrupole mass spectrometer (W</w:t>
      </w:r>
      <w:r w:rsidR="00EF6FB4" w:rsidRPr="00A61991">
        <w:rPr>
          <w:rFonts w:ascii="Palatino Linotype" w:hAnsi="Palatino Linotype"/>
          <w:i w:val="0"/>
          <w:iCs w:val="0"/>
          <w:color w:val="000000" w:themeColor="text1"/>
        </w:rPr>
        <w:t>aters AcquityTQD)</w:t>
      </w:r>
      <w:r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vertAlign w:val="superscript"/>
        </w:rPr>
        <w:t>b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Percentage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</w:rPr>
        <w:t>r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ecovery of spiked sample at 50 ug/kg 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measured 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</w:rPr>
        <w:t>in batch of samples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</w:rPr>
        <w:t>. Mycotoxin results not corrected for % recovery.</w:t>
      </w:r>
      <w:r w:rsidR="00600228" w:rsidRPr="00A61991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vertAlign w:val="superscript"/>
        </w:rPr>
        <w:t>c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 xml:space="preserve"> Calibration curves of matrix-matched standards prepared and analysed with the samples. Curves compiled with at least 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>six</w:t>
      </w:r>
      <w:r w:rsidR="002E0A88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 xml:space="preserve"> concentration levels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>. Linearity of the curves were confirmed with the calibration curve correlation coefficient, R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vertAlign w:val="superscript"/>
        </w:rPr>
        <w:t>2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 xml:space="preserve">. 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vertAlign w:val="superscript"/>
        </w:rPr>
        <w:t>d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</w:rPr>
        <w:t xml:space="preserve"> 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lang w:val="en-US"/>
        </w:rPr>
        <w:t>Limit of quantitation (LOQ) (determined when the method was validated) is the lowest concentration level that can be quantified with acceptable precision and accuracy by applying the complete analytical method</w:t>
      </w:r>
      <w:r w:rsid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lang w:val="en-US"/>
        </w:rPr>
        <w:t xml:space="preserve"> [33]</w:t>
      </w:r>
      <w:r w:rsidR="0028256B" w:rsidRPr="00A61991">
        <w:rPr>
          <w:rFonts w:ascii="Palatino Linotype" w:hAnsi="Palatino Linotype"/>
          <w:i w:val="0"/>
          <w:iCs w:val="0"/>
          <w:color w:val="000000" w:themeColor="text1"/>
          <w:sz w:val="20"/>
          <w:szCs w:val="20"/>
          <w:lang w:val="en-US"/>
        </w:rPr>
        <w:t>.</w:t>
      </w:r>
    </w:p>
    <w:sectPr w:rsidR="001B381F" w:rsidRPr="00A61991" w:rsidSect="00EF189D">
      <w:pgSz w:w="16838" w:h="11906" w:orient="landscape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C73"/>
    <w:rsid w:val="00047BE0"/>
    <w:rsid w:val="000D330D"/>
    <w:rsid w:val="000F5162"/>
    <w:rsid w:val="00122405"/>
    <w:rsid w:val="00172C3A"/>
    <w:rsid w:val="001A3F09"/>
    <w:rsid w:val="001B381F"/>
    <w:rsid w:val="001D0535"/>
    <w:rsid w:val="0028256B"/>
    <w:rsid w:val="002E0A88"/>
    <w:rsid w:val="003D5747"/>
    <w:rsid w:val="00427D27"/>
    <w:rsid w:val="004339FE"/>
    <w:rsid w:val="004D3C73"/>
    <w:rsid w:val="0058168B"/>
    <w:rsid w:val="00600028"/>
    <w:rsid w:val="00600228"/>
    <w:rsid w:val="006223EF"/>
    <w:rsid w:val="00736551"/>
    <w:rsid w:val="00781483"/>
    <w:rsid w:val="00782EBB"/>
    <w:rsid w:val="00973876"/>
    <w:rsid w:val="00997234"/>
    <w:rsid w:val="009D61C2"/>
    <w:rsid w:val="00A61991"/>
    <w:rsid w:val="00B71E35"/>
    <w:rsid w:val="00BA4F83"/>
    <w:rsid w:val="00BB6872"/>
    <w:rsid w:val="00DB6B2A"/>
    <w:rsid w:val="00DB6D9A"/>
    <w:rsid w:val="00E218AE"/>
    <w:rsid w:val="00EA0EF3"/>
    <w:rsid w:val="00ED7240"/>
    <w:rsid w:val="00EF189D"/>
    <w:rsid w:val="00EF6FB4"/>
    <w:rsid w:val="00F445D5"/>
    <w:rsid w:val="00FA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B7114"/>
  <w15:chartTrackingRefBased/>
  <w15:docId w15:val="{4D12159D-1617-4F9F-B559-6894CC19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C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C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C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C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C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C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C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C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C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C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C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C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C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3C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C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3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3C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C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3C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3C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C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C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3C73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4D3C7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Revision">
    <w:name w:val="Revision"/>
    <w:hidden/>
    <w:uiPriority w:val="99"/>
    <w:semiHidden/>
    <w:rsid w:val="00E218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1632</Characters>
  <Application>Microsoft Office Word</Application>
  <DocSecurity>0</DocSecurity>
  <Lines>162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Hannalien Meyer</dc:creator>
  <cp:keywords/>
  <dc:description/>
  <cp:lastModifiedBy>Elena Yang</cp:lastModifiedBy>
  <cp:revision>5</cp:revision>
  <cp:lastPrinted>2024-01-17T14:05:00Z</cp:lastPrinted>
  <dcterms:created xsi:type="dcterms:W3CDTF">2024-01-18T06:40:00Z</dcterms:created>
  <dcterms:modified xsi:type="dcterms:W3CDTF">2024-02-08T01:55:00Z</dcterms:modified>
</cp:coreProperties>
</file>