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77FAC3" w14:textId="77777777" w:rsidR="00AE0E56" w:rsidRPr="001212F3" w:rsidRDefault="00857342" w:rsidP="00AE0E56">
      <w:pPr>
        <w:pStyle w:val="MDPI11articletype"/>
      </w:pPr>
      <w:r w:rsidRPr="001212F3">
        <w:t>Supplementary Materials</w:t>
      </w:r>
    </w:p>
    <w:p w14:paraId="62DBD431" w14:textId="77777777" w:rsidR="00857342" w:rsidRPr="001212F3" w:rsidRDefault="00857342" w:rsidP="00857342">
      <w:pPr>
        <w:pStyle w:val="MDPI12title"/>
        <w:rPr>
          <w:color w:val="auto"/>
        </w:rPr>
      </w:pPr>
      <w:r w:rsidRPr="001212F3">
        <w:rPr>
          <w:color w:val="auto"/>
        </w:rPr>
        <w:t>Air-</w:t>
      </w:r>
      <w:r w:rsidR="003B21CE" w:rsidRPr="001212F3">
        <w:rPr>
          <w:color w:val="auto"/>
        </w:rPr>
        <w:t>Bubble Induced Mixing</w:t>
      </w:r>
      <w:r w:rsidRPr="001212F3">
        <w:rPr>
          <w:color w:val="auto"/>
        </w:rPr>
        <w:t xml:space="preserve">: A </w:t>
      </w:r>
      <w:r w:rsidR="003B21CE" w:rsidRPr="001212F3">
        <w:rPr>
          <w:color w:val="auto"/>
        </w:rPr>
        <w:t>Fluidic Mixer Chip</w:t>
      </w:r>
    </w:p>
    <w:p w14:paraId="26685556" w14:textId="77777777" w:rsidR="00857342" w:rsidRPr="001212F3" w:rsidRDefault="00857342" w:rsidP="00857342">
      <w:pPr>
        <w:pStyle w:val="MDPI16affiliation"/>
        <w:rPr>
          <w:b/>
          <w:bCs/>
          <w:color w:val="auto"/>
          <w:sz w:val="20"/>
          <w:szCs w:val="22"/>
        </w:rPr>
      </w:pPr>
      <w:r w:rsidRPr="001212F3">
        <w:rPr>
          <w:b/>
          <w:bCs/>
          <w:color w:val="auto"/>
          <w:sz w:val="20"/>
          <w:szCs w:val="22"/>
        </w:rPr>
        <w:t>Xiaoyu Jia, Bingchen Che, Guangyin Jing and Ce Zhang</w:t>
      </w:r>
    </w:p>
    <w:p w14:paraId="0B9E8F8C" w14:textId="77777777" w:rsidR="00857342" w:rsidRPr="001212F3" w:rsidRDefault="003B21CE" w:rsidP="003B21CE">
      <w:pPr>
        <w:pStyle w:val="MDPI21heading1"/>
      </w:pPr>
      <w:r w:rsidRPr="001212F3">
        <w:rPr>
          <w:rFonts w:eastAsia="宋体"/>
          <w:lang w:eastAsia="zh-CN"/>
        </w:rPr>
        <w:t xml:space="preserve">1. </w:t>
      </w:r>
      <w:r w:rsidR="00857342" w:rsidRPr="001212F3">
        <w:rPr>
          <w:rFonts w:eastAsia="宋体"/>
          <w:lang w:eastAsia="zh-CN"/>
        </w:rPr>
        <w:t xml:space="preserve">Correlation </w:t>
      </w:r>
      <w:r w:rsidR="00316764" w:rsidRPr="001212F3">
        <w:rPr>
          <w:rFonts w:eastAsia="宋体"/>
          <w:lang w:eastAsia="zh-CN"/>
        </w:rPr>
        <w:t xml:space="preserve">between </w:t>
      </w:r>
      <w:r w:rsidRPr="001212F3">
        <w:rPr>
          <w:rFonts w:eastAsia="宋体"/>
          <w:lang w:eastAsia="zh-CN"/>
        </w:rPr>
        <w:t>Air</w:t>
      </w:r>
      <w:r w:rsidR="00857342" w:rsidRPr="001212F3">
        <w:rPr>
          <w:rFonts w:eastAsia="宋体"/>
          <w:lang w:eastAsia="zh-CN"/>
        </w:rPr>
        <w:t>-</w:t>
      </w:r>
      <w:r w:rsidRPr="001212F3">
        <w:rPr>
          <w:rFonts w:eastAsia="宋体"/>
          <w:lang w:eastAsia="zh-CN"/>
        </w:rPr>
        <w:t xml:space="preserve">Bubble Size </w:t>
      </w:r>
      <w:r w:rsidR="00857342" w:rsidRPr="001212F3">
        <w:rPr>
          <w:rFonts w:eastAsia="宋体"/>
          <w:lang w:eastAsia="zh-CN"/>
        </w:rPr>
        <w:t xml:space="preserve">and the </w:t>
      </w:r>
      <w:r w:rsidRPr="001212F3">
        <w:rPr>
          <w:rFonts w:eastAsia="宋体"/>
          <w:lang w:eastAsia="zh-CN"/>
        </w:rPr>
        <w:t>Controlling Parameters</w:t>
      </w:r>
    </w:p>
    <w:p w14:paraId="5CF5B663" w14:textId="2EC99992" w:rsidR="00857342" w:rsidRPr="001212F3" w:rsidRDefault="00857342" w:rsidP="003B21CE">
      <w:pPr>
        <w:pStyle w:val="MDPI31text"/>
      </w:pPr>
      <w:r w:rsidRPr="001212F3">
        <w:t>To make the problem simpler, we try to make a discussion on the scaling analysis for the controlling parameters to evaluate air-bubble size</w:t>
      </w:r>
      <w:r w:rsidR="009F16B3" w:rsidRPr="001212F3">
        <w:t>;</w:t>
      </w:r>
      <w:r w:rsidRPr="001212F3">
        <w:t xml:space="preserve"> i.e.</w:t>
      </w:r>
      <w:r w:rsidR="00316764" w:rsidRPr="001212F3">
        <w:t>,</w:t>
      </w:r>
      <w:r w:rsidRPr="001212F3">
        <w:t xml:space="preserve"> the correlation between bubble size and the driving flow rate, channel dimensions, and the nature of the mixing solution. As indicated in </w:t>
      </w:r>
      <w:r w:rsidR="00316764" w:rsidRPr="001212F3">
        <w:br/>
        <w:t xml:space="preserve">Figure </w:t>
      </w:r>
      <w:r w:rsidRPr="001212F3">
        <w:t xml:space="preserve">R1, the continuous flow produces air-bubbles from the air inlet at the adjacent of the Y junction. </w:t>
      </w:r>
      <w:r w:rsidR="009F16B3" w:rsidRPr="001212F3">
        <w:t>The v</w:t>
      </w:r>
      <w:r w:rsidRPr="001212F3">
        <w:t>olume of the air-bubble</w:t>
      </w:r>
      <w:r w:rsidR="009F16B3" w:rsidRPr="001212F3">
        <w:t xml:space="preserve"> produced</w:t>
      </w:r>
      <w:r w:rsidRPr="001212F3">
        <w:t xml:space="preserve"> is determined by the balance between the pressure difference across </w:t>
      </w:r>
      <w:r w:rsidRPr="001212F3">
        <w:rPr>
          <w:szCs w:val="20"/>
        </w:rPr>
        <w:t xml:space="preserve">the bubble diameter and the Laplace pressure (shown in the </w:t>
      </w:r>
      <w:r w:rsidR="00316764" w:rsidRPr="001212F3">
        <w:rPr>
          <w:szCs w:val="20"/>
        </w:rPr>
        <w:t xml:space="preserve">Figure </w:t>
      </w:r>
      <w:r w:rsidRPr="001212F3">
        <w:rPr>
          <w:szCs w:val="20"/>
        </w:rPr>
        <w:t>S4). Within the channel (width</w:t>
      </w:r>
      <w:r w:rsidR="00316764" w:rsidRPr="001212F3">
        <w:rPr>
          <w:szCs w:val="20"/>
        </w:rPr>
        <w:t xml:space="preserve"> </w:t>
      </w:r>
      <w:r w:rsidR="00316764" w:rsidRPr="001212F3">
        <w:rPr>
          <w:i/>
          <w:szCs w:val="20"/>
        </w:rPr>
        <w:t>w</w:t>
      </w:r>
      <w:r w:rsidRPr="001212F3">
        <w:rPr>
          <w:szCs w:val="20"/>
        </w:rPr>
        <w:t xml:space="preserve"> and height</w:t>
      </w:r>
      <w:r w:rsidR="00316764" w:rsidRPr="001212F3">
        <w:rPr>
          <w:szCs w:val="20"/>
        </w:rPr>
        <w:t xml:space="preserve"> </w:t>
      </w:r>
      <w:r w:rsidR="00316764" w:rsidRPr="001212F3">
        <w:rPr>
          <w:i/>
          <w:szCs w:val="20"/>
        </w:rPr>
        <w:t>h</w:t>
      </w:r>
      <w:r w:rsidRPr="001212F3">
        <w:rPr>
          <w:szCs w:val="20"/>
        </w:rPr>
        <w:t xml:space="preserve">), this driving pressure reads </w:t>
      </w:r>
      <m:oMath>
        <m:r>
          <w:rPr>
            <w:rFonts w:ascii="Cambria Math" w:hAnsi="Cambria Math"/>
            <w:szCs w:val="20"/>
          </w:rPr>
          <m:t xml:space="preserve">∆p </m:t>
        </m:r>
        <m:r>
          <m:rPr>
            <m:sty m:val="p"/>
          </m:rPr>
          <w:rPr>
            <w:rFonts w:ascii="Cambria Math" w:hAnsi="Cambria Math"/>
            <w:szCs w:val="20"/>
          </w:rPr>
          <m:t xml:space="preserve">~ </m:t>
        </m:r>
        <m:sSub>
          <m:sSubPr>
            <m:ctrlPr>
              <w:rPr>
                <w:rFonts w:ascii="Cambria Math" w:hAnsi="Cambria Math"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R</m:t>
            </m:r>
          </m:e>
          <m:sub>
            <m:r>
              <w:rPr>
                <w:rFonts w:ascii="Cambria Math" w:hAnsi="Cambria Math"/>
                <w:szCs w:val="20"/>
              </w:rPr>
              <m:t>H</m:t>
            </m:r>
          </m:sub>
        </m:sSub>
        <m:sSub>
          <m:sSubPr>
            <m:ctrlPr>
              <w:rPr>
                <w:rFonts w:ascii="Cambria Math" w:hAnsi="Cambria Math"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Q</m:t>
            </m:r>
          </m:e>
          <m:sub>
            <m:r>
              <w:rPr>
                <w:rFonts w:ascii="Cambria Math" w:hAnsi="Cambria Math"/>
                <w:szCs w:val="20"/>
              </w:rPr>
              <m:t>b</m:t>
            </m:r>
          </m:sub>
        </m:sSub>
        <m:r>
          <m:rPr>
            <m:sty m:val="p"/>
          </m:rPr>
          <w:rPr>
            <w:rFonts w:ascii="Cambria Math" w:hAnsi="Cambria Math"/>
            <w:szCs w:val="20"/>
          </w:rPr>
          <m:t xml:space="preserve">= </m:t>
        </m:r>
        <m:f>
          <m:fPr>
            <m:type m:val="lin"/>
            <m:ctrlPr>
              <w:rPr>
                <w:rFonts w:ascii="Cambria Math" w:hAnsi="Cambria Math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0"/>
              </w:rPr>
              <m:t>12</m:t>
            </m:r>
            <m:r>
              <w:rPr>
                <w:rFonts w:ascii="Cambria Math" w:hAnsi="Cambria Math"/>
                <w:szCs w:val="20"/>
              </w:rPr>
              <m:t>μ</m:t>
            </m:r>
            <m:r>
              <m:rPr>
                <m:sty m:val="p"/>
              </m:rPr>
              <w:rPr>
                <w:rFonts w:ascii="Cambria Math" w:hAnsi="Cambria Math"/>
                <w:szCs w:val="20"/>
              </w:rPr>
              <m:t>∙2</m:t>
            </m:r>
            <m:r>
              <w:rPr>
                <w:rFonts w:ascii="Cambria Math" w:hAnsi="Cambria Math"/>
                <w:szCs w:val="20"/>
              </w:rPr>
              <m:t>R</m:t>
            </m:r>
            <m:sSub>
              <m:sSubPr>
                <m:ctrlPr>
                  <w:rPr>
                    <w:rFonts w:ascii="Cambria Math" w:hAnsi="Cambria Math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Cs w:val="20"/>
                  </w:rPr>
                  <m:t>Q</m:t>
                </m:r>
              </m:e>
              <m:sub>
                <m:r>
                  <w:rPr>
                    <w:rFonts w:ascii="Cambria Math" w:hAnsi="Cambria Math"/>
                    <w:szCs w:val="20"/>
                  </w:rPr>
                  <m:t>b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Cs w:val="20"/>
                  </w:rPr>
                  <m:t>h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Cs w:val="20"/>
                  </w:rPr>
                  <m:t>3</m:t>
                </m:r>
              </m:sup>
            </m:sSup>
            <m:r>
              <w:rPr>
                <w:rFonts w:ascii="Cambria Math" w:hAnsi="Cambria Math"/>
                <w:szCs w:val="20"/>
              </w:rPr>
              <m:t>w</m:t>
            </m:r>
          </m:den>
        </m:f>
      </m:oMath>
      <w:r w:rsidRPr="001212F3">
        <w:rPr>
          <w:szCs w:val="20"/>
        </w:rPr>
        <w:t xml:space="preserve">, where </w:t>
      </w:r>
      <m:oMath>
        <m:sSub>
          <m:sSubPr>
            <m:ctrlPr>
              <w:rPr>
                <w:rFonts w:ascii="Cambria Math" w:hAnsi="Cambria Math"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>R</m:t>
            </m:r>
          </m:e>
          <m:sub>
            <m:r>
              <w:rPr>
                <w:rFonts w:ascii="Cambria Math" w:hAnsi="Cambria Math"/>
                <w:szCs w:val="20"/>
              </w:rPr>
              <m:t>H</m:t>
            </m:r>
          </m:sub>
        </m:sSub>
        <m:r>
          <m:rPr>
            <m:sty m:val="p"/>
          </m:rPr>
          <w:rPr>
            <w:rFonts w:ascii="Cambria Math" w:hAnsi="Cambria Math"/>
            <w:szCs w:val="20"/>
          </w:rPr>
          <m:t xml:space="preserve">,  </m:t>
        </m:r>
        <m:r>
          <w:rPr>
            <w:rFonts w:ascii="Cambria Math" w:hAnsi="Cambria Math"/>
            <w:szCs w:val="20"/>
          </w:rPr>
          <m:t>μ</m:t>
        </m:r>
        <m:r>
          <m:rPr>
            <m:sty m:val="p"/>
          </m:rPr>
          <w:rPr>
            <w:rFonts w:ascii="Cambria Math" w:hAnsi="Cambria Math"/>
            <w:szCs w:val="20"/>
          </w:rPr>
          <m:t xml:space="preserve">, </m:t>
        </m:r>
        <m:sSub>
          <m:sSubPr>
            <m:ctrlPr>
              <w:rPr>
                <w:rFonts w:ascii="Cambria Math" w:hAnsi="Cambria Math"/>
                <w:szCs w:val="20"/>
              </w:rPr>
            </m:ctrlPr>
          </m:sSubPr>
          <m:e>
            <m:r>
              <w:rPr>
                <w:rFonts w:ascii="Cambria Math" w:hAnsi="Cambria Math"/>
                <w:szCs w:val="20"/>
              </w:rPr>
              <m:t xml:space="preserve"> Q</m:t>
            </m:r>
          </m:e>
          <m:sub>
            <m:r>
              <w:rPr>
                <w:rFonts w:ascii="Cambria Math" w:hAnsi="Cambria Math"/>
                <w:szCs w:val="20"/>
              </w:rPr>
              <m:t>b</m:t>
            </m:r>
          </m:sub>
        </m:sSub>
        <m:r>
          <m:rPr>
            <m:sty m:val="p"/>
          </m:rPr>
          <w:rPr>
            <w:rFonts w:ascii="Cambria Math" w:hAnsi="Cambria Math"/>
            <w:szCs w:val="20"/>
          </w:rPr>
          <m:t xml:space="preserve"> </m:t>
        </m:r>
      </m:oMath>
      <w:r w:rsidRPr="001212F3">
        <w:rPr>
          <w:szCs w:val="20"/>
        </w:rPr>
        <w:t xml:space="preserve">are hydrodynamic resistance, effective viscosity, </w:t>
      </w:r>
      <w:r w:rsidR="009F16B3" w:rsidRPr="001212F3">
        <w:rPr>
          <w:szCs w:val="20"/>
        </w:rPr>
        <w:t xml:space="preserve">and </w:t>
      </w:r>
      <w:r w:rsidRPr="001212F3">
        <w:rPr>
          <w:szCs w:val="20"/>
        </w:rPr>
        <w:t xml:space="preserve">flow rate of the mixing solution, respectively. The Laplace pressure </w:t>
      </w:r>
      <m:oMath>
        <m:r>
          <w:rPr>
            <w:rFonts w:ascii="Cambria Math" w:hAnsi="Cambria Math"/>
            <w:szCs w:val="20"/>
          </w:rPr>
          <m:t>p</m:t>
        </m:r>
      </m:oMath>
      <w:r w:rsidRPr="001212F3">
        <w:rPr>
          <w:szCs w:val="20"/>
        </w:rPr>
        <w:t xml:space="preserve"> is determined by the surface tension </w:t>
      </w:r>
      <m:oMath>
        <m:r>
          <w:rPr>
            <w:rFonts w:ascii="Cambria Math" w:hAnsi="Cambria Math"/>
            <w:szCs w:val="20"/>
          </w:rPr>
          <m:t>γ</m:t>
        </m:r>
      </m:oMath>
      <w:r w:rsidRPr="001212F3">
        <w:rPr>
          <w:szCs w:val="20"/>
        </w:rPr>
        <w:t xml:space="preserve"> of the mixing solution and the size </w:t>
      </w:r>
      <m:oMath>
        <m:r>
          <w:rPr>
            <w:rFonts w:ascii="Cambria Math" w:hAnsi="Cambria Math"/>
            <w:szCs w:val="20"/>
          </w:rPr>
          <m:t>R</m:t>
        </m:r>
      </m:oMath>
      <w:r w:rsidRPr="001212F3">
        <w:rPr>
          <w:szCs w:val="20"/>
        </w:rPr>
        <w:t xml:space="preserve"> of the air bubble, i.e., </w:t>
      </w:r>
      <m:oMath>
        <m:r>
          <w:rPr>
            <w:rFonts w:ascii="Cambria Math" w:hAnsi="Cambria Math"/>
            <w:szCs w:val="20"/>
          </w:rPr>
          <m:t>p</m:t>
        </m:r>
        <m:r>
          <m:rPr>
            <m:sty m:val="p"/>
          </m:rPr>
          <w:rPr>
            <w:rFonts w:ascii="Cambria Math" w:hAnsi="Cambria Math"/>
            <w:szCs w:val="20"/>
          </w:rPr>
          <m:t>~2</m:t>
        </m:r>
        <m:r>
          <w:rPr>
            <w:rFonts w:ascii="Cambria Math" w:hAnsi="Cambria Math"/>
            <w:szCs w:val="20"/>
          </w:rPr>
          <m:t>γ</m:t>
        </m:r>
        <m:r>
          <m:rPr>
            <m:sty m:val="p"/>
          </m:rPr>
          <w:rPr>
            <w:rFonts w:ascii="Cambria Math" w:hAnsi="Cambria Math"/>
            <w:szCs w:val="20"/>
          </w:rPr>
          <m:t>/</m:t>
        </m:r>
        <m:r>
          <w:rPr>
            <w:rFonts w:ascii="Cambria Math" w:hAnsi="Cambria Math"/>
            <w:szCs w:val="20"/>
          </w:rPr>
          <m:t>R</m:t>
        </m:r>
      </m:oMath>
      <w:r w:rsidRPr="001212F3">
        <w:rPr>
          <w:szCs w:val="20"/>
        </w:rPr>
        <w:t xml:space="preserve">, which is maintained by the pressure controller. With the surface tension </w:t>
      </w:r>
      <m:oMath>
        <m:r>
          <w:rPr>
            <w:rFonts w:ascii="Cambria Math" w:hAnsi="Cambria Math"/>
            <w:szCs w:val="20"/>
          </w:rPr>
          <m:t>γ</m:t>
        </m:r>
        <m:r>
          <m:rPr>
            <m:sty m:val="p"/>
          </m:rPr>
          <w:rPr>
            <w:rFonts w:ascii="Cambria Math" w:hAnsi="Cambria Math"/>
            <w:szCs w:val="20"/>
          </w:rPr>
          <m:t xml:space="preserve">~0.05 </m:t>
        </m:r>
        <m:r>
          <w:rPr>
            <w:rFonts w:ascii="Cambria Math" w:hAnsi="Cambria Math"/>
            <w:szCs w:val="20"/>
          </w:rPr>
          <m:t>N</m:t>
        </m:r>
        <m:r>
          <m:rPr>
            <m:sty m:val="p"/>
          </m:rPr>
          <w:rPr>
            <w:rFonts w:ascii="Cambria Math" w:hAnsi="Cambria Math"/>
            <w:szCs w:val="20"/>
          </w:rPr>
          <m:t>/</m:t>
        </m:r>
        <m:r>
          <w:rPr>
            <w:rFonts w:ascii="Cambria Math" w:hAnsi="Cambria Math"/>
            <w:szCs w:val="20"/>
          </w:rPr>
          <m:t>m</m:t>
        </m:r>
      </m:oMath>
      <w:r w:rsidRPr="001212F3">
        <w:rPr>
          <w:szCs w:val="20"/>
        </w:rPr>
        <w:t xml:space="preserve"> and R</w:t>
      </w:r>
      <w:r w:rsidR="009F16B3" w:rsidRPr="001212F3">
        <w:rPr>
          <w:szCs w:val="20"/>
        </w:rPr>
        <w:t xml:space="preserve"> ≈ </w:t>
      </w:r>
      <w:r w:rsidRPr="001212F3">
        <w:rPr>
          <w:szCs w:val="20"/>
        </w:rPr>
        <w:t xml:space="preserve">0.1 mm in our cases, the Laplace pressure is estimated, which is on the same order of pressure used in our experiments. Therefore, the bubble size has the relation of </w:t>
      </w:r>
      <m:oMath>
        <m:r>
          <w:rPr>
            <w:rFonts w:ascii="Cambria Math" w:hAnsi="Cambria Math"/>
            <w:szCs w:val="20"/>
          </w:rPr>
          <m:t xml:space="preserve">R </m:t>
        </m:r>
        <m:r>
          <m:rPr>
            <m:sty m:val="p"/>
          </m:rPr>
          <w:rPr>
            <w:rFonts w:ascii="Cambria Math" w:hAnsi="Cambria Math"/>
            <w:szCs w:val="20"/>
          </w:rPr>
          <m:t>~ (</m:t>
        </m:r>
        <m:d>
          <m:dPr>
            <m:ctrlPr>
              <w:rPr>
                <w:rFonts w:ascii="Cambria Math" w:hAnsi="Cambria Math"/>
                <w:szCs w:val="20"/>
              </w:rPr>
            </m:ctrlPr>
          </m:dPr>
          <m:e>
            <m:f>
              <m:fPr>
                <m:type m:val="lin"/>
                <m:ctrlPr>
                  <w:rPr>
                    <w:rFonts w:ascii="Cambria Math" w:hAnsi="Cambria Math"/>
                    <w:i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szCs w:val="20"/>
                  </w:rPr>
                  <m:t>γ</m:t>
                </m:r>
              </m:num>
              <m:den>
                <m:r>
                  <w:rPr>
                    <w:rFonts w:ascii="Cambria Math" w:hAnsi="Cambria Math"/>
                    <w:szCs w:val="20"/>
                  </w:rPr>
                  <m:t>μ</m:t>
                </m:r>
              </m:den>
            </m:f>
          </m:e>
        </m:d>
        <m:r>
          <w:rPr>
            <w:rFonts w:ascii="Cambria Math" w:hAnsi="Cambria Math"/>
            <w:szCs w:val="20"/>
          </w:rPr>
          <m:t>∙</m:t>
        </m:r>
        <m:d>
          <m:dPr>
            <m:ctrlPr>
              <w:rPr>
                <w:rFonts w:ascii="Cambria Math" w:hAnsi="Cambria Math"/>
                <w:szCs w:val="20"/>
              </w:rPr>
            </m:ctrlPr>
          </m:dPr>
          <m:e>
            <m:f>
              <m:fPr>
                <m:type m:val="lin"/>
                <m:ctrlPr>
                  <w:rPr>
                    <w:rFonts w:ascii="Cambria Math" w:hAnsi="Cambria Math"/>
                    <w:szCs w:val="20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0"/>
                      </w:rPr>
                      <m:t>wh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0"/>
                      </w:rPr>
                      <m:t>3</m:t>
                    </m:r>
                  </m:sup>
                </m:sSup>
              </m:num>
              <m:den>
                <m:sSub>
                  <m:sSubPr>
                    <m:ctrlPr>
                      <w:rPr>
                        <w:rFonts w:ascii="Cambria Math" w:hAnsi="Cambria Math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0"/>
                      </w:rPr>
                      <m:t>12</m:t>
                    </m:r>
                    <m:r>
                      <w:rPr>
                        <w:rFonts w:ascii="Cambria Math" w:hAnsi="Cambria Math"/>
                        <w:szCs w:val="20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Cs w:val="20"/>
                      </w:rPr>
                      <m:t>b</m:t>
                    </m:r>
                  </m:sub>
                </m:sSub>
              </m:den>
            </m:f>
          </m:e>
        </m:d>
        <m:sSup>
          <m:sSupPr>
            <m:ctrlPr>
              <w:rPr>
                <w:rFonts w:ascii="Cambria Math" w:hAnsi="Cambria Math"/>
                <w:szCs w:val="2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0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0"/>
              </w:rPr>
              <m:t>1/2</m:t>
            </m:r>
          </m:sup>
        </m:sSup>
      </m:oMath>
      <w:r w:rsidRPr="001212F3">
        <w:rPr>
          <w:szCs w:val="20"/>
        </w:rPr>
        <w:t>.</w:t>
      </w:r>
    </w:p>
    <w:p w14:paraId="5962ED92" w14:textId="77777777" w:rsidR="003B21CE" w:rsidRPr="001212F3" w:rsidRDefault="00857342" w:rsidP="00316764">
      <w:pPr>
        <w:pStyle w:val="MDPI52figure"/>
        <w:spacing w:before="240"/>
        <w:rPr>
          <w:w w:val="110"/>
          <w:sz w:val="18"/>
          <w:highlight w:val="red"/>
        </w:rPr>
      </w:pPr>
      <w:r w:rsidRPr="001212F3">
        <w:rPr>
          <w:noProof/>
          <w:sz w:val="20"/>
          <w:lang w:eastAsia="zh-CN" w:bidi="ar-SA"/>
        </w:rPr>
        <w:drawing>
          <wp:inline distT="0" distB="0" distL="0" distR="0" wp14:anchorId="4E57A859" wp14:editId="13E22B5D">
            <wp:extent cx="3068955" cy="1725295"/>
            <wp:effectExtent l="0" t="0" r="0" b="8255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8955" cy="172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40F2AC" w14:textId="77777777" w:rsidR="00857342" w:rsidRPr="001212F3" w:rsidRDefault="003B21CE" w:rsidP="003B21CE">
      <w:pPr>
        <w:pStyle w:val="MDPI51figurecaption"/>
        <w:rPr>
          <w:w w:val="110"/>
        </w:rPr>
      </w:pPr>
      <w:r w:rsidRPr="001212F3">
        <w:rPr>
          <w:b/>
          <w:bCs/>
          <w:w w:val="110"/>
        </w:rPr>
        <w:t>Figure S1.</w:t>
      </w:r>
      <w:r w:rsidR="00857342" w:rsidRPr="001212F3">
        <w:rPr>
          <w:b/>
          <w:w w:val="110"/>
        </w:rPr>
        <w:t xml:space="preserve"> </w:t>
      </w:r>
      <w:r w:rsidR="00857342" w:rsidRPr="001212F3">
        <w:rPr>
          <w:w w:val="110"/>
        </w:rPr>
        <w:t>Fabrication process of the fluidic mixer. The template is fabricated using 3D printing. The mixed PDMS solution (base and curing agent, 10:1) is transferred into the template, which is followed by incubated at 45</w:t>
      </w:r>
      <w:r w:rsidR="00316764" w:rsidRPr="001212F3">
        <w:rPr>
          <w:w w:val="110"/>
        </w:rPr>
        <w:t xml:space="preserve"> °C </w:t>
      </w:r>
      <w:r w:rsidR="00857342" w:rsidRPr="001212F3">
        <w:rPr>
          <w:w w:val="110"/>
        </w:rPr>
        <w:t>for 24 h. The cured PDMS is then sealed with glass slides through plasma etching.</w:t>
      </w:r>
    </w:p>
    <w:p w14:paraId="2DAA9B42" w14:textId="77777777" w:rsidR="00857342" w:rsidRPr="001212F3" w:rsidRDefault="00857342" w:rsidP="003B21CE">
      <w:pPr>
        <w:pStyle w:val="MDPI52figure"/>
        <w:rPr>
          <w:szCs w:val="24"/>
          <w:highlight w:val="red"/>
        </w:rPr>
      </w:pPr>
      <w:r w:rsidRPr="001212F3">
        <w:rPr>
          <w:noProof/>
          <w:sz w:val="20"/>
          <w:lang w:eastAsia="zh-CN" w:bidi="ar-SA"/>
        </w:rPr>
        <w:drawing>
          <wp:inline distT="0" distB="0" distL="0" distR="0" wp14:anchorId="265CB0CD" wp14:editId="4CF78289">
            <wp:extent cx="4330700" cy="1328420"/>
            <wp:effectExtent l="0" t="0" r="0" b="5080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0" cy="132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13069A" w14:textId="77777777" w:rsidR="00857342" w:rsidRPr="001212F3" w:rsidRDefault="003B21CE" w:rsidP="003B21CE">
      <w:pPr>
        <w:pStyle w:val="MDPI51figurecaption"/>
        <w:rPr>
          <w:w w:val="110"/>
        </w:rPr>
      </w:pPr>
      <w:r w:rsidRPr="001212F3">
        <w:rPr>
          <w:b/>
          <w:bCs/>
          <w:w w:val="110"/>
        </w:rPr>
        <w:t xml:space="preserve">Figure </w:t>
      </w:r>
      <w:r w:rsidRPr="002F156E">
        <w:rPr>
          <w:b/>
          <w:bCs/>
          <w:w w:val="110"/>
        </w:rPr>
        <w:t>S2.</w:t>
      </w:r>
      <w:r w:rsidR="00857342" w:rsidRPr="002F156E">
        <w:rPr>
          <w:b/>
          <w:bCs/>
          <w:w w:val="110"/>
        </w:rPr>
        <w:t xml:space="preserve"> </w:t>
      </w:r>
      <w:r w:rsidR="00857342" w:rsidRPr="002F156E">
        <w:rPr>
          <w:w w:val="110"/>
        </w:rPr>
        <w:t>(</w:t>
      </w:r>
      <w:r w:rsidRPr="002F156E">
        <w:rPr>
          <w:b/>
          <w:w w:val="110"/>
        </w:rPr>
        <w:t>a</w:t>
      </w:r>
      <w:r w:rsidR="00857342" w:rsidRPr="002F156E">
        <w:rPr>
          <w:w w:val="110"/>
        </w:rPr>
        <w:t>) Optical image and (</w:t>
      </w:r>
      <w:r w:rsidRPr="002F156E">
        <w:rPr>
          <w:b/>
          <w:w w:val="110"/>
        </w:rPr>
        <w:t>b</w:t>
      </w:r>
      <w:r w:rsidR="00857342" w:rsidRPr="002F156E">
        <w:rPr>
          <w:w w:val="110"/>
        </w:rPr>
        <w:t>) schematic showing that the air-bubbles can be effectively removed by integrating a degassing unit into the fluidic chip. (</w:t>
      </w:r>
      <w:r w:rsidR="00316764" w:rsidRPr="002F156E">
        <w:rPr>
          <w:b/>
          <w:w w:val="110"/>
        </w:rPr>
        <w:t>b</w:t>
      </w:r>
      <w:r w:rsidR="00857342" w:rsidRPr="002F156E">
        <w:rPr>
          <w:w w:val="110"/>
        </w:rPr>
        <w:t>) By collecting the mixed solution into an empty chamber, the gas and liquid can be quickly separated due to gravity.</w:t>
      </w:r>
    </w:p>
    <w:p w14:paraId="45F0EA55" w14:textId="77777777" w:rsidR="003B21CE" w:rsidRPr="001212F3" w:rsidRDefault="00857342" w:rsidP="003B21CE">
      <w:pPr>
        <w:pStyle w:val="MDPI52figure"/>
        <w:rPr>
          <w:w w:val="110"/>
          <w:sz w:val="18"/>
          <w:highlight w:val="red"/>
        </w:rPr>
      </w:pPr>
      <w:r w:rsidRPr="001212F3">
        <w:rPr>
          <w:noProof/>
          <w:sz w:val="20"/>
          <w:lang w:eastAsia="zh-CN" w:bidi="ar-SA"/>
        </w:rPr>
        <w:lastRenderedPageBreak/>
        <w:drawing>
          <wp:inline distT="0" distB="0" distL="0" distR="0" wp14:anchorId="7FFAC5FD" wp14:editId="528A7FFB">
            <wp:extent cx="3990975" cy="2247900"/>
            <wp:effectExtent l="0" t="0" r="9525" b="0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A950C" w14:textId="05A77527" w:rsidR="00857342" w:rsidRPr="001212F3" w:rsidRDefault="003B21CE" w:rsidP="003B21CE">
      <w:pPr>
        <w:pStyle w:val="MDPI51figurecaption"/>
        <w:rPr>
          <w:w w:val="110"/>
        </w:rPr>
      </w:pPr>
      <w:r w:rsidRPr="001212F3">
        <w:rPr>
          <w:b/>
          <w:bCs/>
          <w:w w:val="110"/>
        </w:rPr>
        <w:t>Figure S3.</w:t>
      </w:r>
      <w:r w:rsidR="00857342" w:rsidRPr="001212F3">
        <w:rPr>
          <w:b/>
          <w:bCs/>
          <w:w w:val="110"/>
        </w:rPr>
        <w:t xml:space="preserve"> </w:t>
      </w:r>
      <w:r w:rsidR="00857342" w:rsidRPr="001212F3">
        <w:rPr>
          <w:w w:val="110"/>
        </w:rPr>
        <w:t>(</w:t>
      </w:r>
      <w:r w:rsidR="00857342" w:rsidRPr="001212F3">
        <w:rPr>
          <w:b/>
          <w:w w:val="110"/>
        </w:rPr>
        <w:t>a</w:t>
      </w:r>
      <w:r w:rsidR="00857342" w:rsidRPr="001212F3">
        <w:rPr>
          <w:w w:val="110"/>
        </w:rPr>
        <w:t>,</w:t>
      </w:r>
      <w:r w:rsidR="002F156E">
        <w:rPr>
          <w:b/>
          <w:w w:val="110"/>
        </w:rPr>
        <w:t>c</w:t>
      </w:r>
      <w:r w:rsidR="00857342" w:rsidRPr="001212F3">
        <w:rPr>
          <w:w w:val="110"/>
        </w:rPr>
        <w:t>) RGB and (</w:t>
      </w:r>
      <w:r w:rsidR="00857342" w:rsidRPr="001212F3">
        <w:rPr>
          <w:b/>
          <w:w w:val="110"/>
        </w:rPr>
        <w:t>b</w:t>
      </w:r>
      <w:r w:rsidR="00857342" w:rsidRPr="001212F3">
        <w:rPr>
          <w:w w:val="110"/>
        </w:rPr>
        <w:t>,</w:t>
      </w:r>
      <w:r w:rsidR="00857342" w:rsidRPr="001212F3">
        <w:rPr>
          <w:b/>
          <w:w w:val="110"/>
        </w:rPr>
        <w:t>d</w:t>
      </w:r>
      <w:r w:rsidR="00857342" w:rsidRPr="001212F3">
        <w:rPr>
          <w:w w:val="110"/>
        </w:rPr>
        <w:t>) mono-color (</w:t>
      </w:r>
      <w:r w:rsidR="009F16B3" w:rsidRPr="001212F3">
        <w:rPr>
          <w:w w:val="110"/>
        </w:rPr>
        <w:t>r</w:t>
      </w:r>
      <w:r w:rsidR="00857342" w:rsidRPr="001212F3">
        <w:rPr>
          <w:w w:val="110"/>
        </w:rPr>
        <w:t>ed) image</w:t>
      </w:r>
      <w:r w:rsidR="009F16B3" w:rsidRPr="001212F3">
        <w:rPr>
          <w:w w:val="110"/>
        </w:rPr>
        <w:t>s</w:t>
      </w:r>
      <w:r w:rsidR="00857342" w:rsidRPr="001212F3">
        <w:rPr>
          <w:w w:val="110"/>
        </w:rPr>
        <w:t xml:space="preserve"> of the fluid channel. (</w:t>
      </w:r>
      <w:r w:rsidR="00857342" w:rsidRPr="001212F3">
        <w:rPr>
          <w:b/>
          <w:w w:val="110"/>
        </w:rPr>
        <w:t>e</w:t>
      </w:r>
      <w:r w:rsidR="00857342" w:rsidRPr="001212F3">
        <w:rPr>
          <w:w w:val="110"/>
        </w:rPr>
        <w:t xml:space="preserve">) </w:t>
      </w:r>
      <w:r w:rsidR="00065D2A" w:rsidRPr="001212F3">
        <w:rPr>
          <w:w w:val="110"/>
        </w:rPr>
        <w:t xml:space="preserve">Histogram </w:t>
      </w:r>
      <w:r w:rsidR="00857342" w:rsidRPr="001212F3">
        <w:rPr>
          <w:w w:val="110"/>
        </w:rPr>
        <w:t xml:space="preserve">of the selected area marked in </w:t>
      </w:r>
      <w:r w:rsidR="00316764" w:rsidRPr="001212F3">
        <w:rPr>
          <w:w w:val="110"/>
        </w:rPr>
        <w:t>F</w:t>
      </w:r>
      <w:bookmarkStart w:id="0" w:name="_GoBack"/>
      <w:bookmarkEnd w:id="0"/>
      <w:r w:rsidR="00316764" w:rsidRPr="001212F3">
        <w:rPr>
          <w:w w:val="110"/>
        </w:rPr>
        <w:t xml:space="preserve">igure </w:t>
      </w:r>
      <w:r w:rsidR="00857342" w:rsidRPr="001212F3">
        <w:rPr>
          <w:w w:val="110"/>
        </w:rPr>
        <w:t>(</w:t>
      </w:r>
      <w:r w:rsidR="00857342" w:rsidRPr="001212F3">
        <w:rPr>
          <w:b/>
          <w:w w:val="110"/>
        </w:rPr>
        <w:t>b</w:t>
      </w:r>
      <w:r w:rsidR="00857342" w:rsidRPr="001212F3">
        <w:rPr>
          <w:w w:val="110"/>
        </w:rPr>
        <w:t>). (</w:t>
      </w:r>
      <w:r w:rsidR="00857342" w:rsidRPr="001212F3">
        <w:rPr>
          <w:b/>
          <w:w w:val="110"/>
        </w:rPr>
        <w:t>f</w:t>
      </w:r>
      <w:r w:rsidR="00857342" w:rsidRPr="001212F3">
        <w:rPr>
          <w:w w:val="110"/>
        </w:rPr>
        <w:t xml:space="preserve">) </w:t>
      </w:r>
      <w:r w:rsidR="00316764" w:rsidRPr="001212F3">
        <w:rPr>
          <w:w w:val="110"/>
        </w:rPr>
        <w:t xml:space="preserve">Histogram </w:t>
      </w:r>
      <w:r w:rsidR="00857342" w:rsidRPr="001212F3">
        <w:rPr>
          <w:w w:val="110"/>
        </w:rPr>
        <w:t xml:space="preserve">of the selected area marked in </w:t>
      </w:r>
      <w:r w:rsidR="00316764" w:rsidRPr="001212F3">
        <w:rPr>
          <w:w w:val="110"/>
        </w:rPr>
        <w:br/>
        <w:t xml:space="preserve">Figure </w:t>
      </w:r>
      <w:r w:rsidR="00857342" w:rsidRPr="001212F3">
        <w:rPr>
          <w:w w:val="110"/>
        </w:rPr>
        <w:t>(</w:t>
      </w:r>
      <w:r w:rsidR="00857342" w:rsidRPr="001212F3">
        <w:rPr>
          <w:b/>
          <w:w w:val="110"/>
        </w:rPr>
        <w:t>d</w:t>
      </w:r>
      <w:r w:rsidR="00857342" w:rsidRPr="001212F3">
        <w:rPr>
          <w:w w:val="110"/>
        </w:rPr>
        <w:t>). It is demonstrated that with air-bubbles as stirrers, the intensity distribution can become significantly narrower.</w:t>
      </w:r>
    </w:p>
    <w:p w14:paraId="1C14C2DB" w14:textId="77777777" w:rsidR="00857342" w:rsidRPr="001212F3" w:rsidRDefault="00857342" w:rsidP="003B21CE">
      <w:pPr>
        <w:pStyle w:val="MDPI52figure"/>
        <w:rPr>
          <w:sz w:val="20"/>
          <w:highlight w:val="red"/>
        </w:rPr>
      </w:pPr>
      <w:r w:rsidRPr="001212F3">
        <w:rPr>
          <w:noProof/>
          <w:sz w:val="20"/>
          <w:lang w:eastAsia="zh-CN" w:bidi="ar-SA"/>
        </w:rPr>
        <w:drawing>
          <wp:inline distT="0" distB="0" distL="0" distR="0" wp14:anchorId="66A637C5" wp14:editId="11B6681F">
            <wp:extent cx="2719070" cy="1605915"/>
            <wp:effectExtent l="0" t="0" r="5080" b="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070" cy="160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8408B3" w14:textId="77777777" w:rsidR="00857342" w:rsidRPr="001212F3" w:rsidRDefault="003B21CE" w:rsidP="003B21CE">
      <w:pPr>
        <w:pStyle w:val="MDPI51figurecaption"/>
        <w:rPr>
          <w:w w:val="110"/>
        </w:rPr>
      </w:pPr>
      <w:r w:rsidRPr="001212F3">
        <w:rPr>
          <w:b/>
          <w:bCs/>
          <w:w w:val="110"/>
        </w:rPr>
        <w:t>Figure S4.</w:t>
      </w:r>
      <w:r w:rsidR="00857342" w:rsidRPr="001212F3">
        <w:rPr>
          <w:b/>
          <w:bCs/>
          <w:w w:val="110"/>
        </w:rPr>
        <w:t xml:space="preserve"> </w:t>
      </w:r>
      <w:r w:rsidR="00857342" w:rsidRPr="005501BC">
        <w:rPr>
          <w:w w:val="110"/>
        </w:rPr>
        <w:t xml:space="preserve">Schematic showing the production of air-bubbles within the bulk solution using a Y-shaped junction. The size of the air-bubbles </w:t>
      </w:r>
      <w:r w:rsidR="009536D1" w:rsidRPr="005501BC">
        <w:rPr>
          <w:i/>
          <w:w w:val="110"/>
        </w:rPr>
        <w:t>R</w:t>
      </w:r>
      <w:r w:rsidR="009536D1" w:rsidRPr="005501BC">
        <w:rPr>
          <w:w w:val="110"/>
        </w:rPr>
        <w:t xml:space="preserve"> </w:t>
      </w:r>
      <w:r w:rsidR="00857342" w:rsidRPr="005501BC">
        <w:rPr>
          <w:w w:val="110"/>
        </w:rPr>
        <w:t xml:space="preserve">can be controlled by adjusting the solution flow rate </w:t>
      </w:r>
      <m:oMath>
        <m:sSub>
          <m:sSubPr>
            <m:ctrlPr>
              <w:rPr>
                <w:rFonts w:ascii="Cambria Math" w:hAnsi="Cambria Math"/>
                <w:w w:val="11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w w:val="110"/>
              </w:rPr>
              <m:t>Q</m:t>
            </m:r>
          </m:e>
          <m:sub>
            <m:r>
              <m:rPr>
                <m:sty m:val="bi"/>
              </m:rPr>
              <w:rPr>
                <w:rFonts w:ascii="Cambria Math" w:hAnsi="Cambria Math"/>
                <w:w w:val="110"/>
              </w:rPr>
              <m:t>b</m:t>
            </m:r>
          </m:sub>
        </m:sSub>
      </m:oMath>
      <w:r w:rsidR="00857342" w:rsidRPr="005501BC">
        <w:rPr>
          <w:w w:val="110"/>
        </w:rPr>
        <w:t xml:space="preserve"> and air input pressure</w:t>
      </w:r>
      <w:r w:rsidR="00857342" w:rsidRPr="001212F3">
        <w:rPr>
          <w:w w:val="110"/>
        </w:rPr>
        <w:t>.</w:t>
      </w:r>
    </w:p>
    <w:p w14:paraId="5B4E9D42" w14:textId="17DA41F3" w:rsidR="00316764" w:rsidRPr="001212F3" w:rsidRDefault="00316764" w:rsidP="00316764">
      <w:pPr>
        <w:pStyle w:val="MDPI21heading1"/>
        <w:rPr>
          <w:w w:val="110"/>
        </w:rPr>
      </w:pPr>
      <w:r w:rsidRPr="001212F3">
        <w:rPr>
          <w:bCs/>
          <w:w w:val="110"/>
        </w:rPr>
        <w:t xml:space="preserve">Video S1: </w:t>
      </w:r>
      <w:r w:rsidRPr="001212F3">
        <w:rPr>
          <w:w w:val="110"/>
        </w:rPr>
        <w:t xml:space="preserve">Movement of </w:t>
      </w:r>
      <w:r w:rsidR="009F16B3" w:rsidRPr="001212F3">
        <w:rPr>
          <w:w w:val="110"/>
        </w:rPr>
        <w:t xml:space="preserve">a </w:t>
      </w:r>
      <w:r w:rsidRPr="001212F3">
        <w:rPr>
          <w:w w:val="110"/>
        </w:rPr>
        <w:t xml:space="preserve">droplet within </w:t>
      </w:r>
      <w:r w:rsidR="009F16B3" w:rsidRPr="001212F3">
        <w:rPr>
          <w:w w:val="110"/>
        </w:rPr>
        <w:t xml:space="preserve">a </w:t>
      </w:r>
      <w:r w:rsidRPr="001212F3">
        <w:rPr>
          <w:w w:val="110"/>
        </w:rPr>
        <w:t>straight fluidic channel.</w:t>
      </w:r>
    </w:p>
    <w:p w14:paraId="71F3CBD5" w14:textId="77777777" w:rsidR="00316764" w:rsidRPr="001212F3" w:rsidRDefault="00316764" w:rsidP="00316764">
      <w:pPr>
        <w:pStyle w:val="MDPI31text"/>
        <w:rPr>
          <w:w w:val="110"/>
        </w:rPr>
      </w:pPr>
      <w:r w:rsidRPr="001212F3">
        <w:rPr>
          <w:w w:val="110"/>
        </w:rPr>
        <w:t>It is demonstrated that recirculating flow can be generated, allowing solute exchange only in half of the droplet</w:t>
      </w:r>
    </w:p>
    <w:p w14:paraId="30DFA8EF" w14:textId="509B5F10" w:rsidR="00316764" w:rsidRPr="001212F3" w:rsidRDefault="00316764" w:rsidP="00316764">
      <w:pPr>
        <w:pStyle w:val="MDPI21heading1"/>
        <w:rPr>
          <w:w w:val="110"/>
        </w:rPr>
      </w:pPr>
      <w:r w:rsidRPr="001212F3">
        <w:rPr>
          <w:bCs/>
          <w:w w:val="110"/>
        </w:rPr>
        <w:t>Video S2</w:t>
      </w:r>
      <w:r w:rsidR="00366E2B" w:rsidRPr="001212F3">
        <w:rPr>
          <w:bCs/>
          <w:w w:val="110"/>
        </w:rPr>
        <w:t>:</w:t>
      </w:r>
      <w:r w:rsidRPr="001212F3">
        <w:rPr>
          <w:w w:val="110"/>
        </w:rPr>
        <w:t xml:space="preserve"> Chaotic advection caused by the movement of small droplets within the bulk solution.</w:t>
      </w:r>
    </w:p>
    <w:p w14:paraId="0F60AAB9" w14:textId="77777777" w:rsidR="00316764" w:rsidRPr="001212F3" w:rsidRDefault="00316764" w:rsidP="00316764">
      <w:pPr>
        <w:pStyle w:val="MDPI31text"/>
        <w:rPr>
          <w:w w:val="110"/>
        </w:rPr>
      </w:pPr>
      <w:r w:rsidRPr="001212F3">
        <w:rPr>
          <w:w w:val="110"/>
        </w:rPr>
        <w:t>We observe that the movement of small droplet with respect to one another causes liquid volume redistribution, and thus the chaotic advection. Strong shear can also be generated through bubble deformation.</w:t>
      </w:r>
    </w:p>
    <w:p w14:paraId="0A824324" w14:textId="15C25478" w:rsidR="00316764" w:rsidRPr="001212F3" w:rsidRDefault="00316764" w:rsidP="00316764">
      <w:pPr>
        <w:pStyle w:val="MDPI21heading1"/>
        <w:rPr>
          <w:w w:val="110"/>
        </w:rPr>
      </w:pPr>
      <w:r w:rsidRPr="001212F3">
        <w:rPr>
          <w:bCs/>
          <w:w w:val="110"/>
        </w:rPr>
        <w:t>Video S</w:t>
      </w:r>
      <w:r w:rsidRPr="001212F3">
        <w:rPr>
          <w:rFonts w:eastAsia="宋体"/>
          <w:bCs/>
          <w:w w:val="110"/>
          <w:lang w:eastAsia="zh-CN"/>
        </w:rPr>
        <w:t>3</w:t>
      </w:r>
      <w:r w:rsidR="00366E2B" w:rsidRPr="001212F3">
        <w:rPr>
          <w:bCs/>
          <w:w w:val="110"/>
        </w:rPr>
        <w:t>:</w:t>
      </w:r>
      <w:r w:rsidRPr="001212F3">
        <w:rPr>
          <w:w w:val="110"/>
        </w:rPr>
        <w:t xml:space="preserve"> Operation of a fluidic mixer chip integrated with a degassing unit.</w:t>
      </w:r>
    </w:p>
    <w:p w14:paraId="42567DF1" w14:textId="4DB4B554" w:rsidR="00316764" w:rsidRPr="001212F3" w:rsidRDefault="00316764" w:rsidP="00316764">
      <w:pPr>
        <w:pStyle w:val="MDPI31text"/>
        <w:rPr>
          <w:w w:val="110"/>
        </w:rPr>
      </w:pPr>
      <w:r w:rsidRPr="001212F3">
        <w:rPr>
          <w:w w:val="110"/>
        </w:rPr>
        <w:t xml:space="preserve">It is demonstrated that the air-bubbles are trapped in the large reservoir, and the </w:t>
      </w:r>
      <w:r w:rsidR="009F16B3" w:rsidRPr="001212F3">
        <w:rPr>
          <w:w w:val="110"/>
        </w:rPr>
        <w:t>“</w:t>
      </w:r>
      <w:r w:rsidRPr="001212F3">
        <w:rPr>
          <w:w w:val="110"/>
        </w:rPr>
        <w:t>clear</w:t>
      </w:r>
      <w:r w:rsidR="009F16B3" w:rsidRPr="001212F3">
        <w:rPr>
          <w:w w:val="110"/>
        </w:rPr>
        <w:t>”</w:t>
      </w:r>
      <w:r w:rsidRPr="001212F3">
        <w:rPr>
          <w:w w:val="110"/>
        </w:rPr>
        <w:t xml:space="preserve"> mixed solution is collected elsewhere.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21"/>
        <w:gridCol w:w="7123"/>
      </w:tblGrid>
      <w:tr w:rsidR="006F421E" w:rsidRPr="001212F3" w14:paraId="3C4A804E" w14:textId="77777777" w:rsidTr="003B21C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B2A536E" w14:textId="77777777" w:rsidR="006F421E" w:rsidRPr="001212F3" w:rsidRDefault="00857342" w:rsidP="001D4796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宋体"/>
                <w:bCs/>
              </w:rPr>
            </w:pPr>
            <w:r w:rsidRPr="001212F3">
              <w:rPr>
                <w:rFonts w:eastAsia="宋体"/>
                <w:bCs/>
                <w:noProof/>
                <w:lang w:eastAsia="zh-CN" w:bidi="ar-SA"/>
              </w:rPr>
              <w:drawing>
                <wp:inline distT="0" distB="0" distL="0" distR="0" wp14:anchorId="5D596043" wp14:editId="48CEC348">
                  <wp:extent cx="1003300" cy="361950"/>
                  <wp:effectExtent l="0" t="0" r="6350" b="0"/>
                  <wp:docPr id="7" name="Picture 3" descr="copyR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pyR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3" w:type="dxa"/>
            <w:shd w:val="clear" w:color="auto" w:fill="auto"/>
            <w:vAlign w:val="center"/>
          </w:tcPr>
          <w:p w14:paraId="71CF645F" w14:textId="77777777" w:rsidR="006F421E" w:rsidRPr="001212F3" w:rsidRDefault="00B81E10" w:rsidP="00E61ADE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宋体"/>
                <w:bCs/>
              </w:rPr>
            </w:pPr>
            <w:r w:rsidRPr="001212F3">
              <w:rPr>
                <w:rFonts w:eastAsia="宋体"/>
                <w:bCs/>
              </w:rPr>
              <w:t>© 20</w:t>
            </w:r>
            <w:r w:rsidR="00E61ADE" w:rsidRPr="001212F3">
              <w:rPr>
                <w:rFonts w:eastAsia="宋体"/>
                <w:bCs/>
              </w:rPr>
              <w:t xml:space="preserve">20 </w:t>
            </w:r>
            <w:r w:rsidR="006F421E" w:rsidRPr="001212F3">
              <w:rPr>
                <w:rFonts w:eastAsia="宋体"/>
                <w:bCs/>
              </w:rPr>
              <w:t>by the authors. Submitted for possible open access publication under the terms and conditions of the Creative Commons Attribution (CC BY) license (http://creativecommons.org/licenses/by/4.0/).</w:t>
            </w:r>
          </w:p>
        </w:tc>
      </w:tr>
    </w:tbl>
    <w:p w14:paraId="11290A7A" w14:textId="77777777" w:rsidR="00AE0E56" w:rsidRPr="001212F3" w:rsidRDefault="00AE0E56" w:rsidP="006F421E">
      <w:pPr>
        <w:pStyle w:val="MDPI71References"/>
        <w:numPr>
          <w:ilvl w:val="0"/>
          <w:numId w:val="0"/>
        </w:numPr>
        <w:spacing w:after="240"/>
        <w:rPr>
          <w:rFonts w:eastAsia="宋体"/>
        </w:rPr>
      </w:pPr>
      <w:bookmarkStart w:id="1" w:name="noRef"/>
      <w:bookmarkEnd w:id="1"/>
    </w:p>
    <w:sectPr w:rsidR="00AE0E56" w:rsidRPr="001212F3" w:rsidSect="003B21CE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C521CA" w16cid:durableId="21ED745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42ECA1" w14:textId="77777777" w:rsidR="00AF182D" w:rsidRDefault="00AF182D">
      <w:pPr>
        <w:spacing w:line="240" w:lineRule="auto"/>
      </w:pPr>
      <w:r>
        <w:separator/>
      </w:r>
    </w:p>
  </w:endnote>
  <w:endnote w:type="continuationSeparator" w:id="0">
    <w:p w14:paraId="76A6DE8F" w14:textId="77777777" w:rsidR="00AF182D" w:rsidRDefault="00AF18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AA26F" w14:textId="77777777" w:rsidR="00DE54C8" w:rsidRPr="006F0919" w:rsidRDefault="00DE54C8" w:rsidP="00DE54C8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41049" w14:textId="77777777" w:rsidR="00DE54C8" w:rsidRPr="008B308E" w:rsidRDefault="00DE54C8" w:rsidP="00E61ADE">
    <w:pPr>
      <w:pStyle w:val="MDPIfooterfirstpage"/>
      <w:spacing w:line="240" w:lineRule="auto"/>
      <w:jc w:val="both"/>
      <w:rPr>
        <w:lang w:val="fr-CH"/>
      </w:rPr>
    </w:pPr>
    <w:r>
      <w:rPr>
        <w:i/>
        <w:lang w:val="fr-CH"/>
      </w:rPr>
      <w:t>Micromachines</w:t>
    </w:r>
    <w:r>
      <w:rPr>
        <w:iCs/>
        <w:lang w:val="fr-CH"/>
      </w:rPr>
      <w:t xml:space="preserve"> </w:t>
    </w:r>
    <w:r w:rsidR="006F421E" w:rsidRPr="006F421E">
      <w:rPr>
        <w:b/>
      </w:rPr>
      <w:t>20</w:t>
    </w:r>
    <w:r w:rsidR="00E61ADE">
      <w:rPr>
        <w:b/>
      </w:rPr>
      <w:t>20</w:t>
    </w:r>
    <w:r w:rsidR="006F421E" w:rsidRPr="006F421E">
      <w:t xml:space="preserve">, </w:t>
    </w:r>
    <w:r w:rsidR="006F421E" w:rsidRPr="006F421E">
      <w:rPr>
        <w:i/>
      </w:rPr>
      <w:t>1</w:t>
    </w:r>
    <w:r w:rsidR="00E61ADE">
      <w:rPr>
        <w:i/>
      </w:rPr>
      <w:t>1</w:t>
    </w:r>
    <w:r w:rsidR="006F421E" w:rsidRPr="006F421E">
      <w:t xml:space="preserve">, </w:t>
    </w:r>
    <w:r w:rsidR="00986A87">
      <w:t>x; doi:</w:t>
    </w:r>
    <w:r w:rsidR="003E278F" w:rsidRPr="008B308E">
      <w:rPr>
        <w:lang w:val="fr-CH"/>
      </w:rPr>
      <w:tab/>
    </w:r>
    <w:r w:rsidRPr="008B308E">
      <w:rPr>
        <w:lang w:val="fr-CH"/>
      </w:rPr>
      <w:t>www.mdpi.com/journal/</w:t>
    </w:r>
    <w:r>
      <w:rPr>
        <w:lang w:val="fr-CH"/>
      </w:rPr>
      <w:t>micromachines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301818" w14:textId="77777777" w:rsidR="00AF182D" w:rsidRDefault="00AF182D">
      <w:pPr>
        <w:spacing w:line="240" w:lineRule="auto"/>
      </w:pPr>
      <w:r>
        <w:separator/>
      </w:r>
    </w:p>
  </w:footnote>
  <w:footnote w:type="continuationSeparator" w:id="0">
    <w:p w14:paraId="6AFB9335" w14:textId="77777777" w:rsidR="00AF182D" w:rsidRDefault="00AF18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FE405A" w14:textId="77777777" w:rsidR="00DE54C8" w:rsidRDefault="00DE54C8" w:rsidP="00DE54C8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D8BB0" w14:textId="77777777" w:rsidR="00DE54C8" w:rsidRPr="00D200AF" w:rsidRDefault="00DE54C8" w:rsidP="00E61ADE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Micromachines </w:t>
    </w:r>
    <w:r w:rsidR="006F421E" w:rsidRPr="006F421E">
      <w:rPr>
        <w:rFonts w:ascii="Palatino Linotype" w:hAnsi="Palatino Linotype"/>
        <w:b/>
        <w:sz w:val="16"/>
      </w:rPr>
      <w:t>20</w:t>
    </w:r>
    <w:r w:rsidR="00E61ADE">
      <w:rPr>
        <w:rFonts w:ascii="Palatino Linotype" w:hAnsi="Palatino Linotype"/>
        <w:b/>
        <w:sz w:val="16"/>
      </w:rPr>
      <w:t>20</w:t>
    </w:r>
    <w:r w:rsidR="006F421E" w:rsidRPr="006F421E">
      <w:rPr>
        <w:rFonts w:ascii="Palatino Linotype" w:hAnsi="Palatino Linotype"/>
        <w:sz w:val="16"/>
      </w:rPr>
      <w:t xml:space="preserve">, </w:t>
    </w:r>
    <w:r w:rsidR="006F421E" w:rsidRPr="006F421E">
      <w:rPr>
        <w:rFonts w:ascii="Palatino Linotype" w:hAnsi="Palatino Linotype"/>
        <w:i/>
        <w:sz w:val="16"/>
      </w:rPr>
      <w:t>1</w:t>
    </w:r>
    <w:r w:rsidR="00E61ADE">
      <w:rPr>
        <w:rFonts w:ascii="Palatino Linotype" w:hAnsi="Palatino Linotype"/>
        <w:i/>
        <w:sz w:val="16"/>
      </w:rPr>
      <w:t>1</w:t>
    </w:r>
    <w:r w:rsidR="00986A87">
      <w:rPr>
        <w:rFonts w:ascii="Palatino Linotype" w:hAnsi="Palatino Linotype"/>
        <w:sz w:val="16"/>
      </w:rPr>
      <w:t>, x</w:t>
    </w:r>
    <w:r w:rsidR="003E278F">
      <w:rPr>
        <w:rFonts w:ascii="Palatino Linotype" w:hAnsi="Palatino Linotype"/>
        <w:sz w:val="16"/>
      </w:rPr>
      <w:tab/>
    </w:r>
    <w:r w:rsidR="00986A87">
      <w:rPr>
        <w:rFonts w:ascii="Palatino Linotype" w:hAnsi="Palatino Linotype"/>
        <w:sz w:val="16"/>
      </w:rPr>
      <w:fldChar w:fldCharType="begin"/>
    </w:r>
    <w:r w:rsidR="00986A87">
      <w:rPr>
        <w:rFonts w:ascii="Palatino Linotype" w:hAnsi="Palatino Linotype"/>
        <w:sz w:val="16"/>
      </w:rPr>
      <w:instrText xml:space="preserve"> PAGE   \* MERGEFORMAT </w:instrText>
    </w:r>
    <w:r w:rsidR="00986A87">
      <w:rPr>
        <w:rFonts w:ascii="Palatino Linotype" w:hAnsi="Palatino Linotype"/>
        <w:sz w:val="16"/>
      </w:rPr>
      <w:fldChar w:fldCharType="separate"/>
    </w:r>
    <w:r w:rsidR="002F156E">
      <w:rPr>
        <w:rFonts w:ascii="Palatino Linotype" w:hAnsi="Palatino Linotype"/>
        <w:noProof/>
        <w:sz w:val="16"/>
      </w:rPr>
      <w:t>2</w:t>
    </w:r>
    <w:r w:rsidR="00986A87">
      <w:rPr>
        <w:rFonts w:ascii="Palatino Linotype" w:hAnsi="Palatino Linotype"/>
        <w:sz w:val="16"/>
      </w:rPr>
      <w:fldChar w:fldCharType="end"/>
    </w:r>
    <w:r w:rsidR="00986A87">
      <w:rPr>
        <w:rFonts w:ascii="Palatino Linotype" w:hAnsi="Palatino Linotype"/>
        <w:sz w:val="16"/>
      </w:rPr>
      <w:t xml:space="preserve"> of </w:t>
    </w:r>
    <w:r w:rsidR="00986A87">
      <w:rPr>
        <w:rFonts w:ascii="Palatino Linotype" w:hAnsi="Palatino Linotype"/>
        <w:sz w:val="16"/>
      </w:rPr>
      <w:fldChar w:fldCharType="begin"/>
    </w:r>
    <w:r w:rsidR="00986A87">
      <w:rPr>
        <w:rFonts w:ascii="Palatino Linotype" w:hAnsi="Palatino Linotype"/>
        <w:sz w:val="16"/>
      </w:rPr>
      <w:instrText xml:space="preserve"> NUMPAGES   \* MERGEFORMAT </w:instrText>
    </w:r>
    <w:r w:rsidR="00986A87">
      <w:rPr>
        <w:rFonts w:ascii="Palatino Linotype" w:hAnsi="Palatino Linotype"/>
        <w:sz w:val="16"/>
      </w:rPr>
      <w:fldChar w:fldCharType="separate"/>
    </w:r>
    <w:r w:rsidR="002F156E">
      <w:rPr>
        <w:rFonts w:ascii="Palatino Linotype" w:hAnsi="Palatino Linotype"/>
        <w:noProof/>
        <w:sz w:val="16"/>
      </w:rPr>
      <w:t>2</w:t>
    </w:r>
    <w:r w:rsidR="00986A87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4A165" w14:textId="77777777" w:rsidR="00DE54C8" w:rsidRDefault="00857342" w:rsidP="00DE54C8">
    <w:pPr>
      <w:pStyle w:val="MDPIheaderjournallogo"/>
    </w:pPr>
    <w:r w:rsidRPr="00C72DC0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7785F8E8" wp14:editId="69AAE52C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317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790BE9" w14:textId="77777777" w:rsidR="00DE54C8" w:rsidRDefault="00857342" w:rsidP="00DE54C8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AE0E56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28670A13" wp14:editId="13FA4EAD">
                                <wp:extent cx="539115" cy="354965"/>
                                <wp:effectExtent l="0" t="0" r="0" b="6985"/>
                                <wp:docPr id="6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115" cy="3549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7785F8E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41790BE9" w14:textId="77777777" w:rsidR="00DE54C8" w:rsidRDefault="00857342" w:rsidP="00DE54C8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AE0E56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28670A13" wp14:editId="13FA4EAD">
                          <wp:extent cx="539115" cy="354965"/>
                          <wp:effectExtent l="0" t="0" r="0" b="6985"/>
                          <wp:docPr id="6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115" cy="3549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zh-CN"/>
      </w:rPr>
      <w:drawing>
        <wp:inline distT="0" distB="0" distL="0" distR="0" wp14:anchorId="5C26C3CA" wp14:editId="5632116B">
          <wp:extent cx="1630680" cy="436880"/>
          <wp:effectExtent l="0" t="0" r="7620" b="1270"/>
          <wp:docPr id="5" name="Picture 5" descr="C:\Users\home\AppData\Local\Temp\HZ$D.082.3353\micromachines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AppData\Local\Temp\HZ$D.082.3353\micromachines_logo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C6B7B28"/>
    <w:multiLevelType w:val="hybridMultilevel"/>
    <w:tmpl w:val="A5EE252A"/>
    <w:lvl w:ilvl="0" w:tplc="E7F64C5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BB3"/>
    <w:rsid w:val="00010213"/>
    <w:rsid w:val="0001650E"/>
    <w:rsid w:val="000319E5"/>
    <w:rsid w:val="00065D2A"/>
    <w:rsid w:val="000D010F"/>
    <w:rsid w:val="000D3580"/>
    <w:rsid w:val="000D6ED2"/>
    <w:rsid w:val="000E2D57"/>
    <w:rsid w:val="001212F3"/>
    <w:rsid w:val="00125647"/>
    <w:rsid w:val="00140FD2"/>
    <w:rsid w:val="001D4796"/>
    <w:rsid w:val="001E2AEB"/>
    <w:rsid w:val="0024500A"/>
    <w:rsid w:val="002625F0"/>
    <w:rsid w:val="00297F72"/>
    <w:rsid w:val="002C3150"/>
    <w:rsid w:val="002F156E"/>
    <w:rsid w:val="002F1599"/>
    <w:rsid w:val="003157AA"/>
    <w:rsid w:val="00316764"/>
    <w:rsid w:val="003204B8"/>
    <w:rsid w:val="00326141"/>
    <w:rsid w:val="00366E2B"/>
    <w:rsid w:val="00377B74"/>
    <w:rsid w:val="003821DC"/>
    <w:rsid w:val="003B21CE"/>
    <w:rsid w:val="003E0D46"/>
    <w:rsid w:val="003E278F"/>
    <w:rsid w:val="00401D30"/>
    <w:rsid w:val="00410B9F"/>
    <w:rsid w:val="00427D89"/>
    <w:rsid w:val="004875AF"/>
    <w:rsid w:val="004E05C2"/>
    <w:rsid w:val="0050163D"/>
    <w:rsid w:val="005501BC"/>
    <w:rsid w:val="005A13A1"/>
    <w:rsid w:val="006819C2"/>
    <w:rsid w:val="00692393"/>
    <w:rsid w:val="006E680C"/>
    <w:rsid w:val="006F421E"/>
    <w:rsid w:val="00703943"/>
    <w:rsid w:val="007242F5"/>
    <w:rsid w:val="00751ADC"/>
    <w:rsid w:val="00782275"/>
    <w:rsid w:val="007C132E"/>
    <w:rsid w:val="00857342"/>
    <w:rsid w:val="0088230C"/>
    <w:rsid w:val="0088632C"/>
    <w:rsid w:val="008C0C8B"/>
    <w:rsid w:val="008C6908"/>
    <w:rsid w:val="008E4322"/>
    <w:rsid w:val="0090154A"/>
    <w:rsid w:val="0090462C"/>
    <w:rsid w:val="00941A17"/>
    <w:rsid w:val="00952546"/>
    <w:rsid w:val="009536D1"/>
    <w:rsid w:val="009817CF"/>
    <w:rsid w:val="00986A87"/>
    <w:rsid w:val="009945C2"/>
    <w:rsid w:val="009B0A8E"/>
    <w:rsid w:val="009E0F40"/>
    <w:rsid w:val="009F16B3"/>
    <w:rsid w:val="009F2D09"/>
    <w:rsid w:val="009F70E6"/>
    <w:rsid w:val="00A869C9"/>
    <w:rsid w:val="00AE0E56"/>
    <w:rsid w:val="00AF182D"/>
    <w:rsid w:val="00B21E7A"/>
    <w:rsid w:val="00B81E10"/>
    <w:rsid w:val="00BE6997"/>
    <w:rsid w:val="00BF750A"/>
    <w:rsid w:val="00C2110E"/>
    <w:rsid w:val="00C37719"/>
    <w:rsid w:val="00C53892"/>
    <w:rsid w:val="00C96C77"/>
    <w:rsid w:val="00D613C7"/>
    <w:rsid w:val="00D626C6"/>
    <w:rsid w:val="00D94DB6"/>
    <w:rsid w:val="00DE54C8"/>
    <w:rsid w:val="00E1565E"/>
    <w:rsid w:val="00E362E3"/>
    <w:rsid w:val="00E61ADE"/>
    <w:rsid w:val="00E87097"/>
    <w:rsid w:val="00EC7853"/>
    <w:rsid w:val="00F0124D"/>
    <w:rsid w:val="00F079A6"/>
    <w:rsid w:val="00F330F8"/>
    <w:rsid w:val="00F825F1"/>
    <w:rsid w:val="00FB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A8F92D"/>
  <w15:chartTrackingRefBased/>
  <w15:docId w15:val="{FDE3E952-AC4D-4B36-B6DF-BEFF3F0BD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0E56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AE0E56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AE0E56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AE0E56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AE0E56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AE0E56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AE0E56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AE0E56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AE0E56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AE0E56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AE0E5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AE0E5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AE0E56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AE0E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AE0E56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AE0E56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AE0E56"/>
    <w:pPr>
      <w:ind w:firstLine="0"/>
    </w:pPr>
  </w:style>
  <w:style w:type="paragraph" w:customStyle="1" w:styleId="MDPI33textspaceafter">
    <w:name w:val="MDPI_3.3_text_space_after"/>
    <w:basedOn w:val="MDPI31text"/>
    <w:qFormat/>
    <w:rsid w:val="00AE0E56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AE0E56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AE0E56"/>
    <w:pPr>
      <w:spacing w:after="120"/>
    </w:pPr>
  </w:style>
  <w:style w:type="paragraph" w:customStyle="1" w:styleId="MDPI36textafterlist">
    <w:name w:val="MDPI_3.6_text_after_list"/>
    <w:basedOn w:val="MDPI31text"/>
    <w:qFormat/>
    <w:rsid w:val="00AE0E56"/>
    <w:pPr>
      <w:spacing w:before="120"/>
    </w:pPr>
  </w:style>
  <w:style w:type="paragraph" w:customStyle="1" w:styleId="MDPI37itemize">
    <w:name w:val="MDPI_3.7_itemize"/>
    <w:basedOn w:val="MDPI31text"/>
    <w:qFormat/>
    <w:rsid w:val="00AE0E56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AE0E56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AE0E56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AE0E56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AE0E56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AE0E56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377B74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AE0E56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AE0E56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AE0E56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AE0E56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AE0E56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AE0E56"/>
  </w:style>
  <w:style w:type="paragraph" w:customStyle="1" w:styleId="MDPI81theorem">
    <w:name w:val="MDPI_8.1_theorem"/>
    <w:basedOn w:val="MDPI32textnoindent"/>
    <w:qFormat/>
    <w:rsid w:val="00AE0E56"/>
    <w:rPr>
      <w:i/>
    </w:rPr>
  </w:style>
  <w:style w:type="paragraph" w:customStyle="1" w:styleId="MDPI82proof">
    <w:name w:val="MDPI_8.2_proof"/>
    <w:basedOn w:val="MDPI32textnoindent"/>
    <w:qFormat/>
    <w:rsid w:val="00AE0E56"/>
  </w:style>
  <w:style w:type="paragraph" w:customStyle="1" w:styleId="MDPIfooterfirstpage">
    <w:name w:val="MDPI_footer_firstpage"/>
    <w:basedOn w:val="Normal"/>
    <w:qFormat/>
    <w:rsid w:val="00AE0E56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qFormat/>
    <w:rsid w:val="00AE0E56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AE0E56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AE0E56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AE0E56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AE0E56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0E56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E0E56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AE0E56"/>
  </w:style>
  <w:style w:type="table" w:customStyle="1" w:styleId="MDPI41threelinetable">
    <w:name w:val="MDPI_4.1_three_line_table"/>
    <w:basedOn w:val="TableNormal"/>
    <w:uiPriority w:val="99"/>
    <w:rsid w:val="00377B74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BF750A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8C6908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6F421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BodyText">
    <w:name w:val="Body Text"/>
    <w:basedOn w:val="Normal"/>
    <w:link w:val="BodyTextChar"/>
    <w:uiPriority w:val="1"/>
    <w:qFormat/>
    <w:rsid w:val="00857342"/>
    <w:pPr>
      <w:widowControl w:val="0"/>
      <w:autoSpaceDE w:val="0"/>
      <w:autoSpaceDN w:val="0"/>
      <w:spacing w:line="240" w:lineRule="auto"/>
      <w:jc w:val="left"/>
    </w:pPr>
    <w:rPr>
      <w:rFonts w:ascii="Georgia" w:eastAsia="Georgia" w:hAnsi="Georgia" w:cs="Georgia"/>
      <w:color w:val="auto"/>
      <w:sz w:val="20"/>
      <w:lang w:eastAsia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857342"/>
    <w:rPr>
      <w:rFonts w:ascii="Georgia" w:eastAsia="Georgia" w:hAnsi="Georgia" w:cs="Georgia"/>
      <w:lang w:eastAsia="en-US" w:bidi="en-US"/>
    </w:rPr>
  </w:style>
  <w:style w:type="paragraph" w:styleId="NormalWeb">
    <w:name w:val="Normal (Web)"/>
    <w:basedOn w:val="Normal"/>
    <w:uiPriority w:val="99"/>
    <w:rsid w:val="00857342"/>
    <w:pPr>
      <w:widowControl w:val="0"/>
      <w:autoSpaceDE w:val="0"/>
      <w:autoSpaceDN w:val="0"/>
      <w:spacing w:line="240" w:lineRule="auto"/>
      <w:jc w:val="left"/>
    </w:pPr>
    <w:rPr>
      <w:rFonts w:ascii="Georgia" w:eastAsia="Georgia" w:hAnsi="Georgia" w:cs="Georgia"/>
      <w:color w:val="auto"/>
      <w:szCs w:val="22"/>
      <w:lang w:eastAsia="en-US" w:bidi="en-US"/>
    </w:rPr>
  </w:style>
  <w:style w:type="paragraph" w:styleId="ListParagraph">
    <w:name w:val="List Paragraph"/>
    <w:basedOn w:val="Normal"/>
    <w:uiPriority w:val="1"/>
    <w:qFormat/>
    <w:rsid w:val="00857342"/>
    <w:pPr>
      <w:widowControl w:val="0"/>
      <w:autoSpaceDE w:val="0"/>
      <w:autoSpaceDN w:val="0"/>
      <w:spacing w:line="240" w:lineRule="auto"/>
      <w:ind w:left="417" w:hanging="358"/>
      <w:jc w:val="left"/>
    </w:pPr>
    <w:rPr>
      <w:rFonts w:ascii="Arial" w:eastAsia="Arial" w:hAnsi="Arial" w:cs="Arial"/>
      <w:color w:val="auto"/>
      <w:sz w:val="22"/>
      <w:szCs w:val="22"/>
      <w:lang w:eastAsia="en-US" w:bidi="en-US"/>
    </w:rPr>
  </w:style>
  <w:style w:type="character" w:styleId="PlaceholderText">
    <w:name w:val="Placeholder Text"/>
    <w:basedOn w:val="DefaultParagraphFont"/>
    <w:uiPriority w:val="99"/>
    <w:semiHidden/>
    <w:rsid w:val="00316764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3167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764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764"/>
    <w:rPr>
      <w:rFonts w:ascii="Times New Roman" w:eastAsia="Times New Roman" w:hAnsi="Times New Roman"/>
      <w:color w:val="000000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7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764"/>
    <w:rPr>
      <w:rFonts w:ascii="Times New Roman" w:eastAsia="Times New Roman" w:hAnsi="Times New Roman"/>
      <w:b/>
      <w:bCs/>
      <w:color w:val="00000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tif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Relationship Id="rId22" Type="http://schemas.microsoft.com/office/2016/09/relationships/commentsIds" Target="commentsIds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0.png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icromachines\micromachine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micromachines-template.dot</Template>
  <TotalTime>0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MDPI</dc:creator>
  <cp:keywords/>
  <dc:description/>
  <cp:lastModifiedBy>MDPI</cp:lastModifiedBy>
  <cp:revision>3</cp:revision>
  <dcterms:created xsi:type="dcterms:W3CDTF">2020-02-11T08:10:00Z</dcterms:created>
  <dcterms:modified xsi:type="dcterms:W3CDTF">2020-02-13T02:37:00Z</dcterms:modified>
</cp:coreProperties>
</file>